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A7A0B" w14:textId="77777777" w:rsidR="00FD5524" w:rsidRDefault="00FD5524" w:rsidP="00A46F87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DB3B463" wp14:editId="221C21D1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3C5">
        <w:rPr>
          <w:rFonts w:ascii="Times New Roman" w:eastAsia="Times New Roman" w:hAnsi="Times New Roman"/>
          <w:bCs/>
          <w:sz w:val="24"/>
          <w:szCs w:val="24"/>
        </w:rPr>
        <w:t>Date of Issue:</w:t>
      </w:r>
    </w:p>
    <w:p w14:paraId="47B8D2E2" w14:textId="48C73AD7" w:rsidR="00FD5524" w:rsidRPr="00A45A14" w:rsidRDefault="00FE587A" w:rsidP="00A46F87">
      <w:pPr>
        <w:widowControl/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2</w:t>
      </w:r>
      <w:r w:rsidR="001A1C8F">
        <w:rPr>
          <w:rFonts w:ascii="Times New Roman" w:eastAsia="Times New Roman" w:hAnsi="Times New Roman"/>
          <w:bCs/>
          <w:sz w:val="24"/>
          <w:szCs w:val="24"/>
        </w:rPr>
        <w:t>7</w:t>
      </w:r>
      <w:r w:rsidR="00865CA1" w:rsidRPr="009A32BE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46F87">
        <w:rPr>
          <w:rFonts w:ascii="Times New Roman" w:eastAsia="Times New Roman" w:hAnsi="Times New Roman"/>
          <w:bCs/>
          <w:sz w:val="24"/>
          <w:szCs w:val="24"/>
        </w:rPr>
        <w:t>May</w:t>
      </w:r>
      <w:r w:rsidR="009A32BE" w:rsidRPr="009A32BE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A46F87">
        <w:rPr>
          <w:rFonts w:ascii="Times New Roman" w:eastAsia="Times New Roman" w:hAnsi="Times New Roman"/>
          <w:bCs/>
          <w:sz w:val="24"/>
          <w:szCs w:val="24"/>
        </w:rPr>
        <w:t>2015</w:t>
      </w:r>
    </w:p>
    <w:p w14:paraId="187F0E9B" w14:textId="77777777" w:rsidR="00FD5524" w:rsidRPr="00FD5524" w:rsidRDefault="00FD5524" w:rsidP="00A46F87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D60165D" w14:textId="77777777" w:rsidR="00E24579" w:rsidRPr="00D34188" w:rsidRDefault="00BF5DD9" w:rsidP="00A46F87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4A46E79E" w14:textId="77777777" w:rsidR="00D60A36" w:rsidRPr="00FD5524" w:rsidRDefault="00D60A36" w:rsidP="00A46F87">
      <w:pPr>
        <w:widowControl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689B08CF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1D307F94" w14:textId="77777777" w:rsidR="00D60A36" w:rsidRPr="00D60A36" w:rsidRDefault="00D60A36" w:rsidP="00A46F87">
            <w:pPr>
              <w:widowControl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1EADE84F" w14:textId="77777777" w:rsidR="00150BAB" w:rsidRPr="0078621A" w:rsidRDefault="007666FB" w:rsidP="00A46F87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14:paraId="10B5E2E3" w14:textId="51A71586" w:rsidR="00150BAB" w:rsidRPr="0078621A" w:rsidRDefault="00150BAB" w:rsidP="00A46F87">
      <w:pPr>
        <w:pStyle w:val="ListParagraph"/>
        <w:widowControl/>
        <w:tabs>
          <w:tab w:val="left" w:pos="180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78621A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7862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78621A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2B1E97">
        <w:rPr>
          <w:rFonts w:ascii="Times New Roman" w:hAnsi="Times New Roman"/>
          <w:bCs/>
          <w:sz w:val="20"/>
          <w:szCs w:val="20"/>
        </w:rPr>
        <w:t>672</w:t>
      </w:r>
      <w:bookmarkStart w:id="0" w:name="_GoBack"/>
      <w:bookmarkEnd w:id="0"/>
    </w:p>
    <w:p w14:paraId="2CCDDD2E" w14:textId="55BC95F8" w:rsidR="00150BAB" w:rsidRPr="0078621A" w:rsidRDefault="00150BAB" w:rsidP="00A46F87">
      <w:pPr>
        <w:pStyle w:val="ListParagraph"/>
        <w:widowControl/>
        <w:tabs>
          <w:tab w:val="left" w:pos="180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78621A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78621A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78621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78621A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A46F87">
        <w:rPr>
          <w:rFonts w:ascii="Times New Roman" w:eastAsia="Times New Roman" w:hAnsi="Times New Roman"/>
          <w:bCs/>
          <w:sz w:val="20"/>
          <w:szCs w:val="20"/>
        </w:rPr>
        <w:t xml:space="preserve">Nickel </w:t>
      </w:r>
      <w:r w:rsidR="00A46F87" w:rsidRPr="00A46F87">
        <w:rPr>
          <w:rFonts w:ascii="Times New Roman" w:eastAsia="Times New Roman" w:hAnsi="Times New Roman"/>
          <w:bCs/>
          <w:sz w:val="20"/>
          <w:szCs w:val="20"/>
        </w:rPr>
        <w:t xml:space="preserve">Oxide, No. </w:t>
      </w:r>
      <w:r w:rsidR="002B1E97">
        <w:rPr>
          <w:rFonts w:ascii="Times New Roman" w:eastAsia="Times New Roman" w:hAnsi="Times New Roman"/>
          <w:bCs/>
          <w:sz w:val="20"/>
          <w:szCs w:val="20"/>
        </w:rPr>
        <w:t>2</w:t>
      </w:r>
    </w:p>
    <w:p w14:paraId="70AB08D2" w14:textId="77777777" w:rsidR="00FD5524" w:rsidRPr="0078621A" w:rsidRDefault="00FD5524" w:rsidP="00A46F87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Other Means of Identification:</w:t>
      </w:r>
      <w:r w:rsidRPr="0078621A">
        <w:rPr>
          <w:rFonts w:ascii="Times New Roman" w:eastAsia="Times New Roman" w:hAnsi="Times New Roman"/>
          <w:bCs/>
          <w:sz w:val="20"/>
          <w:szCs w:val="20"/>
        </w:rPr>
        <w:t xml:space="preserve">  Not </w:t>
      </w:r>
      <w:r w:rsidR="009F49E7" w:rsidRPr="0078621A">
        <w:rPr>
          <w:rFonts w:ascii="Times New Roman" w:eastAsia="Times New Roman" w:hAnsi="Times New Roman"/>
          <w:bCs/>
          <w:sz w:val="20"/>
          <w:szCs w:val="20"/>
        </w:rPr>
        <w:t>applicable</w:t>
      </w:r>
      <w:r w:rsidRPr="0078621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C7E5BB2" w14:textId="77777777" w:rsidR="00150BAB" w:rsidRPr="000613B3" w:rsidRDefault="00150BAB" w:rsidP="00A46F87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0613B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14:paraId="46909BCC" w14:textId="7B1E92DB" w:rsidR="00B86D70" w:rsidRPr="0078621A" w:rsidRDefault="00896794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</w:rPr>
      </w:pPr>
      <w:r w:rsidRPr="000613B3">
        <w:rPr>
          <w:rFonts w:ascii="Times New Roman" w:eastAsia="Times New Roman" w:hAnsi="Times New Roman" w:cs="CG Times"/>
          <w:sz w:val="20"/>
          <w:szCs w:val="20"/>
        </w:rPr>
        <w:t xml:space="preserve">This </w:t>
      </w:r>
      <w:r w:rsidR="001E7290" w:rsidRPr="000613B3">
        <w:rPr>
          <w:rFonts w:ascii="Times New Roman" w:eastAsia="Times New Roman" w:hAnsi="Times New Roman" w:cs="CG Times"/>
          <w:sz w:val="20"/>
          <w:szCs w:val="20"/>
        </w:rPr>
        <w:t>Standard Reference Material</w:t>
      </w:r>
      <w:r w:rsidR="002A3CC1" w:rsidRPr="000613B3">
        <w:rPr>
          <w:rFonts w:ascii="Times New Roman" w:eastAsia="Times New Roman" w:hAnsi="Times New Roman" w:cs="CG Times"/>
          <w:sz w:val="20"/>
          <w:szCs w:val="20"/>
        </w:rPr>
        <w:t> </w:t>
      </w:r>
      <w:r w:rsidR="001E7290" w:rsidRPr="000613B3">
        <w:rPr>
          <w:rFonts w:ascii="Times New Roman" w:eastAsia="Times New Roman" w:hAnsi="Times New Roman" w:cs="CG Times"/>
          <w:sz w:val="20"/>
          <w:szCs w:val="20"/>
        </w:rPr>
        <w:t xml:space="preserve">(SRM) 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 xml:space="preserve">is intended primarily for use </w:t>
      </w:r>
      <w:r w:rsidR="00C8643C" w:rsidRPr="000613B3">
        <w:rPr>
          <w:rFonts w:ascii="Times New Roman" w:eastAsia="Times New Roman" w:hAnsi="Times New Roman" w:cs="CG Times"/>
          <w:sz w:val="20"/>
          <w:szCs w:val="20"/>
        </w:rPr>
        <w:t>in spectrographic analysis of nickel by ASTM E129-57T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>.  A unit of SRM </w:t>
      </w:r>
      <w:r w:rsidR="002B1E97">
        <w:rPr>
          <w:rFonts w:ascii="Times New Roman" w:eastAsia="Times New Roman" w:hAnsi="Times New Roman" w:cs="CG Times"/>
          <w:sz w:val="20"/>
          <w:szCs w:val="20"/>
        </w:rPr>
        <w:t>672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 xml:space="preserve"> consists of </w:t>
      </w:r>
      <w:r w:rsidR="00A46F87" w:rsidRPr="000613B3">
        <w:rPr>
          <w:rFonts w:ascii="Times New Roman" w:eastAsia="Times New Roman" w:hAnsi="Times New Roman" w:cs="CG Times"/>
          <w:sz w:val="20"/>
          <w:szCs w:val="20"/>
        </w:rPr>
        <w:t>25</w:t>
      </w:r>
      <w:r w:rsidR="0078621A" w:rsidRPr="000613B3">
        <w:rPr>
          <w:rFonts w:ascii="Times New Roman" w:eastAsia="Times New Roman" w:hAnsi="Times New Roman" w:cs="CG Times"/>
          <w:sz w:val="20"/>
          <w:szCs w:val="20"/>
        </w:rPr>
        <w:t> </w:t>
      </w:r>
      <w:r w:rsidR="009A32BE" w:rsidRPr="000613B3">
        <w:rPr>
          <w:rFonts w:ascii="Times New Roman" w:eastAsia="Times New Roman" w:hAnsi="Times New Roman" w:cs="CG Times"/>
          <w:sz w:val="20"/>
          <w:szCs w:val="20"/>
        </w:rPr>
        <w:t xml:space="preserve">g of </w:t>
      </w:r>
      <w:r w:rsidR="00A46F87" w:rsidRPr="000613B3">
        <w:rPr>
          <w:rFonts w:ascii="Times New Roman" w:eastAsia="Times New Roman" w:hAnsi="Times New Roman" w:cs="CG Times"/>
          <w:sz w:val="20"/>
          <w:szCs w:val="20"/>
        </w:rPr>
        <w:t>nickel oxide</w:t>
      </w:r>
      <w:r w:rsidR="00ED573B">
        <w:rPr>
          <w:rFonts w:ascii="Times New Roman" w:eastAsia="Times New Roman" w:hAnsi="Times New Roman" w:cs="CG Times"/>
          <w:sz w:val="20"/>
          <w:szCs w:val="20"/>
        </w:rPr>
        <w:t xml:space="preserve"> powder.</w:t>
      </w:r>
    </w:p>
    <w:p w14:paraId="34B5BCBF" w14:textId="77777777" w:rsidR="00F6032E" w:rsidRPr="0078621A" w:rsidRDefault="00F6032E" w:rsidP="00A46F87">
      <w:pPr>
        <w:widowControl/>
        <w:spacing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78621A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78621A" w14:paraId="21383F37" w14:textId="77777777" w:rsidTr="002F28B5">
        <w:tc>
          <w:tcPr>
            <w:tcW w:w="4590" w:type="dxa"/>
          </w:tcPr>
          <w:p w14:paraId="3B16CAD9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8621A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7470AA0A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78621A" w14:paraId="47A8BDAF" w14:textId="77777777" w:rsidTr="002F28B5">
        <w:tc>
          <w:tcPr>
            <w:tcW w:w="4590" w:type="dxa"/>
          </w:tcPr>
          <w:p w14:paraId="05DDE4F2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8621A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2CA4C1BA" w14:textId="77777777" w:rsidR="00F6032E" w:rsidRPr="0078621A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082710BE" w14:textId="77777777" w:rsidTr="002F28B5">
        <w:tc>
          <w:tcPr>
            <w:tcW w:w="4590" w:type="dxa"/>
          </w:tcPr>
          <w:p w14:paraId="2F81B67F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8621A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1E42EA66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41529587" w14:textId="77777777" w:rsidTr="002F28B5">
        <w:tc>
          <w:tcPr>
            <w:tcW w:w="4590" w:type="dxa"/>
          </w:tcPr>
          <w:p w14:paraId="5DB9F9A7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42AB5116" w14:textId="77777777" w:rsidR="00F6032E" w:rsidRPr="00193FA9" w:rsidRDefault="00F6032E" w:rsidP="00A46F87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17CAC910" w14:textId="77777777" w:rsidTr="002F28B5">
        <w:tc>
          <w:tcPr>
            <w:tcW w:w="4590" w:type="dxa"/>
          </w:tcPr>
          <w:p w14:paraId="183F4266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4DE2FB2D" w14:textId="77777777" w:rsidR="00F6032E" w:rsidRPr="00193FA9" w:rsidRDefault="00F6032E" w:rsidP="00A46F8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6032E" w:rsidRPr="00193FA9" w14:paraId="77C4749B" w14:textId="77777777" w:rsidTr="002F28B5">
        <w:tc>
          <w:tcPr>
            <w:tcW w:w="4590" w:type="dxa"/>
          </w:tcPr>
          <w:p w14:paraId="59902AE0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0AC9B8D5" w14:textId="77777777" w:rsidR="00F6032E" w:rsidRPr="00193FA9" w:rsidRDefault="00F6032E" w:rsidP="00A46F8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F6032E" w:rsidRPr="00193FA9" w14:paraId="016E3FCC" w14:textId="77777777" w:rsidTr="002F28B5">
        <w:tc>
          <w:tcPr>
            <w:tcW w:w="4590" w:type="dxa"/>
          </w:tcPr>
          <w:p w14:paraId="46BA451C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2FA251A" w14:textId="77777777" w:rsidR="00F6032E" w:rsidRPr="00193FA9" w:rsidRDefault="00F6032E" w:rsidP="00A46F87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(North America)</w:t>
            </w:r>
          </w:p>
        </w:tc>
      </w:tr>
      <w:tr w:rsidR="00F6032E" w:rsidRPr="00193FA9" w14:paraId="3279EE52" w14:textId="77777777" w:rsidTr="002F28B5">
        <w:tc>
          <w:tcPr>
            <w:tcW w:w="4590" w:type="dxa"/>
          </w:tcPr>
          <w:p w14:paraId="7D923791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6D6ABA4C" w14:textId="77777777" w:rsidR="00F6032E" w:rsidRPr="00193FA9" w:rsidRDefault="00F6032E" w:rsidP="00A46F87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ab/>
            </w: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(International)</w:t>
            </w:r>
          </w:p>
        </w:tc>
      </w:tr>
      <w:tr w:rsidR="00F6032E" w:rsidRPr="00193FA9" w14:paraId="19809E48" w14:textId="77777777" w:rsidTr="002F28B5">
        <w:tc>
          <w:tcPr>
            <w:tcW w:w="4590" w:type="dxa"/>
          </w:tcPr>
          <w:p w14:paraId="0AB88B3F" w14:textId="77777777" w:rsidR="00F6032E" w:rsidRPr="00193FA9" w:rsidRDefault="00F6032E" w:rsidP="00A46F8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ind w:left="158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Pr="00272B23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64C29FFD" w14:textId="77777777" w:rsidR="00F6032E" w:rsidRPr="00193FA9" w:rsidRDefault="00F6032E" w:rsidP="00A46F87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4AD7FB4B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7644DCCF" w14:textId="77777777" w:rsidR="002B22C8" w:rsidRDefault="002B22C8" w:rsidP="00A46F87">
            <w:pPr>
              <w:widowControl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AD03D18" w14:textId="77777777" w:rsidR="001C4F6D" w:rsidRPr="00455695" w:rsidRDefault="002B22C8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01C49B30" w14:textId="77777777" w:rsidR="0073150A" w:rsidRPr="00E645C3" w:rsidRDefault="0073150A" w:rsidP="00A46F87">
      <w:pPr>
        <w:widowControl/>
        <w:tabs>
          <w:tab w:val="left" w:pos="2250"/>
          <w:tab w:val="left" w:pos="531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45C3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44226E" w:rsidRPr="00E645C3">
        <w:rPr>
          <w:rFonts w:ascii="Times New Roman" w:eastAsia="Times New Roman" w:hAnsi="Times New Roman"/>
          <w:bCs/>
          <w:sz w:val="20"/>
          <w:szCs w:val="20"/>
        </w:rPr>
        <w:tab/>
      </w:r>
      <w:r w:rsidR="00195830" w:rsidRPr="00E645C3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4528A1" w:rsidRPr="00E645C3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01EFAC5" w14:textId="53BAC1C0" w:rsidR="005C0BE4" w:rsidRPr="00E12C83" w:rsidRDefault="0073150A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645C3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44226E" w:rsidRPr="00E645C3">
        <w:rPr>
          <w:rFonts w:ascii="Times New Roman" w:eastAsia="Times New Roman" w:hAnsi="Times New Roman"/>
          <w:bCs/>
          <w:sz w:val="20"/>
          <w:szCs w:val="20"/>
        </w:rPr>
        <w:tab/>
      </w:r>
      <w:r w:rsidR="00D205F7" w:rsidRPr="00E12C83">
        <w:rPr>
          <w:rFonts w:ascii="Times New Roman" w:eastAsia="Times New Roman" w:hAnsi="Times New Roman"/>
          <w:bCs/>
          <w:sz w:val="20"/>
          <w:szCs w:val="20"/>
        </w:rPr>
        <w:t>Skin Sensitization</w:t>
      </w:r>
      <w:r w:rsidR="004A08F9" w:rsidRPr="00E12C83">
        <w:rPr>
          <w:rFonts w:ascii="Times New Roman" w:eastAsia="Times New Roman" w:hAnsi="Times New Roman"/>
          <w:bCs/>
          <w:sz w:val="20"/>
          <w:szCs w:val="20"/>
        </w:rPr>
        <w:tab/>
      </w:r>
      <w:r w:rsidR="005C0BE4" w:rsidRPr="00E12C83">
        <w:rPr>
          <w:rFonts w:ascii="Times New Roman" w:eastAsia="Times New Roman" w:hAnsi="Times New Roman"/>
          <w:bCs/>
          <w:sz w:val="20"/>
          <w:szCs w:val="20"/>
        </w:rPr>
        <w:t>Category</w:t>
      </w:r>
      <w:r w:rsidR="007301B8" w:rsidRPr="00E12C83">
        <w:rPr>
          <w:rFonts w:ascii="Times New Roman" w:eastAsia="Times New Roman" w:hAnsi="Times New Roman"/>
          <w:bCs/>
          <w:sz w:val="20"/>
          <w:szCs w:val="20"/>
        </w:rPr>
        <w:t> </w:t>
      </w:r>
      <w:r w:rsidR="00ED63EF" w:rsidRPr="00E12C83">
        <w:rPr>
          <w:rFonts w:ascii="Times New Roman" w:eastAsia="Times New Roman" w:hAnsi="Times New Roman"/>
          <w:bCs/>
          <w:sz w:val="20"/>
          <w:szCs w:val="20"/>
        </w:rPr>
        <w:t>1</w:t>
      </w:r>
    </w:p>
    <w:p w14:paraId="6463D6A6" w14:textId="63C106F9" w:rsidR="00E645C3" w:rsidRPr="00E12C83" w:rsidRDefault="00E645C3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12C83">
        <w:rPr>
          <w:rFonts w:ascii="Times New Roman" w:eastAsia="Times New Roman" w:hAnsi="Times New Roman"/>
          <w:bCs/>
          <w:sz w:val="20"/>
          <w:szCs w:val="20"/>
        </w:rPr>
        <w:tab/>
        <w:t>Carcinogenicity</w:t>
      </w:r>
      <w:r w:rsidRPr="00E12C83">
        <w:rPr>
          <w:rFonts w:ascii="Times New Roman" w:eastAsia="Times New Roman" w:hAnsi="Times New Roman"/>
          <w:bCs/>
          <w:sz w:val="20"/>
          <w:szCs w:val="20"/>
        </w:rPr>
        <w:tab/>
        <w:t>Category </w:t>
      </w:r>
      <w:r w:rsidR="001E49C6">
        <w:rPr>
          <w:rFonts w:ascii="Times New Roman" w:eastAsia="Times New Roman" w:hAnsi="Times New Roman"/>
          <w:bCs/>
          <w:sz w:val="20"/>
          <w:szCs w:val="20"/>
        </w:rPr>
        <w:t>1A</w:t>
      </w:r>
    </w:p>
    <w:p w14:paraId="2F87142F" w14:textId="7DB01A55" w:rsidR="004528A1" w:rsidRPr="00E645C3" w:rsidRDefault="00E645C3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12C83">
        <w:rPr>
          <w:rFonts w:ascii="Times New Roman" w:eastAsia="Times New Roman" w:hAnsi="Times New Roman"/>
          <w:bCs/>
          <w:sz w:val="20"/>
          <w:szCs w:val="20"/>
        </w:rPr>
        <w:tab/>
      </w:r>
      <w:r w:rsidR="004C03AB" w:rsidRPr="00E12C83">
        <w:rPr>
          <w:rFonts w:ascii="Times New Roman" w:eastAsia="Times New Roman" w:hAnsi="Times New Roman"/>
          <w:bCs/>
          <w:sz w:val="20"/>
          <w:szCs w:val="20"/>
        </w:rPr>
        <w:t>S</w:t>
      </w:r>
      <w:r w:rsidR="00B727C7" w:rsidRPr="00E12C83">
        <w:rPr>
          <w:rFonts w:ascii="Times New Roman" w:eastAsia="Times New Roman" w:hAnsi="Times New Roman"/>
          <w:bCs/>
          <w:sz w:val="20"/>
          <w:szCs w:val="20"/>
        </w:rPr>
        <w:t>TOT</w:t>
      </w:r>
      <w:r w:rsidR="00AA4138" w:rsidRPr="00E12C83">
        <w:rPr>
          <w:rFonts w:ascii="Times New Roman" w:eastAsia="Times New Roman" w:hAnsi="Times New Roman"/>
          <w:bCs/>
          <w:sz w:val="20"/>
          <w:szCs w:val="20"/>
        </w:rPr>
        <w:t>,</w:t>
      </w:r>
      <w:r w:rsidR="00AB6167" w:rsidRPr="00E12C83">
        <w:rPr>
          <w:rFonts w:ascii="Times New Roman" w:eastAsia="Times New Roman" w:hAnsi="Times New Roman"/>
          <w:bCs/>
          <w:sz w:val="20"/>
          <w:szCs w:val="20"/>
        </w:rPr>
        <w:t> </w:t>
      </w:r>
      <w:r w:rsidR="00AA4138" w:rsidRPr="00E12C83">
        <w:rPr>
          <w:rFonts w:ascii="Times New Roman" w:eastAsia="Times New Roman" w:hAnsi="Times New Roman"/>
          <w:bCs/>
          <w:sz w:val="20"/>
          <w:szCs w:val="20"/>
        </w:rPr>
        <w:t>Repeated Exposure</w:t>
      </w:r>
      <w:r w:rsidR="004A08F9" w:rsidRPr="00E12C83">
        <w:rPr>
          <w:rFonts w:ascii="Times New Roman" w:eastAsia="Times New Roman" w:hAnsi="Times New Roman"/>
          <w:bCs/>
          <w:sz w:val="20"/>
          <w:szCs w:val="20"/>
        </w:rPr>
        <w:tab/>
      </w:r>
      <w:r w:rsidR="00AB6167" w:rsidRPr="00E12C83">
        <w:rPr>
          <w:rFonts w:ascii="Times New Roman" w:eastAsia="Times New Roman" w:hAnsi="Times New Roman"/>
          <w:bCs/>
          <w:sz w:val="20"/>
          <w:szCs w:val="20"/>
        </w:rPr>
        <w:t>Category</w:t>
      </w:r>
      <w:r w:rsidR="007301B8" w:rsidRPr="00E12C83">
        <w:rPr>
          <w:rFonts w:ascii="Times New Roman" w:eastAsia="Times New Roman" w:hAnsi="Times New Roman"/>
          <w:bCs/>
          <w:sz w:val="20"/>
          <w:szCs w:val="20"/>
        </w:rPr>
        <w:t> </w:t>
      </w:r>
      <w:r w:rsidR="00BC1621" w:rsidRPr="00E12C83">
        <w:rPr>
          <w:rFonts w:ascii="Times New Roman" w:eastAsia="Times New Roman" w:hAnsi="Times New Roman"/>
          <w:bCs/>
          <w:sz w:val="20"/>
          <w:szCs w:val="20"/>
        </w:rPr>
        <w:t>1</w:t>
      </w:r>
    </w:p>
    <w:p w14:paraId="19C03E60" w14:textId="77777777" w:rsidR="00E645C3" w:rsidRPr="00E645C3" w:rsidRDefault="00E645C3" w:rsidP="00A46F87">
      <w:pPr>
        <w:widowControl/>
        <w:tabs>
          <w:tab w:val="left" w:pos="2250"/>
          <w:tab w:val="left" w:pos="477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6C1E26E3" w14:textId="77777777" w:rsidR="001409C6" w:rsidRPr="00015F8E" w:rsidRDefault="00730686" w:rsidP="00A46F87">
      <w:pPr>
        <w:widowControl/>
        <w:tabs>
          <w:tab w:val="left" w:pos="1890"/>
          <w:tab w:val="left" w:pos="61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E645C3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5BC6CE2C" w14:textId="77777777" w:rsidR="00054EF5" w:rsidRDefault="00730686" w:rsidP="00A46F87">
      <w:pPr>
        <w:widowControl/>
        <w:tabs>
          <w:tab w:val="left" w:pos="1890"/>
          <w:tab w:val="left" w:pos="6120"/>
        </w:tabs>
        <w:spacing w:before="6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Symbol</w:t>
      </w:r>
      <w:r w:rsidR="002F3DB6" w:rsidRPr="00DD592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74E043A0" w14:textId="77777777" w:rsidR="00910EA2" w:rsidRPr="00054EF5" w:rsidRDefault="00B8187C" w:rsidP="00A46F87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63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noProof/>
          <w:sz w:val="20"/>
          <w:szCs w:val="20"/>
        </w:rPr>
        <w:drawing>
          <wp:inline distT="0" distB="0" distL="0" distR="0" wp14:anchorId="2C4A1F7A" wp14:editId="4FB7A6A0">
            <wp:extent cx="731520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4EF5" w:rsidRPr="00F92C1D">
        <w:rPr>
          <w:noProof/>
        </w:rPr>
        <w:drawing>
          <wp:inline distT="0" distB="0" distL="0" distR="0" wp14:anchorId="3047F853" wp14:editId="540E4E49">
            <wp:extent cx="731520" cy="731520"/>
            <wp:effectExtent l="0" t="0" r="0" b="0"/>
            <wp:docPr id="2" name="Picture 8" descr="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e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4291" w14:textId="77777777" w:rsidR="002F3DB6" w:rsidRPr="002F3DB6" w:rsidRDefault="00730686" w:rsidP="00A46F87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hAnsi="Times New Roman"/>
          <w:bCs/>
          <w:i/>
          <w:sz w:val="20"/>
          <w:szCs w:val="20"/>
        </w:rPr>
      </w:pPr>
      <w:r w:rsidRPr="00015F8E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  <w:r w:rsidR="002F3DB6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2F3DB6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40483">
        <w:rPr>
          <w:rFonts w:ascii="Times New Roman" w:eastAsia="Times New Roman" w:hAnsi="Times New Roman"/>
          <w:bCs/>
          <w:sz w:val="20"/>
          <w:szCs w:val="20"/>
        </w:rPr>
        <w:t>DANGER</w:t>
      </w:r>
    </w:p>
    <w:p w14:paraId="44F98ED1" w14:textId="77777777" w:rsidR="00054EF5" w:rsidRPr="008A41BE" w:rsidRDefault="00730686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8A41BE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2F3DB6" w:rsidRPr="008A41BE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34E8AF1C" w14:textId="5EFF3AE4" w:rsidR="001E7290" w:rsidRPr="008A41BE" w:rsidRDefault="001E7290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Cs/>
          <w:sz w:val="20"/>
          <w:szCs w:val="20"/>
        </w:rPr>
        <w:t>H3</w:t>
      </w:r>
      <w:r w:rsidR="002B1D2D" w:rsidRPr="008A41BE">
        <w:rPr>
          <w:rFonts w:ascii="Times New Roman" w:eastAsia="Times New Roman" w:hAnsi="Times New Roman"/>
          <w:bCs/>
          <w:sz w:val="20"/>
          <w:szCs w:val="20"/>
        </w:rPr>
        <w:t>17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ab/>
      </w:r>
      <w:r w:rsidR="002B1D2D" w:rsidRPr="008A41BE">
        <w:rPr>
          <w:rFonts w:ascii="Times New Roman" w:eastAsia="Times New Roman" w:hAnsi="Times New Roman"/>
          <w:bCs/>
          <w:sz w:val="20"/>
          <w:szCs w:val="20"/>
        </w:rPr>
        <w:t>May cause an allergic skin reaction</w:t>
      </w:r>
      <w:r w:rsidR="00896794" w:rsidRPr="008A41B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A6164FD" w14:textId="5EE60AA4" w:rsidR="00CE19D1" w:rsidRPr="008A41BE" w:rsidRDefault="00CE19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Cs/>
          <w:sz w:val="20"/>
          <w:szCs w:val="20"/>
        </w:rPr>
        <w:t>H35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0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ab/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 xml:space="preserve">May </w:t>
      </w:r>
      <w:r w:rsidR="00ED4774" w:rsidRPr="008A41BE">
        <w:rPr>
          <w:rFonts w:ascii="Times New Roman" w:eastAsia="Times New Roman" w:hAnsi="Times New Roman"/>
          <w:bCs/>
          <w:sz w:val="20"/>
          <w:szCs w:val="20"/>
        </w:rPr>
        <w:t>caus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e</w:t>
      </w:r>
      <w:r w:rsidR="00ED63EF" w:rsidRP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cancer.</w:t>
      </w:r>
    </w:p>
    <w:p w14:paraId="005EE0D6" w14:textId="41D53C27" w:rsidR="002F3DB6" w:rsidRPr="008A41BE" w:rsidRDefault="00EE75D1" w:rsidP="00A46F87">
      <w:pPr>
        <w:widowControl/>
        <w:tabs>
          <w:tab w:val="left" w:pos="1620"/>
        </w:tabs>
        <w:spacing w:after="0" w:line="240" w:lineRule="auto"/>
        <w:ind w:left="1620" w:hanging="12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Cs/>
          <w:sz w:val="20"/>
          <w:szCs w:val="20"/>
        </w:rPr>
        <w:t>H37</w:t>
      </w:r>
      <w:r w:rsidR="00497D5E" w:rsidRPr="008A41BE">
        <w:rPr>
          <w:rFonts w:ascii="Times New Roman" w:eastAsia="Times New Roman" w:hAnsi="Times New Roman"/>
          <w:bCs/>
          <w:sz w:val="20"/>
          <w:szCs w:val="20"/>
        </w:rPr>
        <w:t>3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ab/>
      </w:r>
      <w:r w:rsidR="00497D5E" w:rsidRPr="008A41BE">
        <w:rPr>
          <w:rFonts w:ascii="Times New Roman" w:eastAsia="Times New Roman" w:hAnsi="Times New Roman"/>
          <w:bCs/>
          <w:sz w:val="20"/>
          <w:szCs w:val="20"/>
        </w:rPr>
        <w:t>May c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ause</w:t>
      </w:r>
      <w:r w:rsidR="00C51166" w:rsidRPr="008A41BE">
        <w:rPr>
          <w:rFonts w:ascii="Times New Roman" w:eastAsia="Times New Roman" w:hAnsi="Times New Roman"/>
          <w:bCs/>
          <w:sz w:val="20"/>
          <w:szCs w:val="20"/>
        </w:rPr>
        <w:t xml:space="preserve"> damage to the lungs 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through prolonged or repeated exposure</w:t>
      </w:r>
      <w:r w:rsidR="00ED4774" w:rsidRPr="008A41BE">
        <w:rPr>
          <w:rFonts w:ascii="Times New Roman" w:eastAsia="Times New Roman" w:hAnsi="Times New Roman"/>
          <w:bCs/>
          <w:sz w:val="20"/>
          <w:szCs w:val="20"/>
        </w:rPr>
        <w:t xml:space="preserve"> inhalation</w:t>
      </w:r>
      <w:r w:rsidRPr="008A41BE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2E433C1" w14:textId="77777777" w:rsidR="00910EA2" w:rsidRPr="00ED4774" w:rsidRDefault="00730686" w:rsidP="00A46F87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8A41BE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F3381A" w:rsidRPr="008A41BE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7A24DEE" w14:textId="7777777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P201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>Obtain special instructions before use.</w:t>
      </w:r>
    </w:p>
    <w:p w14:paraId="48946B04" w14:textId="77777777" w:rsidR="00ED63EF" w:rsidRPr="00ED4774" w:rsidRDefault="00490BF9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P202</w:t>
      </w:r>
      <w:r w:rsidR="00ED63EF" w:rsidRPr="00ED4774">
        <w:rPr>
          <w:rFonts w:ascii="Times New Roman" w:eastAsia="Times New Roman" w:hAnsi="Times New Roman"/>
          <w:bCs/>
          <w:sz w:val="20"/>
          <w:szCs w:val="20"/>
        </w:rPr>
        <w:tab/>
        <w:t>Do not handle until all safety precautions have been re</w:t>
      </w:r>
      <w:r w:rsidR="00B93EE1" w:rsidRPr="00ED4774">
        <w:rPr>
          <w:rFonts w:ascii="Times New Roman" w:eastAsia="Times New Roman" w:hAnsi="Times New Roman"/>
          <w:bCs/>
          <w:sz w:val="20"/>
          <w:szCs w:val="20"/>
        </w:rPr>
        <w:t>a</w:t>
      </w:r>
      <w:r w:rsidR="00ED63EF" w:rsidRPr="00ED4774">
        <w:rPr>
          <w:rFonts w:ascii="Times New Roman" w:eastAsia="Times New Roman" w:hAnsi="Times New Roman"/>
          <w:bCs/>
          <w:sz w:val="20"/>
          <w:szCs w:val="20"/>
        </w:rPr>
        <w:t>d and understood.</w:t>
      </w:r>
    </w:p>
    <w:p w14:paraId="00DA6434" w14:textId="66226BDD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P26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1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>Do not breathe dust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 xml:space="preserve"> and fumes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542DA02" w14:textId="7777777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P264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 xml:space="preserve">Wash </w:t>
      </w:r>
      <w:r w:rsidR="00A35853" w:rsidRPr="00ED4774">
        <w:rPr>
          <w:rFonts w:ascii="Times New Roman" w:eastAsia="Times New Roman" w:hAnsi="Times New Roman"/>
          <w:bCs/>
          <w:sz w:val="20"/>
          <w:szCs w:val="20"/>
        </w:rPr>
        <w:t xml:space="preserve">hands 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thoroughly after handling.</w:t>
      </w:r>
    </w:p>
    <w:p w14:paraId="00B264A2" w14:textId="39E598A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P270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  <w:t>Do not eat, drink or smoke when using this product.</w:t>
      </w:r>
    </w:p>
    <w:p w14:paraId="56CB5AFD" w14:textId="099F5D38" w:rsidR="00B8187C" w:rsidRPr="00ED4774" w:rsidRDefault="00B8187C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P27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2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Contaminated work clothing should not be allowed out of the workplace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26E8855" w14:textId="77777777" w:rsidR="00EE75D1" w:rsidRPr="00ED4774" w:rsidRDefault="00EE75D1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P28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>0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 xml:space="preserve">Wear </w:t>
      </w:r>
      <w:r w:rsidR="00A76B4F" w:rsidRPr="00ED4774">
        <w:rPr>
          <w:rFonts w:ascii="Times New Roman" w:eastAsia="Times New Roman" w:hAnsi="Times New Roman"/>
          <w:bCs/>
          <w:sz w:val="20"/>
          <w:szCs w:val="20"/>
        </w:rPr>
        <w:t>p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 xml:space="preserve">rotective gloves, protective clothing, </w:t>
      </w:r>
      <w:r w:rsidR="00BF74D6" w:rsidRPr="00ED4774">
        <w:rPr>
          <w:rFonts w:ascii="Times New Roman" w:eastAsia="Times New Roman" w:hAnsi="Times New Roman"/>
          <w:bCs/>
          <w:sz w:val="20"/>
          <w:szCs w:val="20"/>
        </w:rPr>
        <w:t xml:space="preserve">and 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>eye protection</w:t>
      </w:r>
      <w:r w:rsidR="00DE5B24"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6AA8922" w14:textId="77777777" w:rsidR="002B1D2D" w:rsidRPr="00ED4774" w:rsidRDefault="002B1D2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0BAC21BA" w14:textId="00DE57FF" w:rsidR="00025AFE" w:rsidRPr="00ED4774" w:rsidRDefault="002B1D2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P302</w:t>
      </w:r>
      <w:r w:rsidR="00025AFE" w:rsidRPr="00ED4774">
        <w:rPr>
          <w:rFonts w:ascii="Times New Roman" w:eastAsia="Times New Roman" w:hAnsi="Times New Roman"/>
          <w:bCs/>
          <w:sz w:val="20"/>
          <w:szCs w:val="20"/>
        </w:rPr>
        <w:t xml:space="preserve"> + P3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52</w:t>
      </w:r>
      <w:r w:rsidR="00025AFE" w:rsidRPr="00ED4774">
        <w:rPr>
          <w:rFonts w:ascii="Times New Roman" w:eastAsia="Times New Roman" w:hAnsi="Times New Roman"/>
          <w:bCs/>
          <w:sz w:val="20"/>
          <w:szCs w:val="20"/>
        </w:rPr>
        <w:tab/>
        <w:t xml:space="preserve">If 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on skin</w:t>
      </w:r>
      <w:r w:rsidR="00025AFE" w:rsidRPr="00ED4774">
        <w:rPr>
          <w:rFonts w:ascii="Times New Roman" w:eastAsia="Times New Roman" w:hAnsi="Times New Roman"/>
          <w:bCs/>
          <w:sz w:val="20"/>
          <w:szCs w:val="20"/>
        </w:rPr>
        <w:t xml:space="preserve">:  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Wash with plenty of water.</w:t>
      </w:r>
    </w:p>
    <w:p w14:paraId="5A5502B9" w14:textId="00EF4A3F" w:rsidR="00B8187C" w:rsidRPr="00ED4774" w:rsidRDefault="00B8187C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16"/>
          <w:szCs w:val="16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P33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3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If skin irritation or rash occurs:  Get medical attention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A5653CB" w14:textId="6859C4C5" w:rsidR="004E4B3D" w:rsidRPr="00ED4774" w:rsidRDefault="004E4B3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P3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62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 xml:space="preserve"> + P3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64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EA060E" w:rsidRPr="00EA060E">
        <w:rPr>
          <w:rFonts w:ascii="Times New Roman" w:eastAsia="Times New Roman" w:hAnsi="Times New Roman"/>
          <w:bCs/>
          <w:sz w:val="20"/>
          <w:szCs w:val="20"/>
        </w:rPr>
        <w:t>Wash contaminated clothing before reuse</w:t>
      </w:r>
      <w:r w:rsidR="002B1D2D"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CD94B65" w14:textId="77777777" w:rsidR="00B8187C" w:rsidRPr="00ED4774" w:rsidRDefault="00B8187C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16"/>
          <w:szCs w:val="16"/>
        </w:rPr>
      </w:pPr>
    </w:p>
    <w:p w14:paraId="272E2175" w14:textId="77777777" w:rsidR="00FF18F4" w:rsidRDefault="00FF18F4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t>P</w:t>
      </w:r>
      <w:r w:rsidR="00490BF9" w:rsidRPr="00ED4774">
        <w:rPr>
          <w:rFonts w:ascii="Times New Roman" w:eastAsia="Times New Roman" w:hAnsi="Times New Roman"/>
          <w:bCs/>
          <w:sz w:val="20"/>
          <w:szCs w:val="20"/>
        </w:rPr>
        <w:t xml:space="preserve">308 + </w:t>
      </w:r>
      <w:r w:rsidR="00EA14A4" w:rsidRPr="00ED4774">
        <w:rPr>
          <w:rFonts w:ascii="Times New Roman" w:eastAsia="Times New Roman" w:hAnsi="Times New Roman"/>
          <w:bCs/>
          <w:sz w:val="20"/>
          <w:szCs w:val="20"/>
        </w:rPr>
        <w:t>P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31</w:t>
      </w:r>
      <w:r w:rsidR="00490BF9" w:rsidRPr="00ED4774">
        <w:rPr>
          <w:rFonts w:ascii="Times New Roman" w:eastAsia="Times New Roman" w:hAnsi="Times New Roman"/>
          <w:bCs/>
          <w:sz w:val="20"/>
          <w:szCs w:val="20"/>
        </w:rPr>
        <w:t>3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ab/>
      </w:r>
      <w:r w:rsidR="00DE5B24" w:rsidRPr="00ED4774">
        <w:rPr>
          <w:rFonts w:ascii="Times New Roman" w:eastAsia="Times New Roman" w:hAnsi="Times New Roman"/>
          <w:bCs/>
          <w:sz w:val="20"/>
          <w:szCs w:val="20"/>
        </w:rPr>
        <w:t>I</w:t>
      </w:r>
      <w:r w:rsidR="00A35853" w:rsidRPr="00ED4774">
        <w:rPr>
          <w:rFonts w:ascii="Times New Roman" w:eastAsia="Times New Roman" w:hAnsi="Times New Roman"/>
          <w:bCs/>
          <w:sz w:val="20"/>
          <w:szCs w:val="20"/>
        </w:rPr>
        <w:t>f</w:t>
      </w:r>
      <w:r w:rsidR="00DE5B24" w:rsidRPr="00ED4774">
        <w:rPr>
          <w:rFonts w:ascii="Times New Roman" w:eastAsia="Times New Roman" w:hAnsi="Times New Roman"/>
          <w:bCs/>
          <w:sz w:val="20"/>
          <w:szCs w:val="20"/>
        </w:rPr>
        <w:t xml:space="preserve"> exposed of concerned:  Get medical </w:t>
      </w:r>
      <w:r w:rsidR="00B8187C" w:rsidRPr="00ED4774">
        <w:rPr>
          <w:rFonts w:ascii="Times New Roman" w:eastAsia="Times New Roman" w:hAnsi="Times New Roman"/>
          <w:bCs/>
          <w:sz w:val="20"/>
          <w:szCs w:val="20"/>
        </w:rPr>
        <w:t>attention</w:t>
      </w:r>
      <w:r w:rsidRPr="00ED4774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5D4C0B4" w14:textId="77777777" w:rsidR="00CE19D1" w:rsidRPr="00ED4774" w:rsidRDefault="00F7248D" w:rsidP="00A46F87">
      <w:pPr>
        <w:widowControl/>
        <w:tabs>
          <w:tab w:val="left" w:pos="16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D4774">
        <w:rPr>
          <w:rFonts w:ascii="Times New Roman" w:eastAsia="Times New Roman" w:hAnsi="Times New Roman"/>
          <w:bCs/>
          <w:sz w:val="20"/>
          <w:szCs w:val="20"/>
        </w:rPr>
        <w:lastRenderedPageBreak/>
        <w:t>P</w:t>
      </w:r>
      <w:r w:rsidR="00CE19D1" w:rsidRPr="00ED4774">
        <w:rPr>
          <w:rFonts w:ascii="Times New Roman" w:eastAsia="Times New Roman" w:hAnsi="Times New Roman"/>
          <w:bCs/>
          <w:sz w:val="20"/>
          <w:szCs w:val="20"/>
        </w:rPr>
        <w:t>405</w:t>
      </w:r>
      <w:r w:rsidR="00CE19D1" w:rsidRPr="00ED4774">
        <w:rPr>
          <w:rFonts w:ascii="Times New Roman" w:eastAsia="Times New Roman" w:hAnsi="Times New Roman"/>
          <w:bCs/>
          <w:sz w:val="20"/>
          <w:szCs w:val="20"/>
        </w:rPr>
        <w:tab/>
        <w:t>Store locked up.</w:t>
      </w:r>
    </w:p>
    <w:p w14:paraId="2DF19EB2" w14:textId="044B5C3A" w:rsidR="00BE0B0E" w:rsidRPr="00B8187C" w:rsidRDefault="00BE0B0E" w:rsidP="00A46F87">
      <w:pPr>
        <w:widowControl/>
        <w:tabs>
          <w:tab w:val="left" w:pos="1620"/>
        </w:tabs>
        <w:spacing w:before="60" w:after="0" w:line="240" w:lineRule="auto"/>
        <w:ind w:left="1620" w:hanging="12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2B1D2D">
        <w:rPr>
          <w:rFonts w:ascii="Times New Roman" w:eastAsia="Times New Roman" w:hAnsi="Times New Roman"/>
          <w:bCs/>
          <w:sz w:val="20"/>
          <w:szCs w:val="20"/>
        </w:rPr>
        <w:t>P501</w:t>
      </w:r>
      <w:r w:rsidRPr="002B1D2D">
        <w:rPr>
          <w:rFonts w:ascii="Times New Roman" w:eastAsia="Times New Roman" w:hAnsi="Times New Roman"/>
          <w:bCs/>
          <w:sz w:val="20"/>
          <w:szCs w:val="20"/>
        </w:rPr>
        <w:tab/>
        <w:t xml:space="preserve">Dispose of contents and container </w:t>
      </w:r>
      <w:r w:rsidR="004A08F9" w:rsidRPr="002B1D2D">
        <w:rPr>
          <w:rFonts w:ascii="Times New Roman" w:eastAsia="Times New Roman" w:hAnsi="Times New Roman"/>
          <w:bCs/>
          <w:sz w:val="20"/>
          <w:szCs w:val="20"/>
        </w:rPr>
        <w:t>according to local</w:t>
      </w:r>
      <w:r w:rsidR="0092134F" w:rsidRPr="002B1D2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2B1D2D">
        <w:rPr>
          <w:rFonts w:ascii="Times New Roman" w:eastAsia="Times New Roman" w:hAnsi="Times New Roman"/>
          <w:bCs/>
          <w:sz w:val="20"/>
          <w:szCs w:val="20"/>
        </w:rPr>
        <w:t>regulations.</w:t>
      </w:r>
    </w:p>
    <w:p w14:paraId="2961DC52" w14:textId="77777777" w:rsidR="002F3DB6" w:rsidRPr="002F3DB6" w:rsidRDefault="00910EA2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8187C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="002F3DB6" w:rsidRPr="00B8187C">
        <w:rPr>
          <w:rFonts w:ascii="Times New Roman" w:eastAsia="Times New Roman" w:hAnsi="Times New Roman"/>
          <w:bCs/>
          <w:sz w:val="20"/>
          <w:szCs w:val="20"/>
        </w:rPr>
        <w:t xml:space="preserve">  Not applicable.</w:t>
      </w:r>
    </w:p>
    <w:p w14:paraId="2A4DFE79" w14:textId="77777777" w:rsidR="00371ED3" w:rsidRPr="00352F5F" w:rsidRDefault="00910EA2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352F5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352F5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 w:rsidRPr="00352F5F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 w:rsidRPr="00352F5F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352F5F" w14:paraId="57CAF652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0D2822C7" w14:textId="77777777" w:rsidR="00371ED3" w:rsidRPr="00352F5F" w:rsidRDefault="00371ED3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 w:rsidRPr="00352F5F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352F5F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352F5F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352F5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352F5F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352F5F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0589350" w14:textId="117C1E56" w:rsidR="00BB0995" w:rsidRPr="00352F5F" w:rsidRDefault="00BB0995" w:rsidP="00A46F87">
      <w:pPr>
        <w:widowControl/>
        <w:tabs>
          <w:tab w:val="left" w:pos="5440"/>
        </w:tabs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352F5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352F5F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C0227" w:rsidRPr="00352F5F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A46F87">
        <w:rPr>
          <w:rFonts w:ascii="Times New Roman" w:eastAsia="Times New Roman" w:hAnsi="Times New Roman"/>
          <w:bCs/>
          <w:spacing w:val="1"/>
          <w:sz w:val="20"/>
          <w:szCs w:val="20"/>
        </w:rPr>
        <w:t>Nickel oxide</w:t>
      </w:r>
    </w:p>
    <w:p w14:paraId="180ECF7C" w14:textId="52D5FB9E" w:rsidR="00037080" w:rsidRPr="007009BB" w:rsidRDefault="00BB0995" w:rsidP="00A46F87">
      <w:pPr>
        <w:widowControl/>
        <w:tabs>
          <w:tab w:val="left" w:pos="450"/>
        </w:tabs>
        <w:spacing w:after="12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352F5F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352F5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352F5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352F5F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352F5F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="0083346F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20925" w:rsidRPr="00D20925">
        <w:rPr>
          <w:rFonts w:ascii="Times New Roman" w:eastAsia="Times New Roman" w:hAnsi="Times New Roman"/>
          <w:sz w:val="20"/>
          <w:szCs w:val="20"/>
        </w:rPr>
        <w:t>Nickel monoxide; black nickel oxide; nickel oxide sinter 75; bunsenite; nickelous oxide</w:t>
      </w:r>
    </w:p>
    <w:tbl>
      <w:tblPr>
        <w:tblStyle w:val="TableGrid1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1710"/>
        <w:gridCol w:w="1710"/>
        <w:gridCol w:w="2880"/>
      </w:tblGrid>
      <w:tr w:rsidR="00037080" w:rsidRPr="007009BB" w14:paraId="3AFEE93D" w14:textId="77777777" w:rsidTr="00404F6B">
        <w:trPr>
          <w:trHeight w:val="576"/>
        </w:trPr>
        <w:tc>
          <w:tcPr>
            <w:tcW w:w="3078" w:type="dxa"/>
          </w:tcPr>
          <w:p w14:paraId="0B3A7B9A" w14:textId="77777777" w:rsidR="00037080" w:rsidRPr="007009BB" w:rsidRDefault="00037080" w:rsidP="00A46F87">
            <w:pPr>
              <w:widowControl/>
              <w:spacing w:after="0" w:line="240" w:lineRule="auto"/>
              <w:ind w:left="360" w:right="-108"/>
              <w:rPr>
                <w:rFonts w:ascii="Times New Roman" w:eastAsia="Times New Roman" w:hAnsi="Times New Roman"/>
                <w:sz w:val="18"/>
                <w:szCs w:val="18"/>
                <w:vertAlign w:val="superscript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nent(s)</w:t>
            </w:r>
          </w:p>
        </w:tc>
        <w:tc>
          <w:tcPr>
            <w:tcW w:w="1710" w:type="dxa"/>
          </w:tcPr>
          <w:p w14:paraId="5DA480B9" w14:textId="77777777" w:rsidR="00037080" w:rsidRPr="007009BB" w:rsidRDefault="00037080" w:rsidP="00A46F87">
            <w:pPr>
              <w:widowControl/>
              <w:tabs>
                <w:tab w:val="center" w:pos="1089"/>
              </w:tabs>
              <w:spacing w:after="0" w:line="240" w:lineRule="auto"/>
              <w:ind w:right="252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7009BB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710" w:type="dxa"/>
          </w:tcPr>
          <w:p w14:paraId="0AEB1D21" w14:textId="77777777" w:rsidR="00037080" w:rsidRPr="007009BB" w:rsidRDefault="00037080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7009BB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78C92399" w14:textId="77777777" w:rsidR="00037080" w:rsidRPr="007009BB" w:rsidRDefault="00037080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880" w:type="dxa"/>
          </w:tcPr>
          <w:p w14:paraId="57678FA7" w14:textId="77777777" w:rsidR="00037080" w:rsidRPr="007009BB" w:rsidRDefault="00037080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7009BB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7009BB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7009BB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7009BB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7009BB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="00F3381A"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 xml:space="preserve">n </w:t>
            </w:r>
            <w:r w:rsidRPr="007009BB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br/>
            </w:r>
            <w:r w:rsidRPr="007009BB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7009BB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1E7290" w:rsidRPr="00125F0D" w14:paraId="66CD0739" w14:textId="77777777" w:rsidTr="00404F6B">
        <w:trPr>
          <w:trHeight w:val="288"/>
        </w:trPr>
        <w:tc>
          <w:tcPr>
            <w:tcW w:w="3078" w:type="dxa"/>
            <w:vAlign w:val="bottom"/>
          </w:tcPr>
          <w:p w14:paraId="60468E64" w14:textId="426663F4" w:rsidR="001E7290" w:rsidRPr="00125F0D" w:rsidRDefault="00A46F87" w:rsidP="00A46F87">
            <w:pPr>
              <w:widowControl/>
              <w:spacing w:after="0" w:line="240" w:lineRule="auto"/>
              <w:ind w:left="360" w:right="-108"/>
              <w:rPr>
                <w:rFonts w:ascii="Times New Roman" w:eastAsia="Times New Roman" w:hAnsi="Times New Roman"/>
                <w:bCs/>
                <w:spacing w:val="2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Nickel oxide</w:t>
            </w:r>
          </w:p>
        </w:tc>
        <w:tc>
          <w:tcPr>
            <w:tcW w:w="1710" w:type="dxa"/>
            <w:vAlign w:val="bottom"/>
          </w:tcPr>
          <w:p w14:paraId="0DD18C3D" w14:textId="407E47AD" w:rsidR="001E7290" w:rsidRPr="00125F0D" w:rsidRDefault="00D20925" w:rsidP="00A46F87">
            <w:pPr>
              <w:widowControl/>
              <w:tabs>
                <w:tab w:val="right" w:pos="1242"/>
              </w:tabs>
              <w:spacing w:after="0" w:line="240" w:lineRule="auto"/>
              <w:ind w:right="252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1313-99-1</w:t>
            </w:r>
          </w:p>
        </w:tc>
        <w:tc>
          <w:tcPr>
            <w:tcW w:w="1710" w:type="dxa"/>
            <w:vAlign w:val="bottom"/>
          </w:tcPr>
          <w:p w14:paraId="3AFDC7F1" w14:textId="0158CE8F" w:rsidR="001E7290" w:rsidRPr="00125F0D" w:rsidRDefault="007009BB" w:rsidP="00D20925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125F0D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  <w:r w:rsidR="00D20925">
              <w:rPr>
                <w:rFonts w:ascii="Times New Roman" w:eastAsia="Times New Roman" w:hAnsi="Times New Roman"/>
                <w:bCs/>
                <w:sz w:val="20"/>
                <w:szCs w:val="20"/>
              </w:rPr>
              <w:t>15-215-7</w:t>
            </w:r>
          </w:p>
        </w:tc>
        <w:tc>
          <w:tcPr>
            <w:tcW w:w="2880" w:type="dxa"/>
            <w:vAlign w:val="bottom"/>
          </w:tcPr>
          <w:p w14:paraId="34EC42D7" w14:textId="757E88EE" w:rsidR="001E7290" w:rsidRPr="00125F0D" w:rsidRDefault="007009BB" w:rsidP="00A46F87">
            <w:pPr>
              <w:widowControl/>
              <w:tabs>
                <w:tab w:val="decimal" w:pos="1332"/>
              </w:tabs>
              <w:spacing w:after="0" w:line="240" w:lineRule="auto"/>
              <w:rPr>
                <w:rFonts w:ascii="Times New Roman" w:eastAsia="Times New Roman" w:hAnsi="Times New Roman"/>
                <w:spacing w:val="1"/>
                <w:w w:val="99"/>
                <w:sz w:val="20"/>
                <w:szCs w:val="20"/>
              </w:rPr>
            </w:pPr>
            <w:r w:rsidRPr="00125F0D">
              <w:rPr>
                <w:rFonts w:ascii="Times New Roman" w:eastAsia="Times New Roman" w:hAnsi="Times New Roman"/>
                <w:sz w:val="20"/>
                <w:szCs w:val="20"/>
              </w:rPr>
              <w:t>100</w:t>
            </w:r>
          </w:p>
        </w:tc>
      </w:tr>
    </w:tbl>
    <w:p w14:paraId="629AFCBB" w14:textId="77777777" w:rsidR="000062AB" w:rsidRPr="00125F0D" w:rsidRDefault="000062AB" w:rsidP="00A46F87">
      <w:pPr>
        <w:widowControl/>
        <w:spacing w:after="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125F0D" w14:paraId="6A31CA8D" w14:textId="77777777" w:rsidTr="002F28B5">
        <w:trPr>
          <w:trHeight w:hRule="exact" w:val="360"/>
        </w:trPr>
        <w:tc>
          <w:tcPr>
            <w:tcW w:w="9288" w:type="dxa"/>
            <w:vAlign w:val="center"/>
          </w:tcPr>
          <w:p w14:paraId="6EDE88C4" w14:textId="77777777" w:rsidR="00037080" w:rsidRPr="00125F0D" w:rsidRDefault="00037080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25F0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4.</w:t>
            </w:r>
            <w:r w:rsidRPr="00125F0D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RST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125F0D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13346D19" w14:textId="77777777" w:rsidR="00C508A0" w:rsidRPr="00125F0D" w:rsidRDefault="00BB0995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14:paraId="5D4A24CF" w14:textId="77777777" w:rsidR="00C508A0" w:rsidRPr="00125F0D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125F0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125F0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125F0D">
        <w:rPr>
          <w:rFonts w:ascii="Times New Roman" w:eastAsia="Times New Roman" w:hAnsi="Times New Roman"/>
          <w:bCs/>
          <w:sz w:val="20"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0072F30B" w14:textId="77777777" w:rsidR="00C508A0" w:rsidRPr="00125F0D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125F0D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125F0D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125F0D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125F0D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125F0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125F0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D38F6" w:rsidRPr="00125F0D">
        <w:rPr>
          <w:rFonts w:ascii="Times New Roman" w:eastAsia="Times New Roman" w:hAnsi="Times New Roman"/>
          <w:bCs/>
          <w:sz w:val="20"/>
          <w:szCs w:val="20"/>
        </w:rPr>
        <w:t>Wash skin with soap and water for at least 15</w:t>
      </w:r>
      <w:r w:rsidR="00352F5F" w:rsidRPr="00125F0D">
        <w:rPr>
          <w:rFonts w:ascii="Times New Roman" w:eastAsia="Times New Roman" w:hAnsi="Times New Roman"/>
          <w:bCs/>
          <w:sz w:val="20"/>
          <w:szCs w:val="20"/>
        </w:rPr>
        <w:t> </w:t>
      </w:r>
      <w:r w:rsidR="00DD38F6" w:rsidRPr="00125F0D">
        <w:rPr>
          <w:rFonts w:ascii="Times New Roman" w:eastAsia="Times New Roman" w:hAnsi="Times New Roman"/>
          <w:bCs/>
          <w:sz w:val="20"/>
          <w:szCs w:val="20"/>
        </w:rPr>
        <w:t>minutes</w:t>
      </w:r>
      <w:r w:rsidR="00F3381A" w:rsidRPr="00125F0D">
        <w:rPr>
          <w:rFonts w:ascii="Times New Roman" w:eastAsia="Times New Roman" w:hAnsi="Times New Roman"/>
          <w:bCs/>
          <w:sz w:val="20"/>
          <w:szCs w:val="20"/>
        </w:rPr>
        <w:t>.</w:t>
      </w:r>
      <w:r w:rsidR="00472A7C" w:rsidRPr="00125F0D">
        <w:rPr>
          <w:rFonts w:ascii="Times New Roman" w:eastAsia="Times New Roman" w:hAnsi="Times New Roman"/>
          <w:bCs/>
          <w:sz w:val="20"/>
          <w:szCs w:val="20"/>
        </w:rPr>
        <w:t xml:space="preserve">  If necessary, seek medical attention.</w:t>
      </w:r>
    </w:p>
    <w:p w14:paraId="54E2984E" w14:textId="77777777" w:rsidR="00C508A0" w:rsidRPr="00520D37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20D37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520D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>F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>lush eyes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 xml:space="preserve"> with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 water for at least </w:t>
      </w:r>
      <w:r w:rsidR="007E107C" w:rsidRPr="00520D37">
        <w:rPr>
          <w:rFonts w:ascii="Times New Roman" w:eastAsia="Times New Roman" w:hAnsi="Times New Roman"/>
          <w:bCs/>
          <w:sz w:val="20"/>
          <w:szCs w:val="20"/>
        </w:rPr>
        <w:t>15</w:t>
      </w:r>
      <w:r w:rsidR="00352F5F" w:rsidRPr="00520D37">
        <w:rPr>
          <w:rFonts w:ascii="Times New Roman" w:eastAsia="Times New Roman" w:hAnsi="Times New Roman"/>
          <w:bCs/>
          <w:sz w:val="20"/>
          <w:szCs w:val="20"/>
        </w:rPr>
        <w:t> 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minutes.  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>If necessary, s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>eek medical attention.</w:t>
      </w:r>
    </w:p>
    <w:p w14:paraId="13F9C1BB" w14:textId="77777777" w:rsidR="00E24579" w:rsidRPr="00520D37" w:rsidRDefault="00BF5DD9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20D3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20D3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F3381A" w:rsidRPr="00520D37">
        <w:rPr>
          <w:rFonts w:ascii="Times New Roman" w:eastAsia="Times New Roman" w:hAnsi="Times New Roman"/>
          <w:bCs/>
          <w:sz w:val="20"/>
          <w:szCs w:val="20"/>
        </w:rPr>
        <w:t>If a large amount is swallowed, seek medical attention</w:t>
      </w:r>
      <w:r w:rsidR="00DC0227" w:rsidRPr="00520D3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F89D642" w14:textId="75DC70EB" w:rsidR="002D63F4" w:rsidRPr="00520D37" w:rsidRDefault="002D63F4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 w:rsidRP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Acute </w:t>
      </w: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 w:rsidRPr="00520D37">
        <w:rPr>
          <w:rFonts w:ascii="Times New Roman" w:eastAsia="Times New Roman" w:hAnsi="Times New Roman"/>
          <w:b/>
          <w:bCs/>
          <w:sz w:val="20"/>
          <w:szCs w:val="20"/>
        </w:rPr>
        <w:t>Delayed</w:t>
      </w:r>
      <w:r w:rsidR="004521E9" w:rsidRPr="00520D3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520D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9704C3" w:rsidRPr="00520D37">
        <w:rPr>
          <w:rFonts w:ascii="Times New Roman" w:eastAsia="Times New Roman" w:hAnsi="Times New Roman"/>
          <w:bCs/>
          <w:sz w:val="20"/>
          <w:szCs w:val="20"/>
        </w:rPr>
        <w:t>R</w:t>
      </w:r>
      <w:r w:rsidR="006C17A4" w:rsidRPr="00520D37">
        <w:rPr>
          <w:rFonts w:ascii="Times New Roman" w:eastAsia="Times New Roman" w:hAnsi="Times New Roman"/>
          <w:bCs/>
          <w:sz w:val="20"/>
          <w:szCs w:val="20"/>
        </w:rPr>
        <w:t>espiratory tract irritation, skin irritation, allergic reactions, suspect cancer hazard (in</w:t>
      </w:r>
      <w:r w:rsidR="009704C3" w:rsidRPr="00520D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C17A4" w:rsidRPr="00520D37">
        <w:rPr>
          <w:rFonts w:ascii="Times New Roman" w:eastAsia="Times New Roman" w:hAnsi="Times New Roman"/>
          <w:bCs/>
          <w:sz w:val="20"/>
          <w:szCs w:val="20"/>
        </w:rPr>
        <w:t>animals)</w:t>
      </w:r>
      <w:r w:rsidR="00FA3656" w:rsidRPr="00520D3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5ED8C14" w14:textId="77777777" w:rsidR="002D63F4" w:rsidRPr="00125F0D" w:rsidRDefault="002D63F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0D37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520D3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520D3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28318C" w:rsidRPr="00520D37">
        <w:rPr>
          <w:rFonts w:ascii="Times New Roman" w:eastAsia="Times New Roman" w:hAnsi="Times New Roman"/>
          <w:bCs/>
          <w:sz w:val="20"/>
          <w:szCs w:val="20"/>
        </w:rPr>
        <w:t>If any of the above symptoms are present, seek medical attention</w:t>
      </w:r>
      <w:r w:rsidR="00352F5F" w:rsidRPr="00520D37">
        <w:rPr>
          <w:rFonts w:ascii="Times New Roman" w:eastAsia="Times New Roman" w:hAnsi="Times New Roman"/>
          <w:bCs/>
          <w:sz w:val="20"/>
          <w:szCs w:val="20"/>
        </w:rPr>
        <w:t xml:space="preserve"> if needed</w:t>
      </w:r>
      <w:r w:rsidR="0028318C" w:rsidRPr="00125F0D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125F0D" w14:paraId="5152D33F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5239688" w14:textId="77777777" w:rsidR="001D7FE4" w:rsidRPr="00125F0D" w:rsidRDefault="001D7FE4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25F0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125F0D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125F0D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125F0D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125F0D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125F0D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125F0D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125F0D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17EEAAE" w14:textId="2B272C53" w:rsidR="001248AA" w:rsidRPr="005E6894" w:rsidRDefault="001248AA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125F0D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Negligible fire hazard.  Dust/air mixtures may ignite or explode</w:t>
      </w:r>
      <w:r w:rsidR="00A203EB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.</w:t>
      </w:r>
      <w:r w:rsidR="00717B9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53454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See Section</w:t>
      </w:r>
      <w:r w:rsidR="002F28B5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 </w:t>
      </w:r>
      <w:r w:rsidR="0053454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5E6894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14:paraId="2CFE0A66" w14:textId="77777777" w:rsidR="006251CA" w:rsidRPr="005E6894" w:rsidRDefault="00676966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5E6894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28E1C831" w14:textId="4FB792D6" w:rsidR="00E93DD1" w:rsidRPr="005E6894" w:rsidRDefault="00E93DD1" w:rsidP="00A46F87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5E6894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 w:rsidRPr="005E689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2300F" w:rsidRPr="0042300F">
        <w:rPr>
          <w:rFonts w:ascii="Times New Roman" w:eastAsia="Times New Roman" w:hAnsi="Times New Roman"/>
          <w:bCs/>
          <w:sz w:val="20"/>
          <w:szCs w:val="20"/>
        </w:rPr>
        <w:t>Use extinguishing agents appropriate for surrounding fire</w:t>
      </w:r>
      <w:r w:rsidR="00BA0F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8C9D12B" w14:textId="77777777" w:rsidR="00E93DD1" w:rsidRPr="005E6894" w:rsidRDefault="0028318C" w:rsidP="00A46F87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44ADE" w:rsidRPr="005E6894">
        <w:rPr>
          <w:rFonts w:ascii="Times New Roman" w:eastAsia="Times New Roman" w:hAnsi="Times New Roman"/>
          <w:bCs/>
          <w:sz w:val="20"/>
          <w:szCs w:val="20"/>
        </w:rPr>
        <w:t xml:space="preserve">  None</w:t>
      </w:r>
      <w:r w:rsidR="00EF4006" w:rsidRPr="005E6894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14:paraId="716A68DC" w14:textId="600552ED" w:rsidR="00E24579" w:rsidRPr="005E6894" w:rsidRDefault="00676966" w:rsidP="008A41BE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5E689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Gives</w:t>
      </w:r>
      <w:r w:rsid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off irritating or toxic</w:t>
      </w:r>
      <w:r w:rsid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fumes (or gases) in a</w:t>
      </w:r>
      <w:r w:rsidR="008A41B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A41BE" w:rsidRPr="008A41BE">
        <w:rPr>
          <w:rFonts w:ascii="Times New Roman" w:eastAsia="Times New Roman" w:hAnsi="Times New Roman"/>
          <w:bCs/>
          <w:sz w:val="20"/>
          <w:szCs w:val="20"/>
        </w:rPr>
        <w:t>fire.</w:t>
      </w:r>
    </w:p>
    <w:p w14:paraId="1A45C512" w14:textId="77777777" w:rsidR="002B60F0" w:rsidRPr="00523A7B" w:rsidRDefault="00F057E8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E689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5E6894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5E6894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5E6894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5E689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5E689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44ADE" w:rsidRPr="005E6894">
        <w:rPr>
          <w:rFonts w:ascii="Times New Roman" w:eastAsia="Times New Roman" w:hAnsi="Times New Roman"/>
          <w:bCs/>
          <w:sz w:val="20"/>
          <w:szCs w:val="20"/>
        </w:rPr>
        <w:t xml:space="preserve">Avoid inhalation of material or combustion </w:t>
      </w:r>
      <w:r w:rsidR="00144ADE" w:rsidRPr="00523A7B">
        <w:rPr>
          <w:rFonts w:ascii="Times New Roman" w:eastAsia="Times New Roman" w:hAnsi="Times New Roman"/>
          <w:bCs/>
          <w:sz w:val="20"/>
          <w:szCs w:val="20"/>
        </w:rPr>
        <w:t>byproducts.  Wear full protective clothing and NIOSH approved self-contained breathing apparatus (SCBA).</w:t>
      </w:r>
    </w:p>
    <w:p w14:paraId="01A614D7" w14:textId="77777777" w:rsidR="00170F65" w:rsidRPr="00523A7B" w:rsidRDefault="000D31BB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523A7B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523A7B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523A7B">
        <w:rPr>
          <w:rFonts w:ascii="Times New Roman" w:hAnsi="Times New Roman"/>
          <w:sz w:val="20"/>
          <w:szCs w:val="20"/>
        </w:rPr>
        <w:t>(0 = Minimal; 1 = Slight; 2 = Moderate; 3 = Serious; 4 = Severe)</w:t>
      </w:r>
      <w:r w:rsidRPr="00523A7B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14:paraId="5B7A32A7" w14:textId="07B534F9" w:rsidR="00170F65" w:rsidRPr="00523A7B" w:rsidRDefault="00170F65" w:rsidP="00A46F87">
      <w:pPr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523A7B">
        <w:rPr>
          <w:rFonts w:ascii="Times New Roman" w:eastAsia="Times New Roman" w:hAnsi="Times New Roman"/>
          <w:sz w:val="20"/>
          <w:szCs w:val="20"/>
        </w:rPr>
        <w:tab/>
      </w:r>
      <w:r w:rsidR="000D31BB" w:rsidRPr="00523A7B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5E6894" w:rsidRPr="00523A7B">
        <w:rPr>
          <w:rFonts w:ascii="Times New Roman" w:hAnsi="Times New Roman"/>
          <w:sz w:val="20"/>
          <w:szCs w:val="20"/>
        </w:rPr>
        <w:t>2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523A7B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>e</w:t>
      </w:r>
      <w:r w:rsidR="000D31BB" w:rsidRPr="00523A7B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523A7B">
        <w:rPr>
          <w:rFonts w:ascii="Times New Roman" w:hAnsi="Times New Roman"/>
          <w:sz w:val="20"/>
          <w:szCs w:val="20"/>
        </w:rPr>
        <w:t>0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ab/>
      </w:r>
      <w:r w:rsidR="000D31BB" w:rsidRPr="00523A7B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523A7B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>ity</w:t>
      </w:r>
      <w:r w:rsidR="000D31BB" w:rsidRPr="00523A7B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523A7B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523A7B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523A7B" w14:paraId="7056EAD7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9F6137F" w14:textId="77777777" w:rsidR="001D7FE4" w:rsidRPr="00523A7B" w:rsidRDefault="001D7FE4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523A7B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523A7B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523A7B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523A7B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523A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523A7B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517C361C" w14:textId="0E682BAE" w:rsidR="00717B98" w:rsidRPr="00523A7B" w:rsidRDefault="001D7FE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Personal Precautions, Protective Equipment and Emergency Procedures</w:t>
      </w:r>
      <w:r w:rsidR="00717B98"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902DFF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Avoid generating dust.  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283C12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Keep out of water supplies and sewers.  </w:t>
      </w:r>
      <w:r w:rsidR="00EE4B72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Keep unnecessary personnel away.  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Use suitable protective equipment</w:t>
      </w:r>
      <w:r w:rsidR="00C723CD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; 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see Section</w:t>
      </w:r>
      <w:r w:rsidR="00523A7B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 </w:t>
      </w:r>
      <w:r w:rsidR="00B824E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8, “Exposure Controls and Personal Protection”.</w:t>
      </w:r>
    </w:p>
    <w:p w14:paraId="2534C1B1" w14:textId="3302CEF2" w:rsidR="00EE4B72" w:rsidRDefault="00BC5C79" w:rsidP="00C56CB8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 w:rsidRPr="00523A7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352F5F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493484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Notify safety personnel of spills.  Collect spilled material in appropriate container for disposal</w:t>
      </w:r>
      <w:r w:rsidR="00717B98" w:rsidRPr="00523A7B">
        <w:rPr>
          <w:rFonts w:ascii="Times New Roman" w:eastAsia="Times New Roman" w:hAnsi="Times New Roman"/>
          <w:bCs/>
          <w:spacing w:val="1"/>
          <w:sz w:val="20"/>
          <w:szCs w:val="20"/>
        </w:rPr>
        <w:t>.  Isolate hazard area and deny entry.</w:t>
      </w:r>
      <w:r w:rsidR="00C56CB8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 </w:t>
      </w:r>
      <w:r w:rsidR="00C56CB8" w:rsidRPr="00C56CB8">
        <w:rPr>
          <w:rFonts w:ascii="Times New Roman" w:eastAsia="Times New Roman" w:hAnsi="Times New Roman"/>
          <w:bCs/>
          <w:spacing w:val="1"/>
          <w:sz w:val="20"/>
          <w:szCs w:val="20"/>
        </w:rPr>
        <w:t>Subject to California Safe Drinking Water and Toxic Enforcement</w:t>
      </w:r>
      <w:r w:rsidR="00C56CB8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C56CB8" w:rsidRPr="00C56CB8">
        <w:rPr>
          <w:rFonts w:ascii="Times New Roman" w:eastAsia="Times New Roman" w:hAnsi="Times New Roman"/>
          <w:bCs/>
          <w:spacing w:val="1"/>
          <w:sz w:val="20"/>
          <w:szCs w:val="20"/>
        </w:rPr>
        <w:t>Act of 1986 (Proposition 65).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EE4B72" w14:paraId="73D9F5AD" w14:textId="77777777" w:rsidTr="000613B3">
        <w:trPr>
          <w:trHeight w:hRule="exact" w:val="360"/>
        </w:trPr>
        <w:tc>
          <w:tcPr>
            <w:tcW w:w="9360" w:type="dxa"/>
            <w:vAlign w:val="center"/>
          </w:tcPr>
          <w:p w14:paraId="73F75DE4" w14:textId="48F2F127" w:rsidR="001D7FE4" w:rsidRPr="00EE4B72" w:rsidRDefault="00EE4B72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pacing w:val="1"/>
                <w:sz w:val="20"/>
                <w:szCs w:val="20"/>
              </w:rPr>
              <w:br w:type="page"/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="001D7FE4"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0BB2E5D0" w14:textId="34617790" w:rsidR="001D7FE4" w:rsidRPr="00C254BB" w:rsidRDefault="001D7FE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 w:rsidRPr="00C254BB"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 w:rsidRPr="00C254BB"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 w:rsidRPr="00C254BB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 w:rsidRPr="00C254BB"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 w:rsidRPr="00C254BB"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C254BB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</w:t>
      </w:r>
      <w:r w:rsidR="003045F2" w:rsidRPr="00C254BB">
        <w:rPr>
          <w:rFonts w:ascii="Times New Roman" w:hAnsi="Times New Roman"/>
          <w:sz w:val="20"/>
          <w:szCs w:val="20"/>
        </w:rPr>
        <w:t>See Section</w:t>
      </w:r>
      <w:r w:rsidR="002F28B5" w:rsidRPr="00C254BB">
        <w:rPr>
          <w:rFonts w:ascii="Times New Roman" w:hAnsi="Times New Roman"/>
          <w:sz w:val="20"/>
          <w:szCs w:val="20"/>
        </w:rPr>
        <w:t> </w:t>
      </w:r>
      <w:r w:rsidR="003045F2" w:rsidRPr="00C254BB">
        <w:rPr>
          <w:rFonts w:ascii="Times New Roman" w:hAnsi="Times New Roman"/>
          <w:sz w:val="20"/>
          <w:szCs w:val="20"/>
        </w:rPr>
        <w:t>8, “Exposure Controls and Personal Protection”</w:t>
      </w:r>
      <w:r w:rsidR="00902F44" w:rsidRPr="00C254BB">
        <w:rPr>
          <w:rFonts w:ascii="Times New Roman" w:hAnsi="Times New Roman"/>
          <w:sz w:val="20"/>
          <w:szCs w:val="20"/>
        </w:rPr>
        <w:t>.</w:t>
      </w:r>
    </w:p>
    <w:p w14:paraId="692708B1" w14:textId="218C2D9E" w:rsidR="00D2300F" w:rsidRPr="00C254BB" w:rsidRDefault="00FD5524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C254B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C254BB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 w:rsidRPr="00C254BB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C254B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C254B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C254BB">
        <w:rPr>
          <w:rFonts w:ascii="Times New Roman" w:eastAsia="Times New Roman" w:hAnsi="Times New Roman"/>
          <w:bCs/>
          <w:sz w:val="20"/>
          <w:szCs w:val="20"/>
        </w:rPr>
        <w:t>Store and handl</w:t>
      </w:r>
      <w:r w:rsidR="00A46F87" w:rsidRPr="00C254BB">
        <w:rPr>
          <w:rFonts w:ascii="Times New Roman" w:eastAsia="Times New Roman" w:hAnsi="Times New Roman"/>
          <w:bCs/>
          <w:sz w:val="20"/>
          <w:szCs w:val="20"/>
        </w:rPr>
        <w:t>e</w:t>
      </w:r>
      <w:r w:rsidRPr="00C254BB">
        <w:rPr>
          <w:rFonts w:ascii="Times New Roman" w:eastAsia="Times New Roman" w:hAnsi="Times New Roman"/>
          <w:bCs/>
          <w:sz w:val="20"/>
          <w:szCs w:val="20"/>
        </w:rPr>
        <w:t xml:space="preserve"> in accordance with all current regulations and standards.</w:t>
      </w:r>
      <w:r w:rsidR="00C254BB" w:rsidRPr="00C254BB">
        <w:rPr>
          <w:rFonts w:ascii="Times New Roman" w:hAnsi="Times New Roman"/>
          <w:sz w:val="20"/>
          <w:szCs w:val="20"/>
        </w:rPr>
        <w:t xml:space="preserve">  </w:t>
      </w:r>
      <w:r w:rsidR="00C254BB" w:rsidRPr="00C254BB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Keep separated from incompatible substances </w:t>
      </w:r>
      <w:r w:rsidR="00C254BB" w:rsidRPr="00C254BB">
        <w:rPr>
          <w:rFonts w:ascii="Times New Roman" w:eastAsia="Times New Roman" w:hAnsi="Times New Roman"/>
          <w:bCs/>
          <w:sz w:val="20"/>
          <w:szCs w:val="20"/>
        </w:rPr>
        <w:t>(See Section 10, “Stability and Reactivity”).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:rsidRPr="00EE4B72" w14:paraId="2ED8FD71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19856DFB" w14:textId="77777777" w:rsidR="00D25DBF" w:rsidRPr="00EE4B72" w:rsidRDefault="00D25DBF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8.</w:t>
            </w:r>
            <w:r w:rsidRPr="00EE4B7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EE4B72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 w:rsidRPr="00EE4B7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EE4B7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EE4B72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 w:rsidRPr="00EE4B72"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E4B72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EE4B7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EE4B7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E4B7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57FA7EC" w14:textId="123A3272" w:rsidR="00C0468F" w:rsidRPr="00B15663" w:rsidRDefault="001D7FE4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19"/>
          <w:szCs w:val="19"/>
        </w:rPr>
      </w:pP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 w:rsidRPr="00B15663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B15663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5F656F" w:rsidRPr="00B15663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D59FAB4" w14:textId="5EC1EA1C" w:rsidR="001D5574" w:rsidRPr="00B15663" w:rsidRDefault="001D5574" w:rsidP="007E7744">
      <w:pPr>
        <w:widowControl/>
        <w:tabs>
          <w:tab w:val="decimal" w:pos="1890"/>
        </w:tabs>
        <w:spacing w:after="0" w:line="240" w:lineRule="auto"/>
        <w:ind w:left="450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>NIOSH (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REL</w:t>
      </w:r>
      <w:r w:rsidRPr="00B15663">
        <w:rPr>
          <w:rFonts w:ascii="Times New Roman" w:eastAsia="Times New Roman" w:hAnsi="Times New Roman"/>
          <w:sz w:val="20"/>
          <w:szCs w:val="20"/>
        </w:rPr>
        <w:t>):</w:t>
      </w:r>
      <w:r w:rsidR="00C56CB8" w:rsidRPr="00B15663">
        <w:rPr>
          <w:rFonts w:ascii="Times New Roman" w:eastAsia="Times New Roman" w:hAnsi="Times New Roman"/>
          <w:sz w:val="20"/>
          <w:szCs w:val="20"/>
        </w:rPr>
        <w:tab/>
      </w:r>
      <w:r w:rsidRPr="00B15663">
        <w:rPr>
          <w:rFonts w:ascii="Times New Roman" w:eastAsia="Times New Roman" w:hAnsi="Times New Roman"/>
          <w:sz w:val="20"/>
          <w:szCs w:val="20"/>
        </w:rPr>
        <w:t>0.</w:t>
      </w:r>
      <w:r w:rsidR="00C56CB8" w:rsidRPr="00B15663">
        <w:rPr>
          <w:rFonts w:ascii="Times New Roman" w:eastAsia="Times New Roman" w:hAnsi="Times New Roman"/>
          <w:sz w:val="20"/>
          <w:szCs w:val="20"/>
        </w:rPr>
        <w:t>2</w:t>
      </w:r>
      <w:r w:rsidRPr="00B15663">
        <w:rPr>
          <w:rFonts w:ascii="Times New Roman" w:eastAsia="Times New Roman" w:hAnsi="Times New Roman"/>
          <w:sz w:val="20"/>
          <w:szCs w:val="20"/>
        </w:rPr>
        <w:t> mg/m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 xml:space="preserve"> (TWA)</w:t>
      </w:r>
      <w:r w:rsidR="00C56CB8" w:rsidRPr="00B15663">
        <w:rPr>
          <w:rFonts w:ascii="Times New Roman" w:eastAsia="Times New Roman" w:hAnsi="Times New Roman"/>
          <w:sz w:val="20"/>
          <w:szCs w:val="20"/>
        </w:rPr>
        <w:t xml:space="preserve"> as Ni inhalable fraction (related to Nickel, inorganic compounds, insoluble)</w:t>
      </w:r>
    </w:p>
    <w:p w14:paraId="5CEC2A15" w14:textId="3DB09C8E" w:rsidR="001D5574" w:rsidRPr="00B15663" w:rsidRDefault="001D5574" w:rsidP="007E7744">
      <w:pPr>
        <w:widowControl/>
        <w:tabs>
          <w:tab w:val="decimal" w:pos="1890"/>
          <w:tab w:val="decimal" w:pos="2160"/>
        </w:tabs>
        <w:spacing w:before="120" w:after="120" w:line="240" w:lineRule="auto"/>
        <w:ind w:left="446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>ACGIH (T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LV</w:t>
      </w:r>
      <w:r w:rsidRPr="00B15663">
        <w:rPr>
          <w:rFonts w:ascii="Times New Roman" w:eastAsia="Times New Roman" w:hAnsi="Times New Roman"/>
          <w:sz w:val="20"/>
          <w:szCs w:val="20"/>
        </w:rPr>
        <w:t>):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ab/>
      </w:r>
      <w:r w:rsidR="007E7744" w:rsidRPr="00B15663">
        <w:rPr>
          <w:rFonts w:ascii="Times New Roman" w:eastAsia="Times New Roman" w:hAnsi="Times New Roman"/>
          <w:sz w:val="20"/>
          <w:szCs w:val="20"/>
        </w:rPr>
        <w:t>0.2</w:t>
      </w:r>
      <w:r w:rsidRPr="00B15663">
        <w:rPr>
          <w:rFonts w:ascii="Times New Roman" w:eastAsia="Times New Roman" w:hAnsi="Times New Roman"/>
          <w:sz w:val="20"/>
          <w:szCs w:val="20"/>
        </w:rPr>
        <w:t> mg/m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 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(T</w:t>
      </w:r>
      <w:r w:rsidR="00EE4B72" w:rsidRPr="00B15663">
        <w:rPr>
          <w:rFonts w:ascii="Times New Roman" w:eastAsia="Times New Roman" w:hAnsi="Times New Roman"/>
          <w:sz w:val="20"/>
          <w:szCs w:val="20"/>
        </w:rPr>
        <w:t>WA)</w:t>
      </w:r>
    </w:p>
    <w:p w14:paraId="6B1761C2" w14:textId="61E23C23" w:rsidR="001D5574" w:rsidRPr="00B15663" w:rsidRDefault="001D5574" w:rsidP="007E7744">
      <w:pPr>
        <w:widowControl/>
        <w:tabs>
          <w:tab w:val="decimal" w:pos="1890"/>
          <w:tab w:val="decimal" w:pos="2070"/>
        </w:tabs>
        <w:spacing w:after="0" w:line="240" w:lineRule="auto"/>
        <w:ind w:left="450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>OSHA (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>PEL)</w:t>
      </w:r>
      <w:r w:rsidRPr="00B15663">
        <w:rPr>
          <w:rFonts w:ascii="Times New Roman" w:eastAsia="Times New Roman" w:hAnsi="Times New Roman"/>
          <w:sz w:val="20"/>
          <w:szCs w:val="20"/>
        </w:rPr>
        <w:t>: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ab/>
      </w:r>
      <w:r w:rsidR="00EE4B72" w:rsidRPr="00B15663">
        <w:rPr>
          <w:rFonts w:ascii="Times New Roman" w:eastAsia="Times New Roman" w:hAnsi="Times New Roman"/>
          <w:sz w:val="20"/>
          <w:szCs w:val="20"/>
        </w:rPr>
        <w:t>1</w:t>
      </w:r>
      <w:r w:rsidR="00B15663" w:rsidRPr="00B15663">
        <w:rPr>
          <w:rFonts w:ascii="Times New Roman" w:eastAsia="Times New Roman" w:hAnsi="Times New Roman"/>
          <w:sz w:val="20"/>
          <w:szCs w:val="20"/>
        </w:rPr>
        <w:t>5</w:t>
      </w:r>
      <w:r w:rsidRPr="00B15663">
        <w:rPr>
          <w:rFonts w:ascii="Times New Roman" w:eastAsia="Times New Roman" w:hAnsi="Times New Roman"/>
          <w:sz w:val="20"/>
          <w:szCs w:val="20"/>
        </w:rPr>
        <w:t> </w:t>
      </w:r>
      <w:r w:rsidR="00EE4B72" w:rsidRPr="00B15663">
        <w:rPr>
          <w:rFonts w:ascii="Times New Roman" w:eastAsia="Times New Roman" w:hAnsi="Times New Roman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>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="00990EF8" w:rsidRPr="00B15663">
        <w:rPr>
          <w:rFonts w:ascii="Times New Roman" w:eastAsia="Times New Roman" w:hAnsi="Times New Roman"/>
          <w:sz w:val="20"/>
          <w:szCs w:val="20"/>
        </w:rPr>
        <w:t xml:space="preserve"> (</w:t>
      </w:r>
      <w:r w:rsidR="00404F6B" w:rsidRPr="00B15663">
        <w:rPr>
          <w:rFonts w:ascii="Times New Roman" w:eastAsia="Times New Roman" w:hAnsi="Times New Roman"/>
          <w:sz w:val="20"/>
          <w:szCs w:val="20"/>
        </w:rPr>
        <w:t>TWA</w:t>
      </w:r>
      <w:r w:rsidR="00B15663" w:rsidRPr="00B15663">
        <w:rPr>
          <w:rFonts w:ascii="Times New Roman" w:eastAsia="Times New Roman" w:hAnsi="Times New Roman"/>
          <w:sz w:val="20"/>
          <w:szCs w:val="20"/>
        </w:rPr>
        <w:t>, total particulates not otherwise regulated)</w:t>
      </w:r>
    </w:p>
    <w:p w14:paraId="39985190" w14:textId="0AFB0A1F" w:rsidR="008A41BE" w:rsidRPr="00B15663" w:rsidRDefault="008A41BE" w:rsidP="008A41BE">
      <w:pPr>
        <w:widowControl/>
        <w:tabs>
          <w:tab w:val="decimal" w:pos="1890"/>
          <w:tab w:val="decimal" w:pos="2070"/>
        </w:tabs>
        <w:spacing w:after="0" w:line="240" w:lineRule="auto"/>
        <w:ind w:left="450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sz w:val="20"/>
          <w:szCs w:val="20"/>
        </w:rPr>
        <w:tab/>
      </w:r>
      <w:r w:rsidR="00B15663" w:rsidRPr="00B15663">
        <w:rPr>
          <w:rFonts w:ascii="Times New Roman" w:eastAsia="Times New Roman" w:hAnsi="Times New Roman"/>
          <w:sz w:val="20"/>
          <w:szCs w:val="20"/>
        </w:rPr>
        <w:t>5</w:t>
      </w:r>
      <w:r w:rsidRPr="00B15663">
        <w:rPr>
          <w:rFonts w:ascii="Times New Roman" w:eastAsia="Times New Roman" w:hAnsi="Times New Roman"/>
          <w:sz w:val="20"/>
          <w:szCs w:val="20"/>
        </w:rPr>
        <w:t> mg/m</w:t>
      </w:r>
      <w:r w:rsidRPr="00B15663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 (TWA</w:t>
      </w:r>
      <w:r w:rsidR="00B15663" w:rsidRPr="00B15663">
        <w:rPr>
          <w:rFonts w:ascii="Times New Roman" w:eastAsia="Times New Roman" w:hAnsi="Times New Roman"/>
          <w:sz w:val="20"/>
          <w:szCs w:val="20"/>
        </w:rPr>
        <w:t>, total particulates not otherwise regulated)</w:t>
      </w:r>
    </w:p>
    <w:p w14:paraId="6F80D30A" w14:textId="77777777" w:rsidR="0031663D" w:rsidRPr="00B15663" w:rsidRDefault="0031663D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B1566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l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cal</w:t>
      </w:r>
      <w:r w:rsidRPr="00B15663"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xh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B15663">
        <w:rPr>
          <w:rFonts w:ascii="Times New Roman" w:eastAsia="Times New Roman" w:hAnsi="Times New Roman"/>
          <w:sz w:val="20"/>
          <w:szCs w:val="20"/>
        </w:rPr>
        <w:t>ce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cl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tilati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y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z w:val="20"/>
          <w:szCs w:val="20"/>
        </w:rPr>
        <w:t>te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. 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nsu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lia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ce</w:t>
      </w:r>
      <w:r w:rsidRPr="00B15663"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z w:val="20"/>
          <w:szCs w:val="20"/>
        </w:rPr>
        <w:t>ith</w:t>
      </w:r>
      <w:r w:rsidRPr="00B15663"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B15663">
        <w:rPr>
          <w:rFonts w:ascii="Times New Roman" w:eastAsia="Times New Roman" w:hAnsi="Times New Roman"/>
          <w:sz w:val="20"/>
          <w:szCs w:val="20"/>
        </w:rPr>
        <w:t>lica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B15663">
        <w:rPr>
          <w:rFonts w:ascii="Times New Roman" w:eastAsia="Times New Roman" w:hAnsi="Times New Roman"/>
          <w:sz w:val="20"/>
          <w:szCs w:val="20"/>
        </w:rPr>
        <w:t>le 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li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>it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 w:rsidRPr="00B1566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14:paraId="3C2D2A48" w14:textId="77777777" w:rsidR="0031663D" w:rsidRPr="00B15663" w:rsidRDefault="00194A53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 xml:space="preserve">Personal </w:t>
      </w:r>
      <w:r w:rsidR="0031663D" w:rsidRPr="00B15663">
        <w:rPr>
          <w:rFonts w:ascii="Times New Roman" w:eastAsia="Times New Roman" w:hAnsi="Times New Roman"/>
          <w:b/>
          <w:bCs/>
          <w:sz w:val="20"/>
          <w:szCs w:val="20"/>
        </w:rPr>
        <w:t>Protection</w:t>
      </w:r>
      <w:r w:rsidR="00011CAC" w:rsidRPr="00B15663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B1566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acc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ce</w:t>
      </w:r>
      <w:r w:rsidR="00011CAC"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ith OSHA</w:t>
      </w:r>
      <w:r w:rsidR="00011CAC" w:rsidRPr="00B15663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9</w:t>
      </w:r>
      <w:r w:rsidR="00011CAC" w:rsidRPr="00B15663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FR 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,</w:t>
      </w:r>
      <w:r w:rsidR="00011CAC" w:rsidRPr="00B15663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,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ear a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iate</w:t>
      </w:r>
      <w:r w:rsidR="00011CAC"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al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tecti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</w:t>
      </w:r>
      <w:r w:rsidR="00011CAC" w:rsidRPr="00B15663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 w:rsidRPr="00B15663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)</w:t>
      </w:r>
      <w:r w:rsidR="00011CAC"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ize</w:t>
      </w:r>
      <w:r w:rsidR="00011CAC"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e</w:t>
      </w:r>
      <w:r w:rsidR="00011CAC"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to t</w:t>
      </w:r>
      <w:r w:rsidR="00011CAC" w:rsidRPr="00B15663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is</w:t>
      </w:r>
      <w:r w:rsidR="00011CAC"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ate</w:t>
      </w:r>
      <w:r w:rsidR="00011CAC"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sz w:val="20"/>
          <w:szCs w:val="20"/>
        </w:rPr>
        <w:t>ial.</w:t>
      </w:r>
    </w:p>
    <w:p w14:paraId="2BBBEB8B" w14:textId="77777777" w:rsidR="0031663D" w:rsidRPr="00B15663" w:rsidRDefault="0031663D" w:rsidP="00A46F8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Re</w:t>
      </w: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 w:rsidRPr="00B15663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 w:rsidRPr="00B15663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k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lace</w:t>
      </w:r>
      <w:r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B15663">
        <w:rPr>
          <w:rFonts w:ascii="Times New Roman" w:eastAsia="Times New Roman" w:hAnsi="Times New Roman"/>
          <w:sz w:val="20"/>
          <w:szCs w:val="20"/>
        </w:rPr>
        <w:t>iti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rr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a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z w:val="20"/>
          <w:szCs w:val="20"/>
        </w:rPr>
        <w:t>,</w:t>
      </w:r>
      <w:r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a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z w:val="20"/>
          <w:szCs w:val="20"/>
        </w:rPr>
        <w:t>y</w:t>
      </w:r>
      <w:r w:rsidRPr="00B15663"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B15663">
        <w:rPr>
          <w:rFonts w:ascii="Times New Roman" w:eastAsia="Times New Roman" w:hAnsi="Times New Roman"/>
          <w:sz w:val="20"/>
          <w:szCs w:val="20"/>
        </w:rPr>
        <w:t>tecti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n</w:t>
      </w:r>
      <w:r w:rsidRPr="00B15663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g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am</w:t>
      </w:r>
      <w:r w:rsidRPr="00B15663"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z w:val="20"/>
          <w:szCs w:val="20"/>
        </w:rPr>
        <w:t>eets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OSHA</w:t>
      </w:r>
      <w:r w:rsidR="00F4046F" w:rsidRPr="00B15663">
        <w:rPr>
          <w:rFonts w:ascii="Times New Roman" w:eastAsia="Times New Roman" w:hAnsi="Times New Roman"/>
          <w:spacing w:val="-7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Pr="00B15663">
        <w:rPr>
          <w:rFonts w:ascii="Times New Roman" w:eastAsia="Times New Roman" w:hAnsi="Times New Roman"/>
          <w:sz w:val="20"/>
          <w:szCs w:val="20"/>
        </w:rPr>
        <w:t>9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z w:val="20"/>
          <w:szCs w:val="20"/>
        </w:rPr>
        <w:t>FR</w:t>
      </w:r>
      <w:r w:rsidR="00F4046F" w:rsidRPr="00B15663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 w:rsidRPr="00B15663">
        <w:rPr>
          <w:rFonts w:ascii="Times New Roman" w:eastAsia="Times New Roman" w:hAnsi="Times New Roman"/>
          <w:sz w:val="20"/>
          <w:szCs w:val="20"/>
        </w:rPr>
        <w:t>4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us</w:t>
      </w:r>
      <w:r w:rsidRPr="00B15663">
        <w:rPr>
          <w:rFonts w:ascii="Times New Roman" w:eastAsia="Times New Roman" w:hAnsi="Times New Roman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ll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B15663">
        <w:rPr>
          <w:rFonts w:ascii="Times New Roman" w:eastAsia="Times New Roman" w:hAnsi="Times New Roman"/>
          <w:sz w:val="20"/>
          <w:szCs w:val="20"/>
        </w:rPr>
        <w:t>.</w:t>
      </w:r>
      <w:r w:rsidR="00F4046F" w:rsidRPr="00B15663">
        <w:rPr>
          <w:rFonts w:ascii="Times New Roman" w:eastAsia="Times New Roman" w:hAnsi="Times New Roman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z w:val="20"/>
          <w:szCs w:val="20"/>
        </w:rPr>
        <w:t>er</w:t>
      </w:r>
      <w:r w:rsidRPr="00B15663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to N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z w:val="20"/>
          <w:szCs w:val="20"/>
        </w:rPr>
        <w:t>OSH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4</w:t>
      </w:r>
      <w:r w:rsidRPr="00B15663">
        <w:rPr>
          <w:rFonts w:ascii="Times New Roman" w:eastAsia="Times New Roman" w:hAnsi="Times New Roman"/>
          <w:sz w:val="20"/>
          <w:szCs w:val="20"/>
        </w:rPr>
        <w:t>2</w:t>
      </w:r>
      <w:r w:rsidR="00F4046F" w:rsidRPr="00B15663">
        <w:rPr>
          <w:rFonts w:ascii="Times New Roman" w:eastAsia="Times New Roman" w:hAnsi="Times New Roman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Pr="00B15663">
        <w:rPr>
          <w:rFonts w:ascii="Times New Roman" w:eastAsia="Times New Roman" w:hAnsi="Times New Roman"/>
          <w:sz w:val="20"/>
          <w:szCs w:val="20"/>
        </w:rPr>
        <w:t>FR</w:t>
      </w:r>
      <w:r w:rsidR="00F4046F" w:rsidRPr="00B15663">
        <w:rPr>
          <w:rFonts w:ascii="Times New Roman" w:eastAsia="Times New Roman" w:hAnsi="Times New Roman"/>
          <w:spacing w:val="-4"/>
          <w:sz w:val="20"/>
          <w:szCs w:val="20"/>
        </w:rPr>
        <w:t> 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8</w:t>
      </w:r>
      <w:r w:rsidRPr="00B15663">
        <w:rPr>
          <w:rFonts w:ascii="Times New Roman" w:eastAsia="Times New Roman" w:hAnsi="Times New Roman"/>
          <w:sz w:val="20"/>
          <w:szCs w:val="20"/>
        </w:rPr>
        <w:t xml:space="preserve">4 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pp</w:t>
      </w:r>
      <w:r w:rsidRPr="00B15663">
        <w:rPr>
          <w:rFonts w:ascii="Times New Roman" w:eastAsia="Times New Roman" w:hAnsi="Times New Roman"/>
          <w:sz w:val="20"/>
          <w:szCs w:val="20"/>
        </w:rPr>
        <w:t>lica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b</w:t>
      </w:r>
      <w:r w:rsidRPr="00B15663">
        <w:rPr>
          <w:rFonts w:ascii="Times New Roman" w:eastAsia="Times New Roman" w:hAnsi="Times New Roman"/>
          <w:sz w:val="20"/>
          <w:szCs w:val="20"/>
        </w:rPr>
        <w:t>le</w:t>
      </w:r>
      <w:r w:rsidRPr="00B15663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z w:val="20"/>
          <w:szCs w:val="20"/>
        </w:rPr>
        <w:t>ce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ti</w:t>
      </w:r>
      <w:r w:rsidRPr="00B15663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B15663">
        <w:rPr>
          <w:rFonts w:ascii="Times New Roman" w:eastAsia="Times New Roman" w:hAnsi="Times New Roman"/>
          <w:sz w:val="20"/>
          <w:szCs w:val="20"/>
        </w:rPr>
        <w:t>ied</w:t>
      </w:r>
      <w:r w:rsidRPr="00B15663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sz w:val="20"/>
          <w:szCs w:val="20"/>
        </w:rPr>
        <w:t>i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B15663">
        <w:rPr>
          <w:rFonts w:ascii="Times New Roman" w:eastAsia="Times New Roman" w:hAnsi="Times New Roman"/>
          <w:sz w:val="20"/>
          <w:szCs w:val="20"/>
        </w:rPr>
        <w:t>at</w:t>
      </w:r>
      <w:r w:rsidRPr="00B15663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B15663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Pr="00B15663">
        <w:rPr>
          <w:rFonts w:ascii="Times New Roman" w:eastAsia="Times New Roman" w:hAnsi="Times New Roman"/>
          <w:sz w:val="20"/>
          <w:szCs w:val="20"/>
        </w:rPr>
        <w:t>.</w:t>
      </w:r>
    </w:p>
    <w:p w14:paraId="6347EFBD" w14:textId="77777777" w:rsidR="0031663D" w:rsidRPr="00B15663" w:rsidRDefault="0031663D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232FEE" w:rsidRPr="00B15663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 w:rsidRPr="00B15663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ec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B15663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 w:rsidRPr="00B15663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B15663">
        <w:rPr>
          <w:rFonts w:ascii="Times New Roman" w:eastAsia="Times New Roman" w:hAnsi="Times New Roman"/>
          <w:bCs/>
          <w:sz w:val="20"/>
          <w:szCs w:val="20"/>
        </w:rPr>
        <w:t xml:space="preserve">Wear </w:t>
      </w:r>
      <w:r w:rsidR="001D5574" w:rsidRPr="00B15663">
        <w:rPr>
          <w:rFonts w:ascii="Times New Roman" w:eastAsia="Times New Roman" w:hAnsi="Times New Roman"/>
          <w:bCs/>
          <w:sz w:val="20"/>
          <w:szCs w:val="20"/>
        </w:rPr>
        <w:t>chemical</w:t>
      </w:r>
      <w:r w:rsidR="00D86CFF" w:rsidRPr="00B15663">
        <w:rPr>
          <w:rFonts w:ascii="Times New Roman" w:eastAsia="Times New Roman" w:hAnsi="Times New Roman"/>
          <w:bCs/>
          <w:sz w:val="20"/>
          <w:szCs w:val="20"/>
        </w:rPr>
        <w:t xml:space="preserve"> resistant safety goggles. </w:t>
      </w:r>
      <w:r w:rsidR="008154F9" w:rsidRPr="00B1566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86CFF" w:rsidRPr="00B15663">
        <w:rPr>
          <w:rFonts w:ascii="Times New Roman" w:eastAsia="Times New Roman" w:hAnsi="Times New Roman"/>
          <w:bCs/>
          <w:sz w:val="20"/>
          <w:szCs w:val="20"/>
        </w:rPr>
        <w:t>An eyewash station should be readily available near areas of use.</w:t>
      </w:r>
    </w:p>
    <w:p w14:paraId="59C500FF" w14:textId="68CF27EE" w:rsidR="00971056" w:rsidRPr="00686D7C" w:rsidRDefault="00194A53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 w:rsidRPr="00B15663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Protection:</w:t>
      </w:r>
      <w:r w:rsidRPr="00B15663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86CFF" w:rsidRPr="00B15663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4E5DB2" w:rsidRPr="00B15663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</w:t>
      </w:r>
      <w:r w:rsidR="00D86CFF" w:rsidRPr="00B15663">
        <w:rPr>
          <w:rFonts w:ascii="Times New Roman" w:eastAsia="Times New Roman" w:hAnsi="Times New Roman"/>
          <w:sz w:val="20"/>
          <w:szCs w:val="20"/>
        </w:rPr>
        <w:t>.</w:t>
      </w:r>
      <w:r w:rsidR="00FD5524" w:rsidRPr="00B15663">
        <w:rPr>
          <w:rFonts w:ascii="Times New Roman" w:eastAsia="Times New Roman" w:hAnsi="Times New Roman"/>
          <w:bCs/>
          <w:sz w:val="20"/>
          <w:szCs w:val="20"/>
        </w:rPr>
        <w:t xml:space="preserve">  Chemical-resistant </w:t>
      </w:r>
      <w:r w:rsidR="00C56CB8" w:rsidRPr="00B15663">
        <w:rPr>
          <w:rFonts w:ascii="Times New Roman" w:eastAsia="Times New Roman" w:hAnsi="Times New Roman"/>
          <w:bCs/>
          <w:sz w:val="20"/>
          <w:szCs w:val="20"/>
        </w:rPr>
        <w:t xml:space="preserve">clothing and </w:t>
      </w:r>
      <w:r w:rsidR="00FD5524" w:rsidRPr="00B15663">
        <w:rPr>
          <w:rFonts w:ascii="Times New Roman" w:eastAsia="Times New Roman" w:hAnsi="Times New Roman"/>
          <w:bCs/>
          <w:sz w:val="20"/>
          <w:szCs w:val="20"/>
        </w:rPr>
        <w:t>gloves should be worn at all times when handling</w:t>
      </w:r>
      <w:r w:rsidR="00FD5524" w:rsidRPr="00686D7C">
        <w:rPr>
          <w:rFonts w:ascii="Times New Roman" w:eastAsia="Times New Roman" w:hAnsi="Times New Roman"/>
          <w:bCs/>
          <w:sz w:val="20"/>
          <w:szCs w:val="20"/>
        </w:rPr>
        <w:t xml:space="preserve">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686D7C" w14:paraId="0022EE31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75C42095" w14:textId="77777777" w:rsidR="00D25DBF" w:rsidRPr="00686D7C" w:rsidRDefault="00D25DBF" w:rsidP="00A46F87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z w:val="32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9</w:t>
            </w:r>
            <w:r w:rsidRPr="00686D7C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.  </w:t>
            </w:r>
            <w:r w:rsidRPr="00686D7C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57187D3B" w14:textId="3FC35BAD" w:rsidR="00D25DBF" w:rsidRPr="00CD32F8" w:rsidRDefault="00D25DBF" w:rsidP="00A46F87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16"/>
          <w:szCs w:val="16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4680"/>
      </w:tblGrid>
      <w:tr w:rsidR="001D5574" w:rsidRPr="00686D7C" w14:paraId="5A9B67BE" w14:textId="77777777" w:rsidTr="00370878">
        <w:trPr>
          <w:trHeight w:val="171"/>
        </w:trPr>
        <w:tc>
          <w:tcPr>
            <w:tcW w:w="4338" w:type="dxa"/>
          </w:tcPr>
          <w:p w14:paraId="61891973" w14:textId="5CA4E1EA" w:rsidR="001D5574" w:rsidRPr="00F636BA" w:rsidRDefault="001D5574" w:rsidP="00A46F8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Descriptive Properties</w:t>
            </w:r>
          </w:p>
        </w:tc>
        <w:tc>
          <w:tcPr>
            <w:tcW w:w="4680" w:type="dxa"/>
          </w:tcPr>
          <w:p w14:paraId="603B3635" w14:textId="654E4FA7" w:rsidR="001D5574" w:rsidRPr="00F636BA" w:rsidRDefault="00A46F87" w:rsidP="00A46F87">
            <w:pPr>
              <w:pStyle w:val="Default"/>
              <w:ind w:firstLine="522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Nickel oxide</w:t>
            </w:r>
          </w:p>
        </w:tc>
      </w:tr>
      <w:tr w:rsidR="001D5574" w:rsidRPr="00686D7C" w14:paraId="08BB656C" w14:textId="77777777" w:rsidTr="000613B3">
        <w:trPr>
          <w:trHeight w:val="144"/>
        </w:trPr>
        <w:tc>
          <w:tcPr>
            <w:tcW w:w="4338" w:type="dxa"/>
          </w:tcPr>
          <w:p w14:paraId="16E7D1B9" w14:textId="77777777" w:rsidR="001D5574" w:rsidRPr="00F636BA" w:rsidRDefault="001D5574" w:rsidP="00A46F87">
            <w:pPr>
              <w:pStyle w:val="Default"/>
              <w:spacing w:before="40"/>
              <w:ind w:left="540" w:hanging="18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 xml:space="preserve">Appearance </w:t>
            </w:r>
            <w:r w:rsidRPr="00F636BA">
              <w:rPr>
                <w:b/>
                <w:color w:val="auto"/>
                <w:sz w:val="20"/>
                <w:szCs w:val="20"/>
              </w:rPr>
              <w:br/>
              <w:t>(physical state, color, etc.):</w:t>
            </w:r>
          </w:p>
        </w:tc>
        <w:tc>
          <w:tcPr>
            <w:tcW w:w="4680" w:type="dxa"/>
          </w:tcPr>
          <w:p w14:paraId="566556AF" w14:textId="31C010C9" w:rsidR="001D5574" w:rsidRPr="00C1485E" w:rsidRDefault="00C56CB8" w:rsidP="00E43BCA">
            <w:pPr>
              <w:pStyle w:val="Default"/>
              <w:tabs>
                <w:tab w:val="left" w:pos="2214"/>
              </w:tabs>
              <w:spacing w:before="40"/>
              <w:ind w:left="522"/>
              <w:rPr>
                <w:color w:val="auto"/>
                <w:sz w:val="20"/>
                <w:szCs w:val="20"/>
                <w:highlight w:val="yellow"/>
              </w:rPr>
            </w:pPr>
            <w:r>
              <w:rPr>
                <w:color w:val="auto"/>
                <w:sz w:val="20"/>
                <w:szCs w:val="20"/>
              </w:rPr>
              <w:t>gray</w:t>
            </w:r>
            <w:r w:rsidR="00C87DB5">
              <w:rPr>
                <w:color w:val="auto"/>
                <w:sz w:val="20"/>
                <w:szCs w:val="20"/>
              </w:rPr>
              <w:t xml:space="preserve"> </w:t>
            </w:r>
            <w:r w:rsidR="00C87DB5" w:rsidRPr="00C87DB5">
              <w:rPr>
                <w:color w:val="auto"/>
                <w:sz w:val="20"/>
                <w:szCs w:val="20"/>
              </w:rPr>
              <w:t>powder</w:t>
            </w:r>
          </w:p>
        </w:tc>
      </w:tr>
      <w:tr w:rsidR="001D5574" w:rsidRPr="00686D7C" w14:paraId="5C6648CF" w14:textId="77777777" w:rsidTr="000613B3">
        <w:trPr>
          <w:trHeight w:val="144"/>
        </w:trPr>
        <w:tc>
          <w:tcPr>
            <w:tcW w:w="4338" w:type="dxa"/>
          </w:tcPr>
          <w:p w14:paraId="182E9EA7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4680" w:type="dxa"/>
          </w:tcPr>
          <w:p w14:paraId="4F892BE8" w14:textId="77861BD8" w:rsidR="001D5574" w:rsidRPr="00C87DB5" w:rsidRDefault="00F636BA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spacing w:val="-2"/>
                <w:sz w:val="20"/>
                <w:szCs w:val="20"/>
              </w:rPr>
              <w:t>N</w:t>
            </w:r>
            <w:r w:rsidR="00C87DB5" w:rsidRPr="00C87DB5">
              <w:rPr>
                <w:spacing w:val="-2"/>
                <w:sz w:val="20"/>
                <w:szCs w:val="20"/>
              </w:rPr>
              <w:t>i</w:t>
            </w:r>
            <w:r w:rsidR="00C56CB8">
              <w:rPr>
                <w:spacing w:val="-2"/>
                <w:sz w:val="20"/>
                <w:szCs w:val="20"/>
              </w:rPr>
              <w:t>O</w:t>
            </w:r>
          </w:p>
        </w:tc>
      </w:tr>
      <w:tr w:rsidR="001D5574" w:rsidRPr="00686D7C" w14:paraId="5AFA84D6" w14:textId="77777777" w:rsidTr="000613B3">
        <w:trPr>
          <w:trHeight w:val="144"/>
        </w:trPr>
        <w:tc>
          <w:tcPr>
            <w:tcW w:w="4338" w:type="dxa"/>
          </w:tcPr>
          <w:p w14:paraId="5B040BC2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sz w:val="20"/>
                <w:szCs w:val="20"/>
              </w:rPr>
              <w:t>Molar Mass (g/mol):</w:t>
            </w:r>
          </w:p>
        </w:tc>
        <w:tc>
          <w:tcPr>
            <w:tcW w:w="4680" w:type="dxa"/>
          </w:tcPr>
          <w:p w14:paraId="4543F428" w14:textId="566D8307" w:rsidR="001D5574" w:rsidRPr="00C87DB5" w:rsidRDefault="00C56CB8" w:rsidP="00A46F87">
            <w:pPr>
              <w:pStyle w:val="Default"/>
              <w:spacing w:before="40"/>
              <w:ind w:firstLine="522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74.71</w:t>
            </w:r>
          </w:p>
        </w:tc>
      </w:tr>
      <w:tr w:rsidR="001D5574" w:rsidRPr="00686D7C" w14:paraId="3938485E" w14:textId="77777777" w:rsidTr="000613B3">
        <w:trPr>
          <w:trHeight w:val="144"/>
        </w:trPr>
        <w:tc>
          <w:tcPr>
            <w:tcW w:w="4338" w:type="dxa"/>
          </w:tcPr>
          <w:p w14:paraId="57C6EB92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4680" w:type="dxa"/>
          </w:tcPr>
          <w:p w14:paraId="0548141D" w14:textId="4FA57ECB" w:rsidR="001D5574" w:rsidRPr="00C87DB5" w:rsidRDefault="00DE4179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</w:t>
            </w:r>
            <w:r w:rsidRPr="00DE4179">
              <w:rPr>
                <w:color w:val="auto"/>
                <w:sz w:val="20"/>
                <w:szCs w:val="20"/>
              </w:rPr>
              <w:t>dorless</w:t>
            </w:r>
          </w:p>
        </w:tc>
      </w:tr>
      <w:tr w:rsidR="001D5574" w:rsidRPr="00686D7C" w14:paraId="38DA2EFA" w14:textId="77777777" w:rsidTr="000613B3">
        <w:trPr>
          <w:trHeight w:val="144"/>
        </w:trPr>
        <w:tc>
          <w:tcPr>
            <w:tcW w:w="4338" w:type="dxa"/>
          </w:tcPr>
          <w:p w14:paraId="3F3D21F4" w14:textId="77777777" w:rsidR="001D5574" w:rsidRPr="00C87DB5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4680" w:type="dxa"/>
          </w:tcPr>
          <w:p w14:paraId="274C6562" w14:textId="77777777" w:rsidR="001D5574" w:rsidRPr="00C87DB5" w:rsidRDefault="001D5574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87DB5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6E9FB8C8" w14:textId="77777777" w:rsidTr="000613B3">
        <w:trPr>
          <w:trHeight w:val="144"/>
        </w:trPr>
        <w:tc>
          <w:tcPr>
            <w:tcW w:w="4338" w:type="dxa"/>
          </w:tcPr>
          <w:p w14:paraId="25490683" w14:textId="77777777" w:rsidR="001D5574" w:rsidRPr="00F636BA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4680" w:type="dxa"/>
          </w:tcPr>
          <w:p w14:paraId="7D8B9352" w14:textId="7104FBB5" w:rsidR="001D5574" w:rsidRPr="00C1485E" w:rsidRDefault="00C87DB5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C87DB5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5035FF69" w14:textId="77777777" w:rsidTr="000613B3">
        <w:trPr>
          <w:trHeight w:val="144"/>
        </w:trPr>
        <w:tc>
          <w:tcPr>
            <w:tcW w:w="4338" w:type="dxa"/>
          </w:tcPr>
          <w:p w14:paraId="0080C493" w14:textId="77777777" w:rsidR="001D5574" w:rsidRPr="00F636BA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4680" w:type="dxa"/>
          </w:tcPr>
          <w:p w14:paraId="6701EEE0" w14:textId="1E34AB99" w:rsidR="001D5574" w:rsidRPr="00523A7B" w:rsidRDefault="00523A7B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523A7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4CBA24A9" w14:textId="77777777" w:rsidTr="000613B3">
        <w:trPr>
          <w:trHeight w:val="144"/>
        </w:trPr>
        <w:tc>
          <w:tcPr>
            <w:tcW w:w="4338" w:type="dxa"/>
          </w:tcPr>
          <w:p w14:paraId="42944400" w14:textId="19F07761" w:rsidR="001D5574" w:rsidRPr="00F636BA" w:rsidRDefault="001D5574" w:rsidP="00C56CB8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Melting point/freezing point:</w:t>
            </w:r>
          </w:p>
        </w:tc>
        <w:tc>
          <w:tcPr>
            <w:tcW w:w="4680" w:type="dxa"/>
          </w:tcPr>
          <w:p w14:paraId="4D017A35" w14:textId="3898176C" w:rsidR="001D5574" w:rsidRPr="00523A7B" w:rsidRDefault="00523A7B" w:rsidP="00C56CB8">
            <w:pPr>
              <w:pStyle w:val="Default"/>
              <w:spacing w:before="40"/>
              <w:ind w:firstLine="522"/>
              <w:rPr>
                <w:color w:val="auto"/>
                <w:sz w:val="20"/>
                <w:szCs w:val="20"/>
              </w:rPr>
            </w:pPr>
            <w:r w:rsidRPr="00523A7B">
              <w:rPr>
                <w:color w:val="auto"/>
                <w:sz w:val="20"/>
                <w:szCs w:val="20"/>
              </w:rPr>
              <w:t>1</w:t>
            </w:r>
            <w:r w:rsidR="00C56CB8">
              <w:rPr>
                <w:color w:val="auto"/>
                <w:sz w:val="20"/>
                <w:szCs w:val="20"/>
              </w:rPr>
              <w:t>984</w:t>
            </w:r>
            <w:r w:rsidR="00C56CB8" w:rsidRPr="00523A7B">
              <w:rPr>
                <w:color w:val="auto"/>
                <w:sz w:val="20"/>
                <w:szCs w:val="20"/>
              </w:rPr>
              <w:t xml:space="preserve"> º</w:t>
            </w:r>
            <w:r w:rsidR="00C56CB8">
              <w:rPr>
                <w:color w:val="auto"/>
                <w:sz w:val="20"/>
                <w:szCs w:val="20"/>
              </w:rPr>
              <w:t>C</w:t>
            </w:r>
            <w:r w:rsidRPr="00523A7B">
              <w:rPr>
                <w:color w:val="auto"/>
                <w:sz w:val="20"/>
                <w:szCs w:val="20"/>
              </w:rPr>
              <w:t xml:space="preserve"> (</w:t>
            </w:r>
            <w:r w:rsidR="00164B4E" w:rsidRPr="00164B4E">
              <w:rPr>
                <w:color w:val="auto"/>
                <w:sz w:val="20"/>
                <w:szCs w:val="20"/>
              </w:rPr>
              <w:t>3603</w:t>
            </w:r>
            <w:r w:rsidRPr="00523A7B">
              <w:rPr>
                <w:color w:val="auto"/>
                <w:sz w:val="20"/>
                <w:szCs w:val="20"/>
              </w:rPr>
              <w:t xml:space="preserve"> ºF)</w:t>
            </w:r>
          </w:p>
        </w:tc>
      </w:tr>
      <w:tr w:rsidR="001D5574" w:rsidRPr="00686D7C" w14:paraId="246E318D" w14:textId="77777777" w:rsidTr="000613B3">
        <w:trPr>
          <w:trHeight w:val="144"/>
        </w:trPr>
        <w:tc>
          <w:tcPr>
            <w:tcW w:w="4338" w:type="dxa"/>
          </w:tcPr>
          <w:p w14:paraId="1C1D4655" w14:textId="3E6B5173" w:rsidR="001D5574" w:rsidRPr="00686D7C" w:rsidRDefault="001D5574" w:rsidP="00A46F87">
            <w:pPr>
              <w:pStyle w:val="Default"/>
              <w:spacing w:before="40"/>
              <w:ind w:left="540" w:hanging="18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Relative Density</w:t>
            </w:r>
            <w:r w:rsidR="00A7258C">
              <w:rPr>
                <w:b/>
                <w:color w:val="auto"/>
                <w:sz w:val="20"/>
                <w:szCs w:val="20"/>
              </w:rPr>
              <w:t xml:space="preserve"> as s</w:t>
            </w:r>
            <w:r w:rsidR="00A7258C" w:rsidRPr="00A7258C">
              <w:rPr>
                <w:b/>
                <w:color w:val="auto"/>
                <w:sz w:val="20"/>
                <w:szCs w:val="20"/>
              </w:rPr>
              <w:t xml:space="preserve">pecific </w:t>
            </w:r>
            <w:r w:rsidR="00A7258C">
              <w:rPr>
                <w:b/>
                <w:color w:val="auto"/>
                <w:sz w:val="20"/>
                <w:szCs w:val="20"/>
              </w:rPr>
              <w:t>g</w:t>
            </w:r>
            <w:r w:rsidR="00A7258C" w:rsidRPr="00A7258C">
              <w:rPr>
                <w:b/>
                <w:color w:val="auto"/>
                <w:sz w:val="20"/>
                <w:szCs w:val="20"/>
              </w:rPr>
              <w:t>ravity (water=1)</w:t>
            </w:r>
            <w:r w:rsidRPr="00686D7C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4680" w:type="dxa"/>
          </w:tcPr>
          <w:p w14:paraId="2A1FE3AD" w14:textId="38F93A5B" w:rsidR="001D5574" w:rsidRPr="00523A7B" w:rsidRDefault="00C56CB8" w:rsidP="00A46F87">
            <w:pPr>
              <w:pStyle w:val="Default"/>
              <w:spacing w:before="40"/>
              <w:ind w:left="522"/>
              <w:rPr>
                <w:color w:val="auto"/>
                <w:sz w:val="20"/>
                <w:szCs w:val="20"/>
              </w:rPr>
            </w:pPr>
            <w:r w:rsidRPr="00C56CB8">
              <w:rPr>
                <w:color w:val="auto"/>
                <w:sz w:val="20"/>
                <w:szCs w:val="20"/>
              </w:rPr>
              <w:t>6.6</w:t>
            </w:r>
            <w:r>
              <w:rPr>
                <w:color w:val="auto"/>
                <w:sz w:val="20"/>
                <w:szCs w:val="20"/>
              </w:rPr>
              <w:t xml:space="preserve"> to</w:t>
            </w:r>
            <w:r w:rsidRPr="00C56CB8">
              <w:rPr>
                <w:color w:val="auto"/>
                <w:sz w:val="20"/>
                <w:szCs w:val="20"/>
              </w:rPr>
              <w:t xml:space="preserve"> 6.8</w:t>
            </w:r>
          </w:p>
        </w:tc>
      </w:tr>
      <w:tr w:rsidR="001D5574" w:rsidRPr="00686D7C" w14:paraId="2E4B2F31" w14:textId="77777777" w:rsidTr="000613B3">
        <w:trPr>
          <w:trHeight w:val="144"/>
        </w:trPr>
        <w:tc>
          <w:tcPr>
            <w:tcW w:w="4338" w:type="dxa"/>
          </w:tcPr>
          <w:p w14:paraId="326FAF90" w14:textId="740840BC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Vapor Pressure:</w:t>
            </w:r>
          </w:p>
        </w:tc>
        <w:tc>
          <w:tcPr>
            <w:tcW w:w="4680" w:type="dxa"/>
          </w:tcPr>
          <w:p w14:paraId="01AEE9C7" w14:textId="36B522AB" w:rsidR="001D5574" w:rsidRPr="00765729" w:rsidRDefault="00C56CB8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56CB8">
              <w:rPr>
                <w:color w:val="auto"/>
                <w:sz w:val="20"/>
                <w:szCs w:val="20"/>
              </w:rPr>
              <w:t>not available</w:t>
            </w:r>
            <w:r w:rsidR="00523A7B" w:rsidRPr="00765729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5574" w:rsidRPr="00686D7C" w14:paraId="3976EDB5" w14:textId="77777777" w:rsidTr="000613B3">
        <w:trPr>
          <w:trHeight w:val="144"/>
        </w:trPr>
        <w:tc>
          <w:tcPr>
            <w:tcW w:w="4338" w:type="dxa"/>
          </w:tcPr>
          <w:p w14:paraId="155E319D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Vapor Density (air = 1):</w:t>
            </w:r>
          </w:p>
        </w:tc>
        <w:tc>
          <w:tcPr>
            <w:tcW w:w="4680" w:type="dxa"/>
          </w:tcPr>
          <w:p w14:paraId="59A2111A" w14:textId="24342B1A" w:rsidR="001D5574" w:rsidRPr="00765729" w:rsidRDefault="00F636BA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48EDD4E1" w14:textId="77777777" w:rsidTr="000613B3">
        <w:trPr>
          <w:trHeight w:val="144"/>
        </w:trPr>
        <w:tc>
          <w:tcPr>
            <w:tcW w:w="4338" w:type="dxa"/>
          </w:tcPr>
          <w:p w14:paraId="228A1BBC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Viscosity (cP):</w:t>
            </w:r>
          </w:p>
        </w:tc>
        <w:tc>
          <w:tcPr>
            <w:tcW w:w="4680" w:type="dxa"/>
          </w:tcPr>
          <w:p w14:paraId="2756D31D" w14:textId="4FE513B1" w:rsidR="001D5574" w:rsidRPr="00765729" w:rsidRDefault="00A7258C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78E2AE4E" w14:textId="77777777" w:rsidTr="000613B3">
        <w:trPr>
          <w:trHeight w:val="144"/>
        </w:trPr>
        <w:tc>
          <w:tcPr>
            <w:tcW w:w="4338" w:type="dxa"/>
          </w:tcPr>
          <w:p w14:paraId="670C914E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Solubility(ies):</w:t>
            </w:r>
          </w:p>
        </w:tc>
        <w:tc>
          <w:tcPr>
            <w:tcW w:w="4680" w:type="dxa"/>
          </w:tcPr>
          <w:p w14:paraId="682F47CF" w14:textId="30F1EF4A" w:rsidR="001D5574" w:rsidRPr="00765729" w:rsidRDefault="00523A7B" w:rsidP="00C56CB8">
            <w:pPr>
              <w:pStyle w:val="Default"/>
              <w:spacing w:before="40"/>
              <w:ind w:left="531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in</w:t>
            </w:r>
            <w:r w:rsidR="001D5574" w:rsidRPr="00765729">
              <w:rPr>
                <w:color w:val="auto"/>
                <w:sz w:val="20"/>
                <w:szCs w:val="20"/>
              </w:rPr>
              <w:t>soluble</w:t>
            </w:r>
            <w:r w:rsidRPr="00765729">
              <w:rPr>
                <w:color w:val="auto"/>
                <w:sz w:val="20"/>
                <w:szCs w:val="20"/>
              </w:rPr>
              <w:t xml:space="preserve"> in water</w:t>
            </w:r>
            <w:r w:rsidR="00765729" w:rsidRPr="00765729">
              <w:rPr>
                <w:color w:val="auto"/>
                <w:sz w:val="20"/>
                <w:szCs w:val="20"/>
              </w:rPr>
              <w:t xml:space="preserve"> and </w:t>
            </w:r>
            <w:r w:rsidR="00C56CB8" w:rsidRPr="00C56CB8">
              <w:rPr>
                <w:color w:val="auto"/>
                <w:sz w:val="20"/>
                <w:szCs w:val="20"/>
              </w:rPr>
              <w:t>caustic solutions</w:t>
            </w:r>
            <w:r w:rsidR="00F92D6A" w:rsidRPr="00765729">
              <w:rPr>
                <w:color w:val="auto"/>
                <w:sz w:val="20"/>
                <w:szCs w:val="20"/>
              </w:rPr>
              <w:t xml:space="preserve">; </w:t>
            </w:r>
            <w:r w:rsidR="00765729" w:rsidRPr="00765729">
              <w:rPr>
                <w:color w:val="auto"/>
                <w:sz w:val="20"/>
                <w:szCs w:val="20"/>
              </w:rPr>
              <w:br/>
            </w:r>
            <w:r w:rsidR="00411CC4" w:rsidRPr="00765729">
              <w:rPr>
                <w:color w:val="auto"/>
                <w:sz w:val="20"/>
                <w:szCs w:val="20"/>
              </w:rPr>
              <w:t xml:space="preserve">soluble in </w:t>
            </w:r>
            <w:r w:rsidR="00C56CB8" w:rsidRPr="00C56CB8">
              <w:rPr>
                <w:color w:val="auto"/>
                <w:sz w:val="20"/>
                <w:szCs w:val="20"/>
              </w:rPr>
              <w:t>acids</w:t>
            </w:r>
            <w:r w:rsidR="00C56CB8">
              <w:rPr>
                <w:color w:val="auto"/>
                <w:sz w:val="20"/>
                <w:szCs w:val="20"/>
              </w:rPr>
              <w:t xml:space="preserve"> and</w:t>
            </w:r>
            <w:r w:rsidR="00C56CB8" w:rsidRPr="00C56CB8">
              <w:rPr>
                <w:color w:val="auto"/>
                <w:sz w:val="20"/>
                <w:szCs w:val="20"/>
              </w:rPr>
              <w:t xml:space="preserve"> ammonium hydroxide</w:t>
            </w:r>
            <w:r w:rsidR="00C56CB8">
              <w:rPr>
                <w:color w:val="auto"/>
                <w:sz w:val="20"/>
                <w:szCs w:val="20"/>
              </w:rPr>
              <w:t>.</w:t>
            </w:r>
            <w:r w:rsidR="00C56CB8" w:rsidRPr="00C56CB8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5574" w:rsidRPr="00686D7C" w14:paraId="21B1193A" w14:textId="77777777" w:rsidTr="000613B3">
        <w:trPr>
          <w:trHeight w:val="144"/>
        </w:trPr>
        <w:tc>
          <w:tcPr>
            <w:tcW w:w="4338" w:type="dxa"/>
          </w:tcPr>
          <w:p w14:paraId="2B45EBEF" w14:textId="77777777" w:rsidR="001D5574" w:rsidRPr="00765729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4680" w:type="dxa"/>
          </w:tcPr>
          <w:p w14:paraId="34790492" w14:textId="77777777" w:rsidR="001D5574" w:rsidRPr="00765729" w:rsidRDefault="001D5574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618F6365" w14:textId="77777777" w:rsidTr="000613B3">
        <w:trPr>
          <w:trHeight w:val="432"/>
        </w:trPr>
        <w:tc>
          <w:tcPr>
            <w:tcW w:w="4338" w:type="dxa"/>
          </w:tcPr>
          <w:p w14:paraId="222184CA" w14:textId="44A0D05E" w:rsidR="001D5574" w:rsidRPr="00686D7C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Particle Size</w:t>
            </w:r>
            <w:r w:rsidR="00BF74D6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4680" w:type="dxa"/>
          </w:tcPr>
          <w:p w14:paraId="7AEFEE21" w14:textId="0EA4254E" w:rsidR="001D5574" w:rsidRPr="00C1485E" w:rsidRDefault="00765729" w:rsidP="00A46F87">
            <w:pPr>
              <w:pStyle w:val="Default"/>
              <w:spacing w:before="40"/>
              <w:ind w:firstLine="522"/>
              <w:rPr>
                <w:color w:val="auto"/>
                <w:sz w:val="20"/>
                <w:szCs w:val="20"/>
                <w:highlight w:val="yellow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0EF5E979" w14:textId="77777777" w:rsidTr="000613B3">
        <w:trPr>
          <w:trHeight w:val="144"/>
        </w:trPr>
        <w:tc>
          <w:tcPr>
            <w:tcW w:w="4338" w:type="dxa"/>
          </w:tcPr>
          <w:p w14:paraId="54E4F9D3" w14:textId="3C7BB4F6" w:rsidR="001D5574" w:rsidRPr="00686D7C" w:rsidRDefault="001D5574" w:rsidP="00A46F8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4680" w:type="dxa"/>
          </w:tcPr>
          <w:p w14:paraId="6F50EF36" w14:textId="0DC9F94D" w:rsidR="001D5574" w:rsidRPr="00686D7C" w:rsidRDefault="001D5574" w:rsidP="00A46F87">
            <w:pPr>
              <w:pStyle w:val="Default"/>
              <w:ind w:firstLine="522"/>
              <w:rPr>
                <w:b/>
                <w:color w:val="auto"/>
                <w:sz w:val="20"/>
                <w:szCs w:val="20"/>
              </w:rPr>
            </w:pPr>
          </w:p>
        </w:tc>
      </w:tr>
      <w:tr w:rsidR="001D5574" w:rsidRPr="00686D7C" w14:paraId="566DA7F1" w14:textId="77777777" w:rsidTr="000613B3">
        <w:trPr>
          <w:trHeight w:val="144"/>
        </w:trPr>
        <w:tc>
          <w:tcPr>
            <w:tcW w:w="4338" w:type="dxa"/>
          </w:tcPr>
          <w:p w14:paraId="0B0A8E5E" w14:textId="77777777" w:rsidR="001D5574" w:rsidRPr="00686D7C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Autoignition Temperature (ºC):</w:t>
            </w:r>
          </w:p>
        </w:tc>
        <w:tc>
          <w:tcPr>
            <w:tcW w:w="4680" w:type="dxa"/>
          </w:tcPr>
          <w:p w14:paraId="2F046399" w14:textId="1CC9859A" w:rsidR="001D5574" w:rsidRPr="00C1485E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7657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68AC56E1" w14:textId="77777777" w:rsidTr="000613B3">
        <w:trPr>
          <w:trHeight w:val="144"/>
        </w:trPr>
        <w:tc>
          <w:tcPr>
            <w:tcW w:w="4338" w:type="dxa"/>
          </w:tcPr>
          <w:p w14:paraId="47D0ADB4" w14:textId="77777777" w:rsidR="001D5574" w:rsidRPr="00686D7C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686D7C">
              <w:rPr>
                <w:b/>
                <w:color w:val="auto"/>
                <w:sz w:val="20"/>
                <w:szCs w:val="20"/>
              </w:rPr>
              <w:t>Thermal Decomposition (ºC):</w:t>
            </w:r>
          </w:p>
        </w:tc>
        <w:tc>
          <w:tcPr>
            <w:tcW w:w="4680" w:type="dxa"/>
          </w:tcPr>
          <w:p w14:paraId="2BA4B479" w14:textId="68018000" w:rsidR="001D5574" w:rsidRPr="00B6203F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B6203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D5574" w:rsidRPr="00686D7C" w14:paraId="090D3276" w14:textId="77777777" w:rsidTr="000613B3">
        <w:trPr>
          <w:trHeight w:val="144"/>
        </w:trPr>
        <w:tc>
          <w:tcPr>
            <w:tcW w:w="4338" w:type="dxa"/>
          </w:tcPr>
          <w:p w14:paraId="368DD62C" w14:textId="77777777" w:rsidR="001D5574" w:rsidRPr="00F636BA" w:rsidRDefault="001D5574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Initial boiling point and boiling range (ºC):</w:t>
            </w:r>
          </w:p>
        </w:tc>
        <w:tc>
          <w:tcPr>
            <w:tcW w:w="4680" w:type="dxa"/>
          </w:tcPr>
          <w:p w14:paraId="7A5E270E" w14:textId="195E4E59" w:rsidR="001D5574" w:rsidRPr="00B6203F" w:rsidRDefault="00C56CB8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C56CB8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7F1B3AAD" w14:textId="77777777" w:rsidTr="000613B3">
        <w:trPr>
          <w:trHeight w:val="144"/>
        </w:trPr>
        <w:tc>
          <w:tcPr>
            <w:tcW w:w="4338" w:type="dxa"/>
          </w:tcPr>
          <w:p w14:paraId="5A557B68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Explosive Limits, LEL (Volume %):</w:t>
            </w:r>
          </w:p>
        </w:tc>
        <w:tc>
          <w:tcPr>
            <w:tcW w:w="4680" w:type="dxa"/>
          </w:tcPr>
          <w:p w14:paraId="1C6C3ADF" w14:textId="619F3765" w:rsidR="00B6203F" w:rsidRPr="00B6203F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</w:rPr>
            </w:pPr>
            <w:r w:rsidRPr="00B6203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232E315C" w14:textId="77777777" w:rsidTr="00370878">
        <w:trPr>
          <w:trHeight w:val="331"/>
        </w:trPr>
        <w:tc>
          <w:tcPr>
            <w:tcW w:w="4338" w:type="dxa"/>
          </w:tcPr>
          <w:p w14:paraId="52A6EB7E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Explosive Limits, UEL (Volume %):</w:t>
            </w:r>
          </w:p>
        </w:tc>
        <w:tc>
          <w:tcPr>
            <w:tcW w:w="4680" w:type="dxa"/>
          </w:tcPr>
          <w:p w14:paraId="68A5294C" w14:textId="59D78578" w:rsidR="00B6203F" w:rsidRPr="00C1485E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81566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6A191832" w14:textId="77777777" w:rsidTr="00370878">
        <w:trPr>
          <w:trHeight w:val="331"/>
        </w:trPr>
        <w:tc>
          <w:tcPr>
            <w:tcW w:w="4338" w:type="dxa"/>
          </w:tcPr>
          <w:p w14:paraId="3E286DB7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Flash Point (ºC):</w:t>
            </w:r>
          </w:p>
        </w:tc>
        <w:tc>
          <w:tcPr>
            <w:tcW w:w="4680" w:type="dxa"/>
          </w:tcPr>
          <w:p w14:paraId="3005D069" w14:textId="6CD2B0EC" w:rsidR="00B6203F" w:rsidRPr="00C1485E" w:rsidRDefault="00B6203F" w:rsidP="00A46F87">
            <w:pPr>
              <w:pStyle w:val="Default"/>
              <w:spacing w:before="4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81566F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B6203F" w:rsidRPr="00686D7C" w14:paraId="4E323436" w14:textId="77777777" w:rsidTr="00370878">
        <w:trPr>
          <w:trHeight w:val="331"/>
        </w:trPr>
        <w:tc>
          <w:tcPr>
            <w:tcW w:w="4338" w:type="dxa"/>
          </w:tcPr>
          <w:p w14:paraId="5FC21E03" w14:textId="77777777" w:rsidR="00B6203F" w:rsidRPr="00F636BA" w:rsidRDefault="00B6203F" w:rsidP="00A46F87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F636BA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4680" w:type="dxa"/>
          </w:tcPr>
          <w:p w14:paraId="35064FDA" w14:textId="75D30E9B" w:rsidR="00B6203F" w:rsidRPr="00C1485E" w:rsidRDefault="00B6203F" w:rsidP="00A46F87">
            <w:pPr>
              <w:pStyle w:val="Default"/>
              <w:spacing w:before="40" w:after="120"/>
              <w:ind w:firstLine="522"/>
              <w:rPr>
                <w:b/>
                <w:color w:val="auto"/>
                <w:sz w:val="20"/>
                <w:szCs w:val="20"/>
                <w:highlight w:val="yellow"/>
              </w:rPr>
            </w:pPr>
            <w:r w:rsidRPr="0081566F"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686D7C" w14:paraId="52511884" w14:textId="77777777" w:rsidTr="00D25DBF">
        <w:trPr>
          <w:trHeight w:hRule="exact"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7709E989" w14:textId="77777777" w:rsidR="003045F2" w:rsidRPr="00686D7C" w:rsidRDefault="003045F2" w:rsidP="000613B3">
            <w:pPr>
              <w:keepNext/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0"/>
              </w:rPr>
              <w:lastRenderedPageBreak/>
              <w:t>10.  Stability and Reactivity</w:t>
            </w:r>
          </w:p>
        </w:tc>
      </w:tr>
    </w:tbl>
    <w:p w14:paraId="0C266197" w14:textId="77777777" w:rsidR="00F4046F" w:rsidRPr="00FA5207" w:rsidRDefault="00F4046F" w:rsidP="000613B3">
      <w:pPr>
        <w:keepNext/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FA5207">
        <w:rPr>
          <w:rFonts w:ascii="Times New Roman" w:hAnsi="Times New Roman"/>
          <w:b/>
          <w:sz w:val="20"/>
          <w:szCs w:val="20"/>
        </w:rPr>
        <w:t>Reactivity:</w:t>
      </w:r>
      <w:r w:rsidR="00383F47" w:rsidRPr="00FA5207">
        <w:rPr>
          <w:rFonts w:ascii="Times New Roman" w:hAnsi="Times New Roman"/>
          <w:sz w:val="20"/>
          <w:szCs w:val="20"/>
        </w:rPr>
        <w:t xml:space="preserve">  </w:t>
      </w:r>
      <w:r w:rsidR="00005D5A" w:rsidRPr="00FA5207">
        <w:rPr>
          <w:rFonts w:ascii="Times New Roman" w:hAnsi="Times New Roman"/>
          <w:sz w:val="20"/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FA5207" w14:paraId="6F6BCD21" w14:textId="77777777" w:rsidTr="00EB5E4A">
        <w:tc>
          <w:tcPr>
            <w:tcW w:w="1440" w:type="dxa"/>
            <w:vAlign w:val="center"/>
          </w:tcPr>
          <w:p w14:paraId="377A84F8" w14:textId="77777777" w:rsidR="00F4046F" w:rsidRPr="00FA5207" w:rsidRDefault="00F4046F" w:rsidP="000613B3">
            <w:pPr>
              <w:keepNext/>
              <w:widowControl/>
              <w:spacing w:after="0" w:line="240" w:lineRule="auto"/>
              <w:ind w:firstLine="360"/>
              <w:rPr>
                <w:rFonts w:ascii="Times New Roman" w:hAnsi="Times New Roman"/>
                <w:b/>
                <w:sz w:val="20"/>
                <w:szCs w:val="20"/>
              </w:rPr>
            </w:pPr>
            <w:r w:rsidRPr="00FA5207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724BF0E3" w14:textId="77777777" w:rsidR="00F4046F" w:rsidRPr="00FA5207" w:rsidRDefault="00A14B09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666529A7" w14:textId="77777777" w:rsidR="00F4046F" w:rsidRPr="00FA5207" w:rsidRDefault="00F4046F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1FBC8CE" w14:textId="77777777" w:rsidR="00F4046F" w:rsidRPr="00FA5207" w:rsidRDefault="00F4046F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3535835" w14:textId="77777777" w:rsidR="00F4046F" w:rsidRPr="00FA5207" w:rsidRDefault="00F4046F" w:rsidP="000613B3">
            <w:pPr>
              <w:keepNext/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15A97010" w14:textId="77777777" w:rsidR="00D2295A" w:rsidRPr="00FA5207" w:rsidRDefault="00D2295A" w:rsidP="000613B3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 w:rsidRPr="00FA5207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352F5F" w:rsidRPr="00FA520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203CE012" w14:textId="65AC42F7" w:rsidR="006821C7" w:rsidRPr="00FA5207" w:rsidRDefault="006821C7" w:rsidP="000613B3">
      <w:pPr>
        <w:keepNext/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C3128" w:rsidRPr="00FA5207">
        <w:rPr>
          <w:rFonts w:ascii="Times New Roman" w:eastAsia="Times New Roman" w:hAnsi="Times New Roman"/>
          <w:bCs/>
          <w:sz w:val="20"/>
          <w:szCs w:val="20"/>
        </w:rPr>
        <w:t>N</w:t>
      </w:r>
      <w:r w:rsidR="00C56CB8" w:rsidRPr="00C56CB8">
        <w:t xml:space="preserve"> </w:t>
      </w:r>
      <w:r w:rsidR="00C56CB8" w:rsidRPr="00C56CB8">
        <w:rPr>
          <w:rFonts w:ascii="Times New Roman" w:eastAsia="Times New Roman" w:hAnsi="Times New Roman"/>
          <w:bCs/>
          <w:sz w:val="20"/>
          <w:szCs w:val="20"/>
        </w:rPr>
        <w:t>Avoid generating dust.</w:t>
      </w:r>
    </w:p>
    <w:p w14:paraId="5A6CC63D" w14:textId="12932E65" w:rsidR="006821C7" w:rsidRPr="00FA5207" w:rsidRDefault="006821C7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="00C56CB8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C56CB8">
        <w:rPr>
          <w:rFonts w:ascii="Times New Roman" w:eastAsia="Times New Roman" w:hAnsi="Times New Roman"/>
          <w:bCs/>
          <w:sz w:val="20"/>
          <w:szCs w:val="20"/>
        </w:rPr>
        <w:t>O</w:t>
      </w:r>
      <w:r w:rsidR="00FA5207" w:rsidRPr="00FA5207">
        <w:rPr>
          <w:rFonts w:ascii="Times New Roman" w:eastAsia="Times New Roman" w:hAnsi="Times New Roman"/>
          <w:bCs/>
          <w:sz w:val="20"/>
          <w:szCs w:val="20"/>
        </w:rPr>
        <w:t>xidizing materials,</w:t>
      </w:r>
      <w:r w:rsidR="00C56CB8">
        <w:rPr>
          <w:rFonts w:ascii="Times New Roman" w:eastAsia="Times New Roman" w:hAnsi="Times New Roman"/>
          <w:bCs/>
          <w:sz w:val="20"/>
          <w:szCs w:val="20"/>
        </w:rPr>
        <w:t xml:space="preserve"> metal oxides, h</w:t>
      </w:r>
      <w:r w:rsidR="00FA5207" w:rsidRPr="00FA5207">
        <w:rPr>
          <w:rFonts w:ascii="Times New Roman" w:eastAsia="Times New Roman" w:hAnsi="Times New Roman"/>
          <w:bCs/>
          <w:sz w:val="20"/>
          <w:szCs w:val="20"/>
        </w:rPr>
        <w:t>alogens,</w:t>
      </w:r>
      <w:r w:rsidR="00C56CB8">
        <w:rPr>
          <w:rFonts w:ascii="Times New Roman" w:eastAsia="Times New Roman" w:hAnsi="Times New Roman"/>
          <w:bCs/>
          <w:sz w:val="20"/>
          <w:szCs w:val="20"/>
        </w:rPr>
        <w:t xml:space="preserve"> peroxides, and</w:t>
      </w:r>
      <w:r w:rsidR="00FA5207" w:rsidRPr="00FA5207">
        <w:rPr>
          <w:rFonts w:ascii="Times New Roman" w:eastAsia="Times New Roman" w:hAnsi="Times New Roman"/>
          <w:bCs/>
          <w:sz w:val="20"/>
          <w:szCs w:val="20"/>
        </w:rPr>
        <w:t xml:space="preserve"> reducing agents</w:t>
      </w:r>
      <w:r w:rsidR="00352F5F" w:rsidRPr="00FA5207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9FDF8BD" w14:textId="77777777" w:rsidR="006821C7" w:rsidRPr="00FA5207" w:rsidRDefault="006821C7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Fire/Explosion Information:</w:t>
      </w:r>
      <w:r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FA520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3F3C37B0" w14:textId="553358C0" w:rsidR="00AF6B74" w:rsidRPr="00FA5207" w:rsidRDefault="005A257B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FA5207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FA520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56CB8">
        <w:rPr>
          <w:rFonts w:ascii="Times New Roman" w:eastAsia="Times New Roman" w:hAnsi="Times New Roman"/>
          <w:bCs/>
          <w:sz w:val="20"/>
          <w:szCs w:val="20"/>
        </w:rPr>
        <w:t>M</w:t>
      </w:r>
      <w:r w:rsidR="00C56CB8" w:rsidRPr="00C56CB8">
        <w:rPr>
          <w:rFonts w:ascii="Times New Roman" w:eastAsia="Times New Roman" w:hAnsi="Times New Roman"/>
          <w:bCs/>
          <w:sz w:val="20"/>
          <w:szCs w:val="20"/>
        </w:rPr>
        <w:t>iscellaneous decomposition products</w:t>
      </w:r>
      <w:r w:rsidR="003A01E2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FA5207" w14:paraId="1E47C83A" w14:textId="77777777" w:rsidTr="005A257B">
        <w:tc>
          <w:tcPr>
            <w:tcW w:w="2592" w:type="dxa"/>
            <w:vAlign w:val="center"/>
          </w:tcPr>
          <w:p w14:paraId="04312A4A" w14:textId="77777777" w:rsidR="005A257B" w:rsidRPr="00FA5207" w:rsidRDefault="005A257B" w:rsidP="00A46F87">
            <w:pPr>
              <w:widowControl/>
              <w:spacing w:after="0" w:line="240" w:lineRule="auto"/>
              <w:ind w:left="-108" w:right="-187"/>
              <w:rPr>
                <w:rFonts w:ascii="Times New Roman" w:hAnsi="Times New Roman"/>
                <w:b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6D301A11" w14:textId="77777777" w:rsidR="005A257B" w:rsidRPr="00FA5207" w:rsidRDefault="005A257B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6964FF6D" w14:textId="77777777" w:rsidR="005A257B" w:rsidRPr="00FA5207" w:rsidRDefault="005A257B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62A7DF2C" w14:textId="77777777" w:rsidR="005A257B" w:rsidRPr="00FA5207" w:rsidRDefault="005A257B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5D298E5F" w14:textId="77777777" w:rsidR="005A257B" w:rsidRPr="00FA5207" w:rsidRDefault="005A257B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42D91A42" w14:textId="77777777" w:rsidR="005A257B" w:rsidRPr="00FA5207" w:rsidRDefault="005A257B" w:rsidP="00A46F87">
      <w:pPr>
        <w:widowControl/>
        <w:spacing w:after="0" w:line="240" w:lineRule="auto"/>
        <w:rPr>
          <w:rFonts w:ascii="Times New Roman" w:eastAsia="Times New Roman" w:hAnsi="Times New Roman"/>
          <w:bCs/>
          <w:sz w:val="16"/>
          <w:szCs w:val="16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A257B" w:rsidRPr="00686D7C" w14:paraId="7D4C74C9" w14:textId="77777777" w:rsidTr="005A257B">
        <w:trPr>
          <w:trHeight w:hRule="exact" w:val="360"/>
        </w:trPr>
        <w:tc>
          <w:tcPr>
            <w:tcW w:w="9576" w:type="dxa"/>
            <w:vAlign w:val="center"/>
          </w:tcPr>
          <w:p w14:paraId="1DD130DE" w14:textId="77777777" w:rsidR="005A257B" w:rsidRPr="00686D7C" w:rsidRDefault="005A257B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FA5207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A5207"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FA5207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FA5207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FA5207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E43BCA" w14:paraId="6B204475" w14:textId="77777777" w:rsidTr="004E7C12">
        <w:tc>
          <w:tcPr>
            <w:tcW w:w="2016" w:type="dxa"/>
            <w:vAlign w:val="center"/>
          </w:tcPr>
          <w:p w14:paraId="3C0DD599" w14:textId="77777777" w:rsidR="00EB5E4A" w:rsidRPr="00E43BCA" w:rsidRDefault="00EB5E4A" w:rsidP="00A46F87">
            <w:pPr>
              <w:widowControl/>
              <w:spacing w:before="120" w:after="0" w:line="240" w:lineRule="auto"/>
              <w:ind w:left="-108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 w:rsidRPr="00E43BCA"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 w:rsidRPr="00E43BCA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 w:rsidRPr="00E43BCA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 w:rsidRPr="00E43BCA"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79C8166F" w14:textId="77777777" w:rsidR="00EB5E4A" w:rsidRPr="00E43BCA" w:rsidRDefault="006C412A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0C11A7F3" w14:textId="77777777" w:rsidR="00EB5E4A" w:rsidRPr="00E43BCA" w:rsidRDefault="00EB5E4A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C64C010" w14:textId="5813C542" w:rsidR="00EB5E4A" w:rsidRPr="00E43BCA" w:rsidRDefault="006C5A88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6028F4C9" w14:textId="77777777" w:rsidR="00EB5E4A" w:rsidRPr="00E43BCA" w:rsidRDefault="00EB5E4A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E43AE18" w14:textId="77777777" w:rsidR="00EB5E4A" w:rsidRPr="00E43BCA" w:rsidRDefault="004C3128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57A97DA" w14:textId="77777777" w:rsidR="00EB5E4A" w:rsidRPr="00E43BCA" w:rsidRDefault="00EB5E4A" w:rsidP="00A46F8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E43BCA"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 w:rsidRPr="00E43BCA"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 w:rsidRPr="00E43BCA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4FEF3A88" w14:textId="5A11BEB1" w:rsidR="00E014A4" w:rsidRPr="00E43BCA" w:rsidRDefault="00E014A4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613B3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613B3" w:rsidRPr="00E43BCA">
        <w:rPr>
          <w:rFonts w:ascii="Times New Roman" w:hAnsi="Times New Roman"/>
          <w:color w:val="151515"/>
          <w:sz w:val="20"/>
          <w:szCs w:val="20"/>
          <w:lang w:val="en"/>
        </w:rPr>
        <w:t>Respiratory</w:t>
      </w:r>
      <w:r w:rsidR="00520D37" w:rsidRPr="00E43BCA">
        <w:rPr>
          <w:rFonts w:ascii="Times New Roman" w:hAnsi="Times New Roman"/>
          <w:color w:val="151515"/>
          <w:sz w:val="20"/>
          <w:szCs w:val="20"/>
          <w:lang w:val="en"/>
        </w:rPr>
        <w:t xml:space="preserve"> tract irritation, skin irritation, allergic reactions, cancer hazard</w:t>
      </w:r>
      <w:r w:rsidR="005A73FE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7A56154" w14:textId="77777777" w:rsidR="00A00A2B" w:rsidRPr="00E43BCA" w:rsidRDefault="00EB5E4A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Potential Health Effects (Acute</w:t>
      </w:r>
      <w:r w:rsidR="00957B26" w:rsidRPr="00E43BCA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 w:rsidRPr="00E43BC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0E9398E7" w14:textId="5A585414" w:rsidR="00DE3CA8" w:rsidRPr="00E43BCA" w:rsidRDefault="00EB5E4A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>Acute exposure may result in irritation of the upper respiratory tract, asthma, allergic reactions, and immunosuppression</w:t>
      </w:r>
      <w:r w:rsidR="00BE469A" w:rsidRPr="00E43BCA">
        <w:rPr>
          <w:rFonts w:ascii="Times New Roman" w:eastAsia="Times New Roman" w:hAnsi="Times New Roman"/>
          <w:bCs/>
          <w:sz w:val="20"/>
          <w:szCs w:val="20"/>
        </w:rPr>
        <w:t>.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 xml:space="preserve">  Long term inhalation of nickel compounds may cause cancer.</w:t>
      </w:r>
    </w:p>
    <w:p w14:paraId="4F5D9109" w14:textId="6C395B2A" w:rsidR="00A67B21" w:rsidRPr="00E43BCA" w:rsidRDefault="00EB5E4A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>Skin contact may result in irritation.  Repeated exposure may cause skin sensitization, allergic reactions, and dermatitis</w:t>
      </w:r>
      <w:r w:rsidR="00BE469A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391EC2C" w14:textId="2C146052" w:rsidR="00A67B21" w:rsidRPr="00E43BCA" w:rsidRDefault="00EB5E4A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>Direct contact may cause irritation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 xml:space="preserve">.  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>Chronic exposure may result in conjunctivitis.</w:t>
      </w:r>
    </w:p>
    <w:p w14:paraId="201E2F06" w14:textId="156B8D20" w:rsidR="00914EC9" w:rsidRPr="00E43BCA" w:rsidRDefault="00EB5E4A" w:rsidP="00A46F87">
      <w:pPr>
        <w:widowControl/>
        <w:spacing w:before="120" w:after="120" w:line="240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Ingestion: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43BCA" w:rsidRPr="00E43BCA">
        <w:rPr>
          <w:rFonts w:ascii="Times New Roman" w:eastAsia="Times New Roman" w:hAnsi="Times New Roman"/>
          <w:bCs/>
          <w:sz w:val="20"/>
          <w:szCs w:val="20"/>
        </w:rPr>
        <w:t>Ingestion may result in gastrointestinal irritation with nausea, vomiting and diarrhea, cough, difficulty breathing, headache and dizziness</w:t>
      </w:r>
      <w:r w:rsidR="00BE469A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0FEC741" w14:textId="77777777" w:rsidR="006D24D9" w:rsidRPr="00E43BCA" w:rsidRDefault="00EB5E4A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  <w:r w:rsidR="00193FA9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473C374F" w14:textId="44F02650" w:rsidR="000277FB" w:rsidRPr="00E43BCA" w:rsidRDefault="008E1A8B" w:rsidP="00A46F8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Acute Toxicity:</w:t>
      </w:r>
      <w:r w:rsidR="00942D37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12C83" w:rsidRPr="00E43BCA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AF1114" w:rsidRPr="00E43BCA">
        <w:rPr>
          <w:rFonts w:ascii="Times New Roman" w:eastAsia="Times New Roman" w:hAnsi="Times New Roman"/>
          <w:bCs/>
          <w:sz w:val="20"/>
          <w:szCs w:val="20"/>
        </w:rPr>
        <w:t>.</w:t>
      </w:r>
      <w:r w:rsidR="00A1068C" w:rsidRPr="00E43BCA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535512DD" w14:textId="1936751F" w:rsidR="00AF1114" w:rsidRPr="00E43BCA" w:rsidRDefault="00A1068C" w:rsidP="00A46F87">
      <w:pPr>
        <w:widowControl/>
        <w:spacing w:after="120" w:line="240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 w:rsidRPr="00E43BCA">
        <w:rPr>
          <w:rFonts w:ascii="Times New Roman" w:eastAsia="Times New Roman" w:hAnsi="Times New Roman"/>
          <w:sz w:val="20"/>
          <w:szCs w:val="20"/>
        </w:rPr>
        <w:t>Rat</w:t>
      </w:r>
      <w:r w:rsidR="000277FB" w:rsidRPr="00E43BCA">
        <w:rPr>
          <w:rFonts w:ascii="Times New Roman" w:eastAsia="Times New Roman" w:hAnsi="Times New Roman"/>
          <w:sz w:val="20"/>
          <w:szCs w:val="20"/>
        </w:rPr>
        <w:t xml:space="preserve">, </w:t>
      </w:r>
      <w:r w:rsidR="00D46DA4" w:rsidRPr="00E43BCA">
        <w:rPr>
          <w:rFonts w:ascii="Times New Roman" w:eastAsia="Times New Roman" w:hAnsi="Times New Roman"/>
          <w:sz w:val="20"/>
          <w:szCs w:val="20"/>
        </w:rPr>
        <w:t>Oral</w:t>
      </w:r>
      <w:r w:rsidRPr="00E43BCA">
        <w:rPr>
          <w:rFonts w:ascii="Times New Roman" w:eastAsia="Times New Roman" w:hAnsi="Times New Roman"/>
          <w:sz w:val="20"/>
          <w:szCs w:val="20"/>
        </w:rPr>
        <w:t xml:space="preserve"> LD50: </w:t>
      </w:r>
      <w:r w:rsidR="00D46DA4" w:rsidRPr="00E43BCA">
        <w:rPr>
          <w:rFonts w:ascii="Times New Roman" w:eastAsia="Times New Roman" w:hAnsi="Times New Roman"/>
          <w:sz w:val="20"/>
          <w:szCs w:val="20"/>
        </w:rPr>
        <w:t>&gt;</w:t>
      </w:r>
      <w:r w:rsidR="007F6046" w:rsidRPr="00E43BCA">
        <w:rPr>
          <w:rFonts w:ascii="Times New Roman" w:eastAsia="Times New Roman" w:hAnsi="Times New Roman"/>
          <w:sz w:val="20"/>
          <w:szCs w:val="20"/>
        </w:rPr>
        <w:t>5</w:t>
      </w:r>
      <w:r w:rsidR="00D46DA4" w:rsidRPr="00E43BCA">
        <w:rPr>
          <w:rFonts w:ascii="Times New Roman" w:eastAsia="Times New Roman" w:hAnsi="Times New Roman"/>
          <w:sz w:val="20"/>
          <w:szCs w:val="20"/>
        </w:rPr>
        <w:t>000 </w:t>
      </w:r>
      <w:r w:rsidRPr="00E43BCA">
        <w:rPr>
          <w:rFonts w:ascii="Times New Roman" w:eastAsia="Times New Roman" w:hAnsi="Times New Roman"/>
          <w:sz w:val="20"/>
          <w:szCs w:val="20"/>
        </w:rPr>
        <w:t>mg/kg</w:t>
      </w:r>
    </w:p>
    <w:p w14:paraId="5A931C7A" w14:textId="77777777" w:rsidR="00EE1F37" w:rsidRPr="00E43BCA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orrosion/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C27D84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8B855CD" w14:textId="020114A5" w:rsidR="00EE1F37" w:rsidRPr="00E43BCA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Serious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ye </w:t>
      </w:r>
      <w:r w:rsidR="00C91546" w:rsidRPr="00E43BCA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amage/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ye </w:t>
      </w:r>
      <w:r w:rsidR="00990EF8" w:rsidRPr="00E43BCA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C27D84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2C07F60" w14:textId="77777777" w:rsidR="00EE1F37" w:rsidRPr="004A3C98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DE360EA" w14:textId="1CC0BF5D" w:rsidR="00506060" w:rsidRPr="004A3C98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A3C98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5A73FE" w:rsidRPr="004A3C98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4A3C98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4A3C98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6C5A88" w:rsidRPr="004A3C98">
        <w:rPr>
          <w:rFonts w:ascii="Times New Roman" w:eastAsia="Times New Roman" w:hAnsi="Times New Roman"/>
          <w:bCs/>
          <w:sz w:val="20"/>
          <w:szCs w:val="20"/>
        </w:rPr>
        <w:t xml:space="preserve">  Category 1;</w:t>
      </w:r>
      <w:r w:rsidR="00005D5A" w:rsidRPr="004A3C9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E12C83" w:rsidRPr="004A3C98">
        <w:rPr>
          <w:rFonts w:ascii="Times New Roman" w:eastAsia="Times New Roman" w:hAnsi="Times New Roman"/>
          <w:bCs/>
          <w:sz w:val="20"/>
          <w:szCs w:val="20"/>
        </w:rPr>
        <w:t>Repeated or prolonged skin contact may cause sensitization dermatitis</w:t>
      </w:r>
      <w:r w:rsidR="00E620ED" w:rsidRPr="004A3C98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8F97F4B" w14:textId="77777777" w:rsidR="00A46F87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A3C98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4A3C98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4A3C9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A3C98" w:rsidRPr="004A3C98">
        <w:rPr>
          <w:rFonts w:ascii="Times New Roman" w:eastAsia="Times New Roman" w:hAnsi="Times New Roman"/>
          <w:bCs/>
          <w:sz w:val="20"/>
          <w:szCs w:val="20"/>
        </w:rPr>
        <w:t xml:space="preserve"> Not classified; no data available</w:t>
      </w:r>
      <w:r w:rsidR="00A92381" w:rsidRPr="004A3C98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BF46CD0" w14:textId="128843F2" w:rsidR="005A73FE" w:rsidRPr="00E43BCA" w:rsidRDefault="005A73FE" w:rsidP="00A46F8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A082C" w:rsidRPr="00E43BCA">
        <w:rPr>
          <w:rFonts w:ascii="Times New Roman" w:eastAsia="Times New Roman" w:hAnsi="Times New Roman"/>
          <w:bCs/>
          <w:sz w:val="20"/>
          <w:szCs w:val="20"/>
        </w:rPr>
        <w:t>Category 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1A</w:t>
      </w: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4578"/>
        <w:gridCol w:w="630"/>
        <w:gridCol w:w="540"/>
        <w:gridCol w:w="450"/>
        <w:gridCol w:w="540"/>
        <w:gridCol w:w="1890"/>
      </w:tblGrid>
      <w:tr w:rsidR="009E1B47" w:rsidRPr="00E43BCA" w14:paraId="29D280A4" w14:textId="77777777" w:rsidTr="00A50C79">
        <w:trPr>
          <w:trHeight w:val="60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F156B" w14:textId="77777777" w:rsidR="009E1B47" w:rsidRPr="00E43BCA" w:rsidRDefault="009E1B47" w:rsidP="00A46F87">
            <w:pPr>
              <w:widowControl/>
              <w:spacing w:after="0" w:line="240" w:lineRule="auto"/>
              <w:ind w:left="132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14:paraId="66E58A01" w14:textId="77777777" w:rsidR="009E1B47" w:rsidRPr="00E43BCA" w:rsidRDefault="00F0617E" w:rsidP="00A46F8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2"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C23EE" w14:textId="77777777" w:rsidR="009E1B47" w:rsidRPr="00E43BCA" w:rsidRDefault="009E1B47" w:rsidP="00A46F87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spacing w:val="2"/>
                <w:sz w:val="20"/>
                <w:szCs w:val="20"/>
              </w:rPr>
              <w:t>Yes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42B1397" w14:textId="77777777" w:rsidR="009E1B47" w:rsidRPr="00E43BCA" w:rsidRDefault="009E1B47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39B4F30" w14:textId="77777777" w:rsidR="009E1B47" w:rsidRPr="00E43BCA" w:rsidRDefault="009E1B47" w:rsidP="00A46F8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9BB48" w14:textId="77777777" w:rsidR="009E1B47" w:rsidRPr="00E43BCA" w:rsidRDefault="009E1B47" w:rsidP="00A46F87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43BCA">
              <w:rPr>
                <w:rFonts w:ascii="Times New Roman" w:eastAsia="Times New Roman" w:hAnsi="Times New Roman"/>
                <w:b/>
                <w:spacing w:val="2"/>
                <w:sz w:val="20"/>
                <w:szCs w:val="20"/>
              </w:rPr>
              <w:t>No</w:t>
            </w:r>
          </w:p>
        </w:tc>
      </w:tr>
    </w:tbl>
    <w:p w14:paraId="408DE2E0" w14:textId="62A5ED2A" w:rsidR="00C11BC3" w:rsidRPr="00E43BCA" w:rsidRDefault="00A46F87" w:rsidP="00A46F87">
      <w:pPr>
        <w:widowControl/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Nickel 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compounds</w:t>
      </w:r>
      <w:r w:rsidR="00971902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are listed by IARC as Group</w:t>
      </w:r>
      <w:r w:rsidR="00AB1E64" w:rsidRPr="00E43BCA">
        <w:rPr>
          <w:rFonts w:ascii="Times New Roman" w:eastAsia="Times New Roman" w:hAnsi="Times New Roman"/>
          <w:bCs/>
          <w:sz w:val="20"/>
          <w:szCs w:val="20"/>
        </w:rPr>
        <w:t> </w:t>
      </w:r>
      <w:r w:rsidR="007E7744" w:rsidRPr="00E43BCA">
        <w:rPr>
          <w:rFonts w:ascii="Times New Roman" w:eastAsia="Times New Roman" w:hAnsi="Times New Roman"/>
          <w:bCs/>
          <w:sz w:val="20"/>
          <w:szCs w:val="20"/>
        </w:rPr>
        <w:t>1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7E7744" w:rsidRPr="00E43BCA">
        <w:rPr>
          <w:rFonts w:ascii="Times New Roman" w:eastAsia="Times New Roman" w:hAnsi="Times New Roman"/>
          <w:bCs/>
          <w:i/>
          <w:sz w:val="20"/>
          <w:szCs w:val="20"/>
        </w:rPr>
        <w:t>carcinogenic to humans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); NTP </w:t>
      </w:r>
      <w:r w:rsidR="00610BC9" w:rsidRPr="00E43BCA">
        <w:rPr>
          <w:rFonts w:ascii="Times New Roman" w:eastAsia="Times New Roman" w:hAnsi="Times New Roman"/>
          <w:bCs/>
          <w:sz w:val="20"/>
          <w:szCs w:val="20"/>
        </w:rPr>
        <w:t>list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s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 xml:space="preserve">nickel compounds as </w:t>
      </w:r>
      <w:r w:rsidR="001E49C6" w:rsidRPr="00E43BCA">
        <w:rPr>
          <w:rFonts w:ascii="Times New Roman" w:eastAsia="Times New Roman" w:hAnsi="Times New Roman"/>
          <w:bCs/>
          <w:i/>
          <w:sz w:val="20"/>
          <w:szCs w:val="20"/>
        </w:rPr>
        <w:t>known to be human carcinogen</w:t>
      </w:r>
      <w:r w:rsidR="001E49C6" w:rsidRPr="00E43BCA">
        <w:rPr>
          <w:rFonts w:ascii="Times New Roman" w:eastAsia="Times New Roman" w:hAnsi="Times New Roman"/>
          <w:bCs/>
          <w:sz w:val="20"/>
          <w:szCs w:val="20"/>
        </w:rPr>
        <w:t>s based on studies I humans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 xml:space="preserve">. </w:t>
      </w:r>
      <w:r w:rsidR="00282E25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Nickel 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compounds are not listed by OSHA</w:t>
      </w:r>
      <w:r w:rsidR="00B959DD" w:rsidRPr="00E43BCA">
        <w:rPr>
          <w:rFonts w:ascii="Times New Roman" w:eastAsia="Times New Roman" w:hAnsi="Times New Roman"/>
          <w:bCs/>
          <w:sz w:val="20"/>
          <w:szCs w:val="20"/>
        </w:rPr>
        <w:t xml:space="preserve"> as a designated carcinogen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843B1AA" w14:textId="00D0EDC1" w:rsidR="00E43BCA" w:rsidRPr="00E43BCA" w:rsidRDefault="00E43BCA" w:rsidP="00E43BCA">
      <w:pPr>
        <w:widowControl/>
        <w:tabs>
          <w:tab w:val="left" w:pos="720"/>
        </w:tabs>
        <w:spacing w:before="120" w:after="0" w:line="240" w:lineRule="auto"/>
        <w:ind w:left="7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Mutagenic: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  Human: 50 </w:t>
      </w:r>
      <w:r w:rsidR="0015490E">
        <w:rPr>
          <w:rFonts w:ascii="Times New Roman" w:eastAsia="Times New Roman" w:hAnsi="Times New Roman"/>
          <w:bCs/>
          <w:sz w:val="20"/>
          <w:szCs w:val="20"/>
        </w:rPr>
        <w:t>µ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 xml:space="preserve">mol/L, 15 </w:t>
      </w:r>
      <w:r w:rsidR="0015490E">
        <w:rPr>
          <w:rFonts w:ascii="Times New Roman" w:eastAsia="Times New Roman" w:hAnsi="Times New Roman"/>
          <w:bCs/>
          <w:sz w:val="20"/>
          <w:szCs w:val="20"/>
        </w:rPr>
        <w:t>µ</w:t>
      </w:r>
      <w:r w:rsidRPr="00E43BCA">
        <w:rPr>
          <w:rFonts w:ascii="Times New Roman" w:eastAsia="Times New Roman" w:hAnsi="Times New Roman"/>
          <w:bCs/>
          <w:sz w:val="20"/>
          <w:szCs w:val="20"/>
        </w:rPr>
        <w:t>mol/L (2 h)</w:t>
      </w:r>
    </w:p>
    <w:p w14:paraId="63E1BAE2" w14:textId="77777777" w:rsidR="00E31571" w:rsidRPr="00E43BCA" w:rsidRDefault="00EE1F37" w:rsidP="00A46F8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E31571" w:rsidRPr="00E43BCA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A92381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44154F09" w14:textId="72A2E869" w:rsidR="00EE1F37" w:rsidRPr="00E43BCA" w:rsidRDefault="00EE1F37" w:rsidP="00A46F8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ingle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0085DC39" w14:textId="04CF649A" w:rsidR="00EE1F37" w:rsidRPr="00E43BCA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oxicity,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epeated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C84E3B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601BE" w:rsidRPr="00E43BCA">
        <w:rPr>
          <w:rFonts w:ascii="Times New Roman" w:eastAsia="Times New Roman" w:hAnsi="Times New Roman"/>
          <w:bCs/>
          <w:sz w:val="20"/>
          <w:szCs w:val="20"/>
        </w:rPr>
        <w:t>Category </w:t>
      </w:r>
      <w:r w:rsidR="006C5A88" w:rsidRPr="00E43BCA">
        <w:rPr>
          <w:rFonts w:ascii="Times New Roman" w:eastAsia="Times New Roman" w:hAnsi="Times New Roman"/>
          <w:bCs/>
          <w:sz w:val="20"/>
          <w:szCs w:val="20"/>
        </w:rPr>
        <w:t>1</w:t>
      </w:r>
      <w:r w:rsidR="00F0558E" w:rsidRPr="00E43BCA">
        <w:rPr>
          <w:rFonts w:ascii="Times New Roman" w:eastAsia="Times New Roman" w:hAnsi="Times New Roman"/>
          <w:bCs/>
          <w:sz w:val="20"/>
          <w:szCs w:val="20"/>
        </w:rPr>
        <w:t xml:space="preserve">; </w:t>
      </w:r>
      <w:r w:rsidR="00FA22D6" w:rsidRPr="00E43BCA">
        <w:rPr>
          <w:rFonts w:ascii="Times New Roman" w:eastAsia="Times New Roman" w:hAnsi="Times New Roman"/>
          <w:bCs/>
          <w:sz w:val="20"/>
          <w:szCs w:val="20"/>
        </w:rPr>
        <w:t>Repeated or prolonged inhalation may cause mucous membrane irritation.</w:t>
      </w:r>
    </w:p>
    <w:p w14:paraId="2A5E22EB" w14:textId="77777777" w:rsidR="00A03923" w:rsidRDefault="00EE1F37" w:rsidP="00A46F8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5A73FE" w:rsidRPr="00E43BCA">
        <w:rPr>
          <w:rFonts w:ascii="Times New Roman" w:eastAsia="Times New Roman" w:hAnsi="Times New Roman"/>
          <w:b/>
          <w:bCs/>
          <w:sz w:val="20"/>
          <w:szCs w:val="20"/>
        </w:rPr>
        <w:t>H</w:t>
      </w:r>
      <w:r w:rsidRPr="00E43BCA">
        <w:rPr>
          <w:rFonts w:ascii="Times New Roman" w:eastAsia="Times New Roman" w:hAnsi="Times New Roman"/>
          <w:b/>
          <w:bCs/>
          <w:sz w:val="20"/>
          <w:szCs w:val="20"/>
        </w:rPr>
        <w:t>azard</w:t>
      </w:r>
      <w:r w:rsidR="00405269" w:rsidRPr="00E43BC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E43BC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E43BCA">
        <w:t xml:space="preserve"> 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 xml:space="preserve">Not </w:t>
      </w:r>
      <w:r w:rsidR="007A082C" w:rsidRPr="00E43BCA">
        <w:rPr>
          <w:rFonts w:ascii="Times New Roman" w:eastAsia="Times New Roman" w:hAnsi="Times New Roman"/>
          <w:bCs/>
          <w:sz w:val="20"/>
          <w:szCs w:val="20"/>
        </w:rPr>
        <w:t>applicable</w:t>
      </w:r>
      <w:r w:rsidR="00005D5A" w:rsidRPr="00E43BCA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686D7C" w14:paraId="3A4B4AE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786E4B4A" w14:textId="77777777" w:rsidR="004521E9" w:rsidRPr="00686D7C" w:rsidRDefault="004521E9" w:rsidP="000613B3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12.</w:t>
            </w:r>
            <w:r w:rsidRPr="00686D7C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5849F08" w14:textId="5BAA8318" w:rsidR="00AF1114" w:rsidRPr="00610BC9" w:rsidRDefault="004521E9" w:rsidP="000613B3">
      <w:pPr>
        <w:keepNext/>
        <w:widowControl/>
        <w:spacing w:before="120"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610BC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610BC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y</w:t>
      </w:r>
      <w:r w:rsidRPr="00610BC9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610BC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610BC9">
        <w:rPr>
          <w:rFonts w:ascii="Times New Roman" w:eastAsia="Times New Roman" w:hAnsi="Times New Roman"/>
          <w:b/>
          <w:bCs/>
          <w:sz w:val="20"/>
          <w:szCs w:val="20"/>
        </w:rPr>
        <w:t>a:</w:t>
      </w:r>
    </w:p>
    <w:p w14:paraId="5B1B78CF" w14:textId="78F9F426" w:rsidR="00AF1114" w:rsidRPr="00610BC9" w:rsidRDefault="00DE4179" w:rsidP="000613B3">
      <w:pPr>
        <w:keepNext/>
        <w:widowControl/>
        <w:spacing w:before="120" w:after="0" w:line="240" w:lineRule="auto"/>
        <w:ind w:left="446" w:right="86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Fish:</w:t>
      </w:r>
      <w:r w:rsidR="007E7744">
        <w:rPr>
          <w:rFonts w:ascii="Times New Roman" w:eastAsia="Times New Roman" w:hAnsi="Times New Roman"/>
          <w:bCs/>
          <w:sz w:val="20"/>
          <w:szCs w:val="20"/>
        </w:rPr>
        <w:t xml:space="preserve">  Z</w:t>
      </w:r>
      <w:r w:rsidR="007E7744" w:rsidRPr="007E7744">
        <w:rPr>
          <w:rFonts w:ascii="Times New Roman" w:eastAsia="Times New Roman" w:hAnsi="Times New Roman"/>
          <w:bCs/>
          <w:sz w:val="20"/>
          <w:szCs w:val="20"/>
        </w:rPr>
        <w:t>ebrafish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7E7744" w:rsidRPr="007E7744">
        <w:rPr>
          <w:rFonts w:ascii="Times New Roman" w:hAnsi="Times New Roman"/>
          <w:i/>
          <w:sz w:val="20"/>
          <w:szCs w:val="20"/>
        </w:rPr>
        <w:t>Brachydanio rerio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 xml:space="preserve">) LC50: </w:t>
      </w:r>
      <w:r w:rsidR="007E7744">
        <w:rPr>
          <w:rFonts w:ascii="Times New Roman" w:eastAsia="Times New Roman" w:hAnsi="Times New Roman"/>
          <w:bCs/>
          <w:sz w:val="20"/>
          <w:szCs w:val="20"/>
        </w:rPr>
        <w:t>&gt;100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 mg/L (</w:t>
      </w:r>
      <w:r w:rsidR="007E7744">
        <w:rPr>
          <w:rFonts w:ascii="Times New Roman" w:eastAsia="Times New Roman" w:hAnsi="Times New Roman"/>
          <w:bCs/>
          <w:sz w:val="20"/>
          <w:szCs w:val="20"/>
        </w:rPr>
        <w:t>st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atic, 96 h</w:t>
      </w:r>
      <w:r w:rsidR="00AF1114" w:rsidRPr="00610BC9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340EA647" w14:textId="075F12D7" w:rsidR="008D74A1" w:rsidRPr="00610BC9" w:rsidRDefault="00DE4179" w:rsidP="000613B3">
      <w:pPr>
        <w:keepNext/>
        <w:widowControl/>
        <w:spacing w:after="0" w:line="240" w:lineRule="auto"/>
        <w:ind w:left="187" w:firstLine="274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Alage: </w:t>
      </w:r>
      <w:r w:rsidR="008D74A1" w:rsidRPr="00610BC9">
        <w:rPr>
          <w:rFonts w:ascii="Times New Roman" w:eastAsia="Times New Roman" w:hAnsi="Times New Roman"/>
          <w:bCs/>
          <w:i/>
          <w:sz w:val="20"/>
          <w:szCs w:val="20"/>
        </w:rPr>
        <w:t>Pseudokirchneriella subcapitata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 xml:space="preserve"> EC50: </w:t>
      </w:r>
      <w:r w:rsidR="007E7744">
        <w:rPr>
          <w:rFonts w:ascii="Times New Roman" w:eastAsia="Times New Roman" w:hAnsi="Times New Roman"/>
          <w:bCs/>
          <w:sz w:val="20"/>
          <w:szCs w:val="20"/>
        </w:rPr>
        <w:t>&gt;127.3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 xml:space="preserve"> mg/L</w:t>
      </w:r>
      <w:r w:rsidR="00605991" w:rsidRPr="00610BC9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>72</w:t>
      </w:r>
      <w:r w:rsidR="00605991" w:rsidRPr="00610BC9">
        <w:rPr>
          <w:rFonts w:ascii="Times New Roman" w:eastAsia="Times New Roman" w:hAnsi="Times New Roman"/>
          <w:bCs/>
          <w:sz w:val="20"/>
          <w:szCs w:val="20"/>
        </w:rPr>
        <w:t> </w:t>
      </w:r>
      <w:r w:rsidR="008D74A1" w:rsidRPr="00610BC9">
        <w:rPr>
          <w:rFonts w:ascii="Times New Roman" w:eastAsia="Times New Roman" w:hAnsi="Times New Roman"/>
          <w:bCs/>
          <w:sz w:val="20"/>
          <w:szCs w:val="20"/>
        </w:rPr>
        <w:t>h</w:t>
      </w:r>
      <w:r w:rsidR="00605991" w:rsidRPr="00610BC9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47F692E9" w14:textId="60C3B1B3" w:rsidR="00AF1114" w:rsidRPr="00610BC9" w:rsidRDefault="00DE4179" w:rsidP="000613B3">
      <w:pPr>
        <w:keepNext/>
        <w:widowControl/>
        <w:spacing w:after="120" w:line="240" w:lineRule="auto"/>
        <w:ind w:left="187" w:firstLine="274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Invertebrate: 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Water flea (</w:t>
      </w:r>
      <w:r w:rsidR="000B265A" w:rsidRPr="00610BC9">
        <w:rPr>
          <w:rFonts w:ascii="Times New Roman" w:eastAsia="Times New Roman" w:hAnsi="Times New Roman"/>
          <w:bCs/>
          <w:i/>
          <w:sz w:val="20"/>
          <w:szCs w:val="20"/>
        </w:rPr>
        <w:t>Daphnia magna</w:t>
      </w:r>
      <w:r w:rsidR="00547A14" w:rsidRPr="00610BC9">
        <w:rPr>
          <w:rFonts w:ascii="Times New Roman" w:eastAsia="Times New Roman" w:hAnsi="Times New Roman"/>
          <w:bCs/>
          <w:sz w:val="20"/>
          <w:szCs w:val="20"/>
        </w:rPr>
        <w:t>) E</w:t>
      </w:r>
      <w:r w:rsidR="00DD330B" w:rsidRPr="00610BC9">
        <w:rPr>
          <w:rFonts w:ascii="Times New Roman" w:eastAsia="Times New Roman" w:hAnsi="Times New Roman"/>
          <w:bCs/>
          <w:sz w:val="20"/>
          <w:szCs w:val="20"/>
        </w:rPr>
        <w:t>C50</w:t>
      </w:r>
      <w:r w:rsidR="000B265A" w:rsidRPr="00610BC9">
        <w:rPr>
          <w:rFonts w:ascii="Times New Roman" w:eastAsia="Times New Roman" w:hAnsi="Times New Roman"/>
          <w:bCs/>
          <w:sz w:val="20"/>
          <w:szCs w:val="20"/>
        </w:rPr>
        <w:t xml:space="preserve">: </w:t>
      </w:r>
      <w:r w:rsidR="00547A14" w:rsidRPr="00610BC9">
        <w:rPr>
          <w:rFonts w:ascii="Times New Roman" w:eastAsia="Times New Roman" w:hAnsi="Times New Roman"/>
          <w:bCs/>
          <w:sz w:val="20"/>
          <w:szCs w:val="20"/>
        </w:rPr>
        <w:t>&gt;100 </w:t>
      </w:r>
      <w:r w:rsidR="000B265A" w:rsidRPr="00610BC9">
        <w:rPr>
          <w:rFonts w:ascii="Times New Roman" w:eastAsia="Times New Roman" w:hAnsi="Times New Roman"/>
          <w:bCs/>
          <w:sz w:val="20"/>
          <w:szCs w:val="20"/>
        </w:rPr>
        <w:t>mg/L (</w:t>
      </w:r>
      <w:r w:rsidR="00547A14" w:rsidRPr="00610BC9">
        <w:rPr>
          <w:rFonts w:ascii="Times New Roman" w:eastAsia="Times New Roman" w:hAnsi="Times New Roman"/>
          <w:bCs/>
          <w:sz w:val="20"/>
          <w:szCs w:val="20"/>
        </w:rPr>
        <w:t>48</w:t>
      </w:r>
      <w:r w:rsidR="000B265A" w:rsidRPr="00610BC9">
        <w:rPr>
          <w:rFonts w:ascii="Times New Roman" w:eastAsia="Times New Roman" w:hAnsi="Times New Roman"/>
          <w:bCs/>
          <w:sz w:val="20"/>
          <w:szCs w:val="20"/>
        </w:rPr>
        <w:t> h</w:t>
      </w:r>
      <w:r w:rsidR="00AF1114" w:rsidRPr="00610BC9">
        <w:rPr>
          <w:rFonts w:ascii="Times New Roman" w:eastAsia="Times New Roman" w:hAnsi="Times New Roman"/>
          <w:bCs/>
          <w:sz w:val="20"/>
          <w:szCs w:val="20"/>
        </w:rPr>
        <w:t>)</w:t>
      </w:r>
    </w:p>
    <w:p w14:paraId="596EDC32" w14:textId="77777777" w:rsidR="004521E9" w:rsidRPr="00610BC9" w:rsidRDefault="004521E9" w:rsidP="00A46F87">
      <w:pPr>
        <w:widowControl/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0D02450E" w14:textId="77777777" w:rsidR="004521E9" w:rsidRPr="00610BC9" w:rsidRDefault="004521E9" w:rsidP="00A46F87">
      <w:pPr>
        <w:widowControl/>
        <w:spacing w:before="120" w:after="0" w:line="240" w:lineRule="auto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 Potential:</w:t>
      </w:r>
      <w:r w:rsidR="00D3347C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A911CD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2B1FEA3A" w14:textId="77777777" w:rsidR="004521E9" w:rsidRPr="00610BC9" w:rsidRDefault="004521E9" w:rsidP="00A46F87">
      <w:pPr>
        <w:widowControl/>
        <w:spacing w:before="120"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02697922" w14:textId="77777777" w:rsidR="004521E9" w:rsidRPr="00610BC9" w:rsidRDefault="004521E9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610BC9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610BC9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10BC9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AD65B2" w14:paraId="1DF601AF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2358BA76" w14:textId="77777777" w:rsidR="004521E9" w:rsidRPr="00AD65B2" w:rsidRDefault="004521E9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610BC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 w:rsidRPr="00610BC9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610BC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610BC9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 w:rsidRPr="00610BC9"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610BC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610BC9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 w:rsidRPr="00610BC9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610BC9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610BC9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01AB65A1" w14:textId="74C26E07" w:rsidR="00D536DB" w:rsidRPr="00AD65B2" w:rsidRDefault="004521E9" w:rsidP="00A46F8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W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AD65B2"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Di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l:</w:t>
      </w:r>
      <w:r w:rsidRPr="00AD65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Cs/>
          <w:spacing w:val="13"/>
          <w:sz w:val="20"/>
          <w:szCs w:val="20"/>
        </w:rPr>
        <w:t xml:space="preserve"> </w:t>
      </w:r>
      <w:r w:rsidR="009568A3" w:rsidRPr="00AD65B2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AD65B2" w14:paraId="20E881D9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276676CE" w14:textId="77777777" w:rsidR="004521E9" w:rsidRPr="00AD65B2" w:rsidRDefault="004521E9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 w:rsidRPr="00AD65B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2CA377A" w14:textId="77777777" w:rsidR="00A13A72" w:rsidRPr="00AD65B2" w:rsidRDefault="004521E9" w:rsidP="00A46F87">
      <w:pPr>
        <w:widowControl/>
        <w:spacing w:before="120" w:after="120" w:line="240" w:lineRule="auto"/>
        <w:rPr>
          <w:rFonts w:ascii="Times New Roman" w:eastAsia="Times New Roman" w:hAnsi="Times New Roman"/>
          <w:bCs/>
          <w:sz w:val="20"/>
          <w:szCs w:val="20"/>
        </w:rPr>
      </w:pP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U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S.</w:t>
      </w:r>
      <w:r w:rsidRPr="00AD65B2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Pr="00AD65B2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nd</w:t>
      </w:r>
      <w:r w:rsidRPr="00AD65B2"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AD65B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Pr="00AD65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AD65B2">
        <w:rPr>
          <w:rFonts w:ascii="Times New Roman" w:eastAsia="Times New Roman" w:hAnsi="Times New Roman"/>
          <w:bCs/>
          <w:spacing w:val="10"/>
          <w:sz w:val="20"/>
          <w:szCs w:val="20"/>
        </w:rPr>
        <w:t xml:space="preserve"> </w:t>
      </w:r>
      <w:r w:rsidR="00005D5A" w:rsidRPr="00AD65B2">
        <w:rPr>
          <w:rFonts w:ascii="Times New Roman" w:eastAsia="Times New Roman" w:hAnsi="Times New Roman"/>
          <w:bCs/>
          <w:spacing w:val="10"/>
          <w:sz w:val="20"/>
          <w:szCs w:val="20"/>
        </w:rPr>
        <w:t>Not regulated by DOT or IATA</w:t>
      </w:r>
      <w:r w:rsidR="00015F8E" w:rsidRPr="00AD65B2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AD65B2" w14:paraId="2698390C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72BF0E65" w14:textId="77777777" w:rsidR="003D5857" w:rsidRPr="00AD65B2" w:rsidRDefault="003D5857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 w:rsidRPr="00AD65B2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AD65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AD65B2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D65B2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AD65B2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8D13AAE" w14:textId="77777777" w:rsidR="00D536DB" w:rsidRPr="00AD65B2" w:rsidRDefault="00D536DB" w:rsidP="00A46F87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AD65B2">
        <w:rPr>
          <w:rFonts w:ascii="Times New Roman" w:eastAsia="Times New Roman" w:hAnsi="Times New Roman"/>
          <w:b/>
          <w:bCs/>
          <w:sz w:val="20"/>
          <w:szCs w:val="20"/>
        </w:rPr>
        <w:t>U.S. Regulations:</w:t>
      </w:r>
    </w:p>
    <w:p w14:paraId="792CE398" w14:textId="367D332C" w:rsidR="00360DFB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after="0" w:line="240" w:lineRule="auto"/>
        <w:ind w:left="720" w:hanging="450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AD65B2">
        <w:rPr>
          <w:rFonts w:ascii="Times New Roman" w:eastAsia="Times New Roman" w:hAnsi="Times New Roman"/>
          <w:sz w:val="20"/>
          <w:szCs w:val="20"/>
        </w:rPr>
        <w:t>CERCLA Sections 102a/103 (40 CFR 302.4):</w:t>
      </w:r>
      <w:r w:rsidR="00A154F3" w:rsidRPr="00AD65B2">
        <w:rPr>
          <w:rFonts w:ascii="Times New Roman" w:eastAsia="Times New Roman" w:hAnsi="Times New Roman"/>
          <w:sz w:val="20"/>
          <w:szCs w:val="20"/>
        </w:rPr>
        <w:tab/>
      </w:r>
      <w:r w:rsidR="007E7744" w:rsidRPr="007E7744">
        <w:rPr>
          <w:rFonts w:ascii="Times New Roman" w:eastAsia="Times New Roman" w:hAnsi="Times New Roman"/>
          <w:sz w:val="20"/>
          <w:szCs w:val="20"/>
        </w:rPr>
        <w:t>Not regulated.</w:t>
      </w:r>
    </w:p>
    <w:p w14:paraId="4A242A31" w14:textId="2371E9F8" w:rsidR="00005D5A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before="120"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 302 (40 CFR 355.30):</w:t>
      </w:r>
      <w:r w:rsidR="00A154F3" w:rsidRPr="00282E25">
        <w:rPr>
          <w:rFonts w:ascii="Times New Roman" w:eastAsia="Times New Roman" w:hAnsi="Times New Roman"/>
          <w:sz w:val="20"/>
          <w:szCs w:val="20"/>
        </w:rPr>
        <w:tab/>
      </w:r>
      <w:r w:rsidR="00005D5A" w:rsidRPr="00282E25">
        <w:rPr>
          <w:rFonts w:ascii="Times New Roman" w:eastAsia="Times New Roman" w:hAnsi="Times New Roman"/>
          <w:bCs/>
          <w:sz w:val="20"/>
          <w:szCs w:val="20"/>
        </w:rPr>
        <w:t>Not regulated</w:t>
      </w:r>
      <w:r w:rsidR="00B720DF" w:rsidRPr="00282E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87369E6" w14:textId="1583442D" w:rsidR="00005D5A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before="120"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 304 (40 CFR 355.40):</w:t>
      </w:r>
      <w:r w:rsidR="00A154F3" w:rsidRPr="00282E25">
        <w:rPr>
          <w:rFonts w:ascii="Times New Roman" w:eastAsia="Times New Roman" w:hAnsi="Times New Roman"/>
          <w:sz w:val="20"/>
          <w:szCs w:val="20"/>
        </w:rPr>
        <w:tab/>
      </w:r>
      <w:r w:rsidR="00005D5A" w:rsidRPr="00282E25">
        <w:rPr>
          <w:rFonts w:ascii="Times New Roman" w:eastAsia="Times New Roman" w:hAnsi="Times New Roman"/>
          <w:bCs/>
          <w:sz w:val="20"/>
          <w:szCs w:val="20"/>
        </w:rPr>
        <w:t>Not regulated</w:t>
      </w:r>
      <w:r w:rsidR="00B720DF" w:rsidRPr="00282E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8752F1D" w14:textId="67081FDB" w:rsidR="00A154F3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 313 (40 CFR 372.65):</w:t>
      </w:r>
      <w:r w:rsidR="00A154F3" w:rsidRPr="00282E25">
        <w:rPr>
          <w:rFonts w:ascii="Times New Roman" w:eastAsia="Times New Roman" w:hAnsi="Times New Roman"/>
          <w:sz w:val="20"/>
          <w:szCs w:val="20"/>
        </w:rPr>
        <w:tab/>
      </w:r>
      <w:r w:rsidR="007E7744" w:rsidRPr="007E7744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22EF559F" w14:textId="4F0C0FD8" w:rsidR="00005D5A" w:rsidRPr="00282E25" w:rsidRDefault="00D536DB" w:rsidP="00A46F87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after="120" w:line="240" w:lineRule="auto"/>
        <w:ind w:left="270" w:hanging="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="00005D5A" w:rsidRPr="00282E25">
        <w:rPr>
          <w:rFonts w:ascii="Times New Roman" w:eastAsia="Times New Roman" w:hAnsi="Times New Roman"/>
          <w:bCs/>
          <w:sz w:val="20"/>
          <w:szCs w:val="20"/>
        </w:rPr>
        <w:t>Not regulated.</w:t>
      </w:r>
    </w:p>
    <w:p w14:paraId="52B479FF" w14:textId="77777777" w:rsidR="00D536DB" w:rsidRPr="00282E25" w:rsidRDefault="00D536DB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70B8FF2E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ACUTE HEALTH: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0B73AF" w:rsidRPr="00282E25">
        <w:rPr>
          <w:rFonts w:ascii="Times New Roman" w:eastAsia="Times New Roman" w:hAnsi="Times New Roman"/>
          <w:sz w:val="20"/>
          <w:szCs w:val="20"/>
        </w:rPr>
        <w:t>Yes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042275DC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CHRONIC HEALTH: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0B73AF" w:rsidRPr="00282E25">
        <w:rPr>
          <w:rFonts w:ascii="Times New Roman" w:eastAsia="Times New Roman" w:hAnsi="Times New Roman"/>
          <w:sz w:val="20"/>
          <w:szCs w:val="20"/>
        </w:rPr>
        <w:t>Yes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39102CFF" w14:textId="6FB43A96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FIRE: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282E25" w:rsidRPr="00282E25">
        <w:rPr>
          <w:rFonts w:ascii="Times New Roman" w:eastAsia="Times New Roman" w:hAnsi="Times New Roman"/>
          <w:sz w:val="20"/>
          <w:szCs w:val="20"/>
        </w:rPr>
        <w:t>No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3C9B15B1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REACTIVE:</w:t>
      </w:r>
      <w:r w:rsidRPr="00282E25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249C0616" w14:textId="77777777" w:rsidR="00D536DB" w:rsidRPr="00282E25" w:rsidRDefault="00D536DB" w:rsidP="00A46F8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>PRESSURE:</w:t>
      </w:r>
      <w:r w:rsidRPr="00282E25">
        <w:rPr>
          <w:rFonts w:ascii="Times New Roman" w:eastAsia="Times New Roman" w:hAnsi="Times New Roman"/>
          <w:sz w:val="20"/>
          <w:szCs w:val="20"/>
        </w:rPr>
        <w:tab/>
      </w:r>
      <w:r w:rsidR="00BB14A2" w:rsidRPr="00282E25">
        <w:rPr>
          <w:rFonts w:ascii="Times New Roman" w:eastAsia="Times New Roman" w:hAnsi="Times New Roman"/>
          <w:sz w:val="20"/>
          <w:szCs w:val="20"/>
        </w:rPr>
        <w:t>No</w:t>
      </w:r>
      <w:r w:rsidRPr="00282E25">
        <w:rPr>
          <w:rFonts w:ascii="Times New Roman" w:eastAsia="Times New Roman" w:hAnsi="Times New Roman"/>
          <w:sz w:val="20"/>
          <w:szCs w:val="20"/>
        </w:rPr>
        <w:t>.</w:t>
      </w:r>
    </w:p>
    <w:p w14:paraId="10A24B38" w14:textId="77777777" w:rsidR="00D536DB" w:rsidRPr="00282E25" w:rsidRDefault="00D536DB" w:rsidP="00A46F87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82E25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622BAB" w:rsidRPr="00282E25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41E3F72" w14:textId="166E8368" w:rsidR="00D536DB" w:rsidRPr="00282E25" w:rsidRDefault="00D536DB" w:rsidP="00A46F87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0B73AF" w:rsidRPr="00282E25">
        <w:rPr>
          <w:rFonts w:ascii="Times New Roman" w:eastAsia="Times New Roman" w:hAnsi="Times New Roman"/>
          <w:sz w:val="20"/>
          <w:szCs w:val="20"/>
        </w:rPr>
        <w:t>WARNING!  This product contains chemical</w:t>
      </w:r>
      <w:r w:rsidR="00171DB2" w:rsidRPr="00282E25">
        <w:rPr>
          <w:rFonts w:ascii="Times New Roman" w:eastAsia="Times New Roman" w:hAnsi="Times New Roman"/>
          <w:sz w:val="20"/>
          <w:szCs w:val="20"/>
        </w:rPr>
        <w:t>s</w:t>
      </w:r>
      <w:r w:rsidR="000B73AF" w:rsidRPr="00282E25">
        <w:rPr>
          <w:rFonts w:ascii="Times New Roman" w:eastAsia="Times New Roman" w:hAnsi="Times New Roman"/>
          <w:sz w:val="20"/>
          <w:szCs w:val="20"/>
        </w:rPr>
        <w:t xml:space="preserve"> (</w:t>
      </w:r>
      <w:r w:rsidR="00A46F87">
        <w:rPr>
          <w:rFonts w:ascii="Times New Roman" w:eastAsia="Times New Roman" w:hAnsi="Times New Roman"/>
          <w:sz w:val="20"/>
          <w:szCs w:val="20"/>
        </w:rPr>
        <w:t>nickel oxide</w:t>
      </w:r>
      <w:r w:rsidR="000B73AF" w:rsidRPr="00282E25">
        <w:rPr>
          <w:rFonts w:ascii="Times New Roman" w:eastAsia="Times New Roman" w:hAnsi="Times New Roman"/>
          <w:sz w:val="20"/>
          <w:szCs w:val="20"/>
        </w:rPr>
        <w:t>) known to the state of California to cause cancer.</w:t>
      </w:r>
    </w:p>
    <w:p w14:paraId="6774B328" w14:textId="7830E935" w:rsidR="004521E9" w:rsidRPr="00282E25" w:rsidRDefault="008E1B26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82E2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82E25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82E25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82E2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46F87">
        <w:rPr>
          <w:rFonts w:ascii="Times New Roman" w:eastAsia="Times New Roman" w:hAnsi="Times New Roman"/>
          <w:bCs/>
          <w:sz w:val="20"/>
          <w:szCs w:val="20"/>
        </w:rPr>
        <w:t>Nickel oxide</w:t>
      </w:r>
      <w:r w:rsidR="005905F5" w:rsidRPr="00282E2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370878" w:rsidRPr="00282E25">
        <w:rPr>
          <w:rFonts w:ascii="Times New Roman" w:eastAsia="Times New Roman" w:hAnsi="Times New Roman"/>
          <w:bCs/>
          <w:sz w:val="20"/>
          <w:szCs w:val="20"/>
        </w:rPr>
        <w:t xml:space="preserve">is </w:t>
      </w:r>
      <w:r w:rsidR="00B720DF" w:rsidRPr="00282E25">
        <w:rPr>
          <w:rFonts w:ascii="Times New Roman" w:eastAsia="Times New Roman" w:hAnsi="Times New Roman"/>
          <w:bCs/>
          <w:sz w:val="20"/>
          <w:szCs w:val="20"/>
        </w:rPr>
        <w:t>l</w:t>
      </w:r>
      <w:r w:rsidR="00686D7C" w:rsidRPr="00282E25">
        <w:rPr>
          <w:rFonts w:ascii="Times New Roman" w:eastAsia="Times New Roman" w:hAnsi="Times New Roman"/>
          <w:bCs/>
          <w:sz w:val="20"/>
          <w:szCs w:val="20"/>
        </w:rPr>
        <w:t>isted</w:t>
      </w:r>
      <w:r w:rsidR="00714D24" w:rsidRPr="00282E2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309EEF6" w14:textId="77777777" w:rsidR="003D5857" w:rsidRPr="00282E25" w:rsidRDefault="003D5857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82E2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82E2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82E2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82E2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82E2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B14A2" w:rsidRPr="00282E25">
        <w:rPr>
          <w:rFonts w:ascii="Times New Roman" w:eastAsia="Times New Roman" w:hAnsi="Times New Roman"/>
          <w:bCs/>
          <w:sz w:val="20"/>
          <w:szCs w:val="20"/>
        </w:rPr>
        <w:t>Not</w:t>
      </w:r>
      <w:r w:rsidR="00130CC0" w:rsidRPr="00282E25">
        <w:rPr>
          <w:rFonts w:ascii="Times New Roman" w:eastAsia="Times New Roman" w:hAnsi="Times New Roman"/>
          <w:bCs/>
          <w:sz w:val="20"/>
          <w:szCs w:val="20"/>
        </w:rPr>
        <w:t xml:space="preserve"> listed.</w:t>
      </w:r>
    </w:p>
    <w:p w14:paraId="1E951ABA" w14:textId="57A10A61" w:rsidR="000613B3" w:rsidRDefault="003D5857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82E25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82E25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82E25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622BAB" w:rsidRPr="00282E2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3157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520D37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82E25">
        <w:rPr>
          <w:rFonts w:ascii="Times New Roman" w:eastAsia="Times New Roman" w:hAnsi="Times New Roman"/>
          <w:sz w:val="20"/>
          <w:szCs w:val="20"/>
        </w:rPr>
        <w:t>H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82E25">
        <w:rPr>
          <w:rFonts w:ascii="Times New Roman" w:eastAsia="Times New Roman" w:hAnsi="Times New Roman"/>
          <w:sz w:val="20"/>
          <w:szCs w:val="20"/>
        </w:rPr>
        <w:t>S</w:t>
      </w:r>
      <w:r w:rsidRPr="00282E25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82E25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82E25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82E25">
        <w:rPr>
          <w:rFonts w:ascii="Times New Roman" w:eastAsia="Times New Roman" w:hAnsi="Times New Roman"/>
          <w:sz w:val="20"/>
          <w:szCs w:val="20"/>
        </w:rPr>
        <w:t>ati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82E25">
        <w:rPr>
          <w:rFonts w:ascii="Times New Roman" w:eastAsia="Times New Roman" w:hAnsi="Times New Roman"/>
          <w:sz w:val="20"/>
          <w:szCs w:val="20"/>
        </w:rPr>
        <w:t>:</w:t>
      </w:r>
      <w:r w:rsidRPr="00282E25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z w:val="20"/>
          <w:szCs w:val="20"/>
        </w:rPr>
        <w:t>N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sz w:val="20"/>
          <w:szCs w:val="20"/>
        </w:rPr>
        <w:t>t</w:t>
      </w:r>
      <w:r w:rsidRPr="00282E25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82E25">
        <w:rPr>
          <w:rFonts w:ascii="Times New Roman" w:eastAsia="Times New Roman" w:hAnsi="Times New Roman"/>
          <w:sz w:val="20"/>
          <w:szCs w:val="20"/>
        </w:rPr>
        <w:t>i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82E25">
        <w:rPr>
          <w:rFonts w:ascii="Times New Roman" w:eastAsia="Times New Roman" w:hAnsi="Times New Roman"/>
          <w:sz w:val="20"/>
          <w:szCs w:val="20"/>
        </w:rPr>
        <w:t>ed</w:t>
      </w:r>
      <w:r w:rsidRPr="00282E25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82E25">
        <w:rPr>
          <w:rFonts w:ascii="Times New Roman" w:eastAsia="Times New Roman" w:hAnsi="Times New Roman"/>
          <w:sz w:val="20"/>
          <w:szCs w:val="20"/>
        </w:rPr>
        <w:t>r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z w:val="20"/>
          <w:szCs w:val="20"/>
        </w:rPr>
        <w:t>t</w:t>
      </w:r>
      <w:r w:rsidRPr="00282E25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82E25">
        <w:rPr>
          <w:rFonts w:ascii="Times New Roman" w:eastAsia="Times New Roman" w:hAnsi="Times New Roman"/>
          <w:sz w:val="20"/>
          <w:szCs w:val="20"/>
        </w:rPr>
        <w:t>is</w:t>
      </w:r>
      <w:r w:rsidRPr="00282E25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82E25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82E25">
        <w:rPr>
          <w:rFonts w:ascii="Times New Roman" w:eastAsia="Times New Roman" w:hAnsi="Times New Roman"/>
          <w:sz w:val="20"/>
          <w:szCs w:val="20"/>
        </w:rPr>
        <w:t>ate</w:t>
      </w:r>
      <w:r w:rsidRPr="00282E25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82E25">
        <w:rPr>
          <w:rFonts w:ascii="Times New Roman" w:eastAsia="Times New Roman" w:hAnsi="Times New Roman"/>
          <w:sz w:val="20"/>
          <w:szCs w:val="20"/>
        </w:rPr>
        <w:t>ial.</w:t>
      </w:r>
    </w:p>
    <w:p w14:paraId="58182080" w14:textId="77777777" w:rsidR="000613B3" w:rsidRDefault="000613B3">
      <w:pPr>
        <w:widowControl/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686D7C" w14:paraId="7DC4594D" w14:textId="77777777" w:rsidTr="000613B3">
        <w:trPr>
          <w:trHeight w:hRule="exact" w:val="360"/>
        </w:trPr>
        <w:tc>
          <w:tcPr>
            <w:tcW w:w="9360" w:type="dxa"/>
            <w:vAlign w:val="center"/>
          </w:tcPr>
          <w:p w14:paraId="592F11A2" w14:textId="77777777" w:rsidR="0067534E" w:rsidRPr="00686D7C" w:rsidRDefault="0067534E" w:rsidP="00A46F8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lastRenderedPageBreak/>
              <w:t>16.</w:t>
            </w:r>
            <w:r w:rsidRPr="00686D7C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686D7C"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686D7C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686D7C"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686D7C"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686D7C"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70A2DCED" w14:textId="1E2936FB" w:rsidR="00622AE4" w:rsidRPr="00902DFF" w:rsidRDefault="00622AE4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902DFF">
        <w:rPr>
          <w:rFonts w:ascii="Times New Roman" w:eastAsia="Times New Roman" w:hAnsi="Times New Roman"/>
          <w:b/>
          <w:bCs/>
          <w:sz w:val="20"/>
          <w:szCs w:val="20"/>
        </w:rPr>
        <w:t>Issue Date:</w:t>
      </w:r>
      <w:r w:rsidRPr="00902DF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B720DF" w:rsidRPr="00902DF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E587A">
        <w:rPr>
          <w:rFonts w:ascii="Times New Roman" w:eastAsia="Times New Roman" w:hAnsi="Times New Roman"/>
          <w:bCs/>
          <w:sz w:val="20"/>
          <w:szCs w:val="20"/>
        </w:rPr>
        <w:t>2</w:t>
      </w:r>
      <w:r w:rsidR="001A1C8F">
        <w:rPr>
          <w:rFonts w:ascii="Times New Roman" w:eastAsia="Times New Roman" w:hAnsi="Times New Roman"/>
          <w:bCs/>
          <w:sz w:val="20"/>
          <w:szCs w:val="20"/>
        </w:rPr>
        <w:t>7</w:t>
      </w:r>
      <w:r w:rsidR="00170D0D">
        <w:rPr>
          <w:rFonts w:ascii="Times New Roman" w:eastAsia="Times New Roman" w:hAnsi="Times New Roman"/>
          <w:bCs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z w:val="20"/>
          <w:szCs w:val="20"/>
        </w:rPr>
        <w:t>May</w:t>
      </w:r>
      <w:r w:rsidR="00B86D70" w:rsidRPr="00902DFF">
        <w:rPr>
          <w:rFonts w:ascii="Times New Roman" w:eastAsia="Times New Roman" w:hAnsi="Times New Roman"/>
          <w:bCs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z w:val="20"/>
          <w:szCs w:val="20"/>
        </w:rPr>
        <w:t>2015</w:t>
      </w:r>
    </w:p>
    <w:p w14:paraId="330256FA" w14:textId="555A7FBB" w:rsidR="00A61AAA" w:rsidRPr="00B90E44" w:rsidRDefault="00622AE4" w:rsidP="00A46F87">
      <w:pPr>
        <w:widowControl/>
        <w:tabs>
          <w:tab w:val="left" w:pos="1080"/>
        </w:tabs>
        <w:spacing w:before="120" w:after="12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902DFF"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537670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5925EB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ChemAdvisor, Inc., SDS </w:t>
      </w:r>
      <w:r w:rsidR="00A46F87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 xml:space="preserve">Nickel </w:t>
      </w:r>
      <w:r w:rsidR="00333C6E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O</w:t>
      </w:r>
      <w:r w:rsidR="00A46F87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xide</w:t>
      </w:r>
      <w:r w:rsidR="005925EB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</w:t>
      </w:r>
      <w:r w:rsidR="00A46F8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2</w:t>
      </w:r>
      <w:r w:rsidR="00BF77DE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0</w:t>
      </w:r>
      <w:r w:rsidR="00A23D84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March</w:t>
      </w:r>
      <w:r w:rsidR="009B6814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 </w:t>
      </w:r>
      <w:r w:rsidR="00A46F8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2015</w:t>
      </w:r>
      <w:r w:rsidR="005925EB"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.</w:t>
      </w:r>
    </w:p>
    <w:p w14:paraId="7BCF776E" w14:textId="4EB2DBF4" w:rsidR="00590E21" w:rsidRDefault="00A154F3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CDC; NIOSH; </w:t>
      </w:r>
      <w:r w:rsidR="000717E7" w:rsidRPr="000717E7">
        <w:rPr>
          <w:rFonts w:ascii="Times New Roman" w:eastAsia="Times New Roman" w:hAnsi="Times New Roman"/>
          <w:bCs/>
          <w:i/>
          <w:iCs/>
          <w:spacing w:val="1"/>
          <w:position w:val="-1"/>
          <w:sz w:val="20"/>
          <w:szCs w:val="20"/>
        </w:rPr>
        <w:t>NIOSH Pocket Guide to Chemical Hazards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; Department of Health and Human Services (DHHS), Centers for Disease Control and Prevention (CDC), National Institute for Safety and Health; </w:t>
      </w:r>
      <w:r w:rsidR="000717E7" w:rsidRPr="000717E7">
        <w:rPr>
          <w:rFonts w:ascii="Times New Roman" w:eastAsia="Times New Roman" w:hAnsi="Times New Roman"/>
          <w:bCs/>
          <w:i/>
          <w:iCs/>
          <w:spacing w:val="1"/>
          <w:position w:val="-1"/>
          <w:sz w:val="20"/>
          <w:szCs w:val="20"/>
        </w:rPr>
        <w:t>Particulates not otherwise regulated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</w:t>
      </w:r>
      <w:r w:rsid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0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4 April 2011; available at http://www.cdc.gov/niosh/</w:t>
      </w:r>
      <w:r w:rsid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npg/npgd0480.html (accessed May</w:t>
      </w:r>
      <w:r w:rsidR="000717E7" w:rsidRP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 201</w:t>
      </w:r>
      <w:r w:rsidR="000717E7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5</w:t>
      </w:r>
      <w:r w:rsidRPr="00B90E44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>).</w:t>
      </w:r>
    </w:p>
    <w:p w14:paraId="1D190A92" w14:textId="64B743A0" w:rsidR="003D04C9" w:rsidRPr="00B90E44" w:rsidRDefault="003D04C9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</w:p>
    <w:p w14:paraId="32AF19D5" w14:textId="79C5FA68" w:rsidR="00370878" w:rsidRPr="003D04C9" w:rsidRDefault="003D04C9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NTP Report on Carcinogens, </w:t>
      </w:r>
      <w:r w:rsidRPr="003D04C9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Nickel Compounds and Metallic Nickel</w:t>
      </w: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Thirteenth Edition (2014); available at </w:t>
      </w:r>
      <w:hyperlink r:id="rId13" w:history="1">
        <w:r w:rsidRPr="003D04C9">
          <w:rPr>
            <w:rStyle w:val="Hyperlink"/>
            <w:rFonts w:ascii="Times New Roman" w:eastAsia="Times New Roman" w:hAnsi="Times New Roman"/>
            <w:bCs/>
            <w:color w:val="auto"/>
            <w:spacing w:val="1"/>
            <w:position w:val="-1"/>
            <w:sz w:val="20"/>
            <w:szCs w:val="20"/>
            <w:u w:val="none"/>
          </w:rPr>
          <w:t>http://ntp.niehs.nih.gov/ntp/roc/content/profiles/nickel.pdf</w:t>
        </w:r>
      </w:hyperlink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 (accessed May 2015).</w:t>
      </w:r>
    </w:p>
    <w:p w14:paraId="027EBD4D" w14:textId="77777777" w:rsidR="00370878" w:rsidRPr="003D04C9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430B70D8" w14:textId="7EEC64A2" w:rsidR="003D04C9" w:rsidRPr="003D04C9" w:rsidRDefault="003D04C9" w:rsidP="003D04C9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  <w:t xml:space="preserve">IARC MONOGRAPHS – 100C, </w:t>
      </w:r>
      <w:r w:rsidRPr="003D04C9">
        <w:rPr>
          <w:rFonts w:ascii="Times New Roman" w:eastAsia="Times New Roman" w:hAnsi="Times New Roman"/>
          <w:bCs/>
          <w:i/>
          <w:spacing w:val="1"/>
          <w:position w:val="-1"/>
          <w:sz w:val="20"/>
          <w:szCs w:val="20"/>
        </w:rPr>
        <w:t>Nickel and Nickel Compounds</w:t>
      </w:r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, Thirteenth Edition, 2014; available at </w:t>
      </w:r>
      <w:hyperlink r:id="rId14" w:history="1">
        <w:r w:rsidRPr="003D04C9">
          <w:rPr>
            <w:rStyle w:val="Hyperlink"/>
            <w:rFonts w:ascii="Times New Roman" w:eastAsia="Times New Roman" w:hAnsi="Times New Roman"/>
            <w:bCs/>
            <w:color w:val="auto"/>
            <w:spacing w:val="1"/>
            <w:position w:val="-1"/>
            <w:sz w:val="20"/>
            <w:szCs w:val="20"/>
            <w:u w:val="none"/>
          </w:rPr>
          <w:t>http://monographs.iarc.fr/ENG/Monographs/vol100C/mono100C-10.pdf</w:t>
        </w:r>
      </w:hyperlink>
      <w:r w:rsidRPr="003D04C9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 xml:space="preserve">  (accessed May 2015).</w:t>
      </w:r>
    </w:p>
    <w:p w14:paraId="5B9EBA48" w14:textId="6B8406F2" w:rsidR="00370878" w:rsidRPr="003D04C9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35D3565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9D658BA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0F16CD49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8CE2AB4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18493CA5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6125A328" w14:textId="77777777" w:rsidR="00EF3642" w:rsidRDefault="00EF3642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BF11A75" w14:textId="77777777" w:rsidR="00EF3642" w:rsidRPr="00005D5A" w:rsidRDefault="00EF3642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6B90EE0A" w14:textId="77777777" w:rsidR="00296E4D" w:rsidRDefault="002732BD" w:rsidP="00A46F87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4034"/>
        <w:gridCol w:w="720"/>
        <w:gridCol w:w="3600"/>
      </w:tblGrid>
      <w:tr w:rsidR="00B727C7" w:rsidRPr="00B727C7" w14:paraId="0BC2CE54" w14:textId="77777777" w:rsidTr="003E1228">
        <w:trPr>
          <w:trHeight w:val="197"/>
        </w:trPr>
        <w:tc>
          <w:tcPr>
            <w:tcW w:w="1024" w:type="dxa"/>
          </w:tcPr>
          <w:p w14:paraId="3208F96F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ACGIH</w:t>
            </w:r>
          </w:p>
        </w:tc>
        <w:tc>
          <w:tcPr>
            <w:tcW w:w="4034" w:type="dxa"/>
          </w:tcPr>
          <w:p w14:paraId="1D55DE49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720" w:type="dxa"/>
          </w:tcPr>
          <w:p w14:paraId="023D4A86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NTP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460AC68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Toxicology Program</w:t>
            </w:r>
          </w:p>
        </w:tc>
      </w:tr>
      <w:tr w:rsidR="00B727C7" w:rsidRPr="00B727C7" w14:paraId="76948340" w14:textId="77777777" w:rsidTr="003E1228">
        <w:trPr>
          <w:trHeight w:val="144"/>
        </w:trPr>
        <w:tc>
          <w:tcPr>
            <w:tcW w:w="1024" w:type="dxa"/>
          </w:tcPr>
          <w:p w14:paraId="4B722DFE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CAS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65B50C6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Chemical Abstracts Service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836BDA2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OSHA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715B383" w14:textId="77777777" w:rsidR="00B727C7" w:rsidRPr="00B727C7" w:rsidRDefault="00B727C7" w:rsidP="00A46F8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Occupational Safety and Health Administration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6916AD16" w14:textId="77777777" w:rsidTr="003E1228">
        <w:trPr>
          <w:trHeight w:val="144"/>
        </w:trPr>
        <w:tc>
          <w:tcPr>
            <w:tcW w:w="1024" w:type="dxa"/>
          </w:tcPr>
          <w:p w14:paraId="3A7C263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CERCLA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7D2B81D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Comprehensive Environmental Response, Compensation, and Liability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9EE09D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PEL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BFCB77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 xml:space="preserve">Permissible Exposure </w:t>
            </w:r>
            <w:r w:rsidR="000307D5" w:rsidRPr="00B727C7">
              <w:rPr>
                <w:rFonts w:ascii="Times New Roman" w:hAnsi="Times New Roman"/>
                <w:sz w:val="16"/>
                <w:szCs w:val="16"/>
              </w:rPr>
              <w:t>L</w:t>
            </w:r>
            <w:r w:rsidR="000307D5">
              <w:rPr>
                <w:rFonts w:ascii="Times New Roman" w:hAnsi="Times New Roman"/>
                <w:sz w:val="16"/>
                <w:szCs w:val="16"/>
              </w:rPr>
              <w:t>imit</w:t>
            </w:r>
          </w:p>
        </w:tc>
      </w:tr>
      <w:tr w:rsidR="00B727C7" w:rsidRPr="00B727C7" w14:paraId="1AA32FBA" w14:textId="77777777" w:rsidTr="003E1228">
        <w:trPr>
          <w:trHeight w:val="144"/>
        </w:trPr>
        <w:tc>
          <w:tcPr>
            <w:tcW w:w="1024" w:type="dxa"/>
          </w:tcPr>
          <w:p w14:paraId="25FB1DE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CFR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DB7ED6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Code of Federal Regulations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41A8BB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RCRA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96FA1E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Resource Conservation and Recovery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63F03FED" w14:textId="77777777" w:rsidTr="003E1228">
        <w:trPr>
          <w:trHeight w:val="144"/>
        </w:trPr>
        <w:tc>
          <w:tcPr>
            <w:tcW w:w="1024" w:type="dxa"/>
          </w:tcPr>
          <w:p w14:paraId="016AC260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DOT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7AF7B2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Department of Transportation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21422F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98E5217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 xml:space="preserve">Recommended Exposure </w:t>
            </w:r>
            <w:r w:rsidR="000307D5" w:rsidRPr="00B727C7">
              <w:rPr>
                <w:rFonts w:ascii="Times New Roman" w:hAnsi="Times New Roman"/>
                <w:sz w:val="16"/>
                <w:szCs w:val="16"/>
              </w:rPr>
              <w:t>L</w:t>
            </w:r>
            <w:r w:rsidR="000307D5">
              <w:rPr>
                <w:rFonts w:ascii="Times New Roman" w:hAnsi="Times New Roman"/>
                <w:sz w:val="16"/>
                <w:szCs w:val="16"/>
              </w:rPr>
              <w:t>imit</w:t>
            </w:r>
            <w:r w:rsidR="000307D5"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0168CC2F" w14:textId="77777777" w:rsidTr="003E1228">
        <w:trPr>
          <w:trHeight w:val="144"/>
        </w:trPr>
        <w:tc>
          <w:tcPr>
            <w:tcW w:w="1024" w:type="dxa"/>
          </w:tcPr>
          <w:p w14:paraId="12D165C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EINECS</w:t>
            </w:r>
          </w:p>
        </w:tc>
        <w:tc>
          <w:tcPr>
            <w:tcW w:w="4034" w:type="dxa"/>
          </w:tcPr>
          <w:p w14:paraId="063B493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European Inventory of Existing Commercial Chemical Substances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B753B8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RQ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B79240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Reportable Quantity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14CF01FC" w14:textId="77777777" w:rsidTr="003E1228">
        <w:trPr>
          <w:trHeight w:val="144"/>
        </w:trPr>
        <w:tc>
          <w:tcPr>
            <w:tcW w:w="1024" w:type="dxa"/>
          </w:tcPr>
          <w:p w14:paraId="2C6DE92A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EPCRA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F96ABA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Emergency Planning and Community Right-to-Know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244F2C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RTECS</w:t>
            </w:r>
          </w:p>
        </w:tc>
        <w:tc>
          <w:tcPr>
            <w:tcW w:w="3600" w:type="dxa"/>
          </w:tcPr>
          <w:p w14:paraId="4A21FC0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Registry of Toxic Effects of Chemical Substances</w:t>
            </w:r>
          </w:p>
        </w:tc>
      </w:tr>
      <w:tr w:rsidR="00B727C7" w:rsidRPr="00B727C7" w14:paraId="5B57483D" w14:textId="77777777" w:rsidTr="003E1228">
        <w:trPr>
          <w:trHeight w:val="144"/>
        </w:trPr>
        <w:tc>
          <w:tcPr>
            <w:tcW w:w="1024" w:type="dxa"/>
          </w:tcPr>
          <w:p w14:paraId="648BE36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IARC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659F015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International Agency for Research on Cancer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0033F2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SARA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79B494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Superfund Amendments and Reauthorization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7A0D2910" w14:textId="77777777" w:rsidTr="003E1228">
        <w:trPr>
          <w:trHeight w:val="144"/>
        </w:trPr>
        <w:tc>
          <w:tcPr>
            <w:tcW w:w="1024" w:type="dxa"/>
          </w:tcPr>
          <w:p w14:paraId="3E7B3A61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IATA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187B7C7F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International Air Transportation Agency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463E52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SCBA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75A30C1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Self</w:t>
            </w:r>
            <w:r w:rsidRPr="00B727C7">
              <w:rPr>
                <w:rFonts w:ascii="Times New Roman" w:hAnsi="Times New Roman"/>
                <w:sz w:val="16"/>
                <w:szCs w:val="16"/>
              </w:rPr>
              <w:noBreakHyphen/>
              <w:t>Contained Breathing Apparatus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10F1C465" w14:textId="77777777" w:rsidTr="003E1228">
        <w:trPr>
          <w:trHeight w:val="144"/>
        </w:trPr>
        <w:tc>
          <w:tcPr>
            <w:tcW w:w="1024" w:type="dxa"/>
          </w:tcPr>
          <w:p w14:paraId="65ED398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IDLH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58C5E86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Immediately Dangerous to Life and Health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B71C63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SRM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6CEA73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Standard Reference Material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455F0674" w14:textId="77777777" w:rsidTr="003E1228">
        <w:trPr>
          <w:trHeight w:val="144"/>
        </w:trPr>
        <w:tc>
          <w:tcPr>
            <w:tcW w:w="1024" w:type="dxa"/>
          </w:tcPr>
          <w:p w14:paraId="2608213F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LC50</w:t>
            </w:r>
          </w:p>
        </w:tc>
        <w:tc>
          <w:tcPr>
            <w:tcW w:w="4034" w:type="dxa"/>
          </w:tcPr>
          <w:p w14:paraId="20F03D7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Lethal Concentration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B72ADF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STEL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98884E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 xml:space="preserve">Short Term Exposure </w:t>
            </w:r>
            <w:r w:rsidR="000307D5" w:rsidRPr="00B727C7">
              <w:rPr>
                <w:rFonts w:ascii="Times New Roman" w:hAnsi="Times New Roman"/>
                <w:sz w:val="16"/>
                <w:szCs w:val="16"/>
              </w:rPr>
              <w:t>L</w:t>
            </w:r>
            <w:r w:rsidR="000307D5">
              <w:rPr>
                <w:rFonts w:ascii="Times New Roman" w:hAnsi="Times New Roman"/>
                <w:sz w:val="16"/>
                <w:szCs w:val="16"/>
              </w:rPr>
              <w:t>imit</w:t>
            </w:r>
            <w:r w:rsidR="000307D5"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4D9FD619" w14:textId="77777777" w:rsidTr="003E1228">
        <w:trPr>
          <w:trHeight w:val="144"/>
        </w:trPr>
        <w:tc>
          <w:tcPr>
            <w:tcW w:w="1024" w:type="dxa"/>
          </w:tcPr>
          <w:p w14:paraId="698771FF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LD50</w:t>
            </w:r>
          </w:p>
        </w:tc>
        <w:tc>
          <w:tcPr>
            <w:tcW w:w="4034" w:type="dxa"/>
          </w:tcPr>
          <w:p w14:paraId="0C2D260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Median Lethal Dose or Lethal Dose, 50 %</w:t>
            </w:r>
          </w:p>
        </w:tc>
        <w:tc>
          <w:tcPr>
            <w:tcW w:w="720" w:type="dxa"/>
          </w:tcPr>
          <w:p w14:paraId="3B185440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STOT</w:t>
            </w:r>
          </w:p>
        </w:tc>
        <w:tc>
          <w:tcPr>
            <w:tcW w:w="3600" w:type="dxa"/>
          </w:tcPr>
          <w:p w14:paraId="2F64EB33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Specific Target Organ Toxicity</w:t>
            </w:r>
          </w:p>
        </w:tc>
      </w:tr>
      <w:tr w:rsidR="00B727C7" w:rsidRPr="00B727C7" w14:paraId="0611931B" w14:textId="77777777" w:rsidTr="003E1228">
        <w:trPr>
          <w:trHeight w:val="144"/>
        </w:trPr>
        <w:tc>
          <w:tcPr>
            <w:tcW w:w="1024" w:type="dxa"/>
          </w:tcPr>
          <w:p w14:paraId="07E55D5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53BA24A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Lower Explosive Limit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BCD9AC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TLV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9B73FA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Threshold Limit Value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40516E2A" w14:textId="77777777" w:rsidTr="003E1228">
        <w:trPr>
          <w:trHeight w:val="144"/>
        </w:trPr>
        <w:tc>
          <w:tcPr>
            <w:tcW w:w="1024" w:type="dxa"/>
          </w:tcPr>
          <w:p w14:paraId="6B453784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MSDS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596FB27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Material Safety Data Sheet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D1DA40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TPQ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52B11A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Threshold Planning Quantity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71FFD367" w14:textId="77777777" w:rsidTr="003E1228">
        <w:trPr>
          <w:trHeight w:val="144"/>
        </w:trPr>
        <w:tc>
          <w:tcPr>
            <w:tcW w:w="1024" w:type="dxa"/>
          </w:tcPr>
          <w:p w14:paraId="0EFC1F1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NFPA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940B8E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Fire Protection Association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30234B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TSCA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6ACE5FC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Toxic Substances Control Act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1161D75B" w14:textId="77777777" w:rsidTr="003E1228">
        <w:trPr>
          <w:trHeight w:val="144"/>
        </w:trPr>
        <w:tc>
          <w:tcPr>
            <w:tcW w:w="1024" w:type="dxa"/>
          </w:tcPr>
          <w:p w14:paraId="7E5E14F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NIOSH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A57665A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Institute for Occupational Safety and Health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5FE7912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TWA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E774A1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Time Weighted Average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3CBD5C83" w14:textId="77777777" w:rsidTr="003E1228">
        <w:trPr>
          <w:trHeight w:val="144"/>
        </w:trPr>
        <w:tc>
          <w:tcPr>
            <w:tcW w:w="1024" w:type="dxa"/>
          </w:tcPr>
          <w:p w14:paraId="718F7BB9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NIST</w:t>
            </w:r>
          </w:p>
        </w:tc>
        <w:tc>
          <w:tcPr>
            <w:tcW w:w="4034" w:type="dxa"/>
          </w:tcPr>
          <w:p w14:paraId="288A54DB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National Institute of Standards and Technology</w:t>
            </w:r>
          </w:p>
        </w:tc>
        <w:tc>
          <w:tcPr>
            <w:tcW w:w="720" w:type="dxa"/>
          </w:tcPr>
          <w:p w14:paraId="5DE617B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UEL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F28D698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Upper Explosive Limit</w:t>
            </w:r>
            <w:r w:rsidRPr="00B727C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B727C7" w:rsidRPr="00B727C7" w14:paraId="78191712" w14:textId="77777777" w:rsidTr="003E1228">
        <w:trPr>
          <w:trHeight w:val="144"/>
        </w:trPr>
        <w:tc>
          <w:tcPr>
            <w:tcW w:w="1024" w:type="dxa"/>
          </w:tcPr>
          <w:p w14:paraId="4792D885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n.o.s.</w:t>
            </w:r>
          </w:p>
        </w:tc>
        <w:tc>
          <w:tcPr>
            <w:tcW w:w="4034" w:type="dxa"/>
          </w:tcPr>
          <w:p w14:paraId="6789325E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Not Otherwise Specified</w:t>
            </w:r>
          </w:p>
        </w:tc>
        <w:tc>
          <w:tcPr>
            <w:tcW w:w="720" w:type="dxa"/>
          </w:tcPr>
          <w:p w14:paraId="155E2801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WHMIS</w:t>
            </w:r>
          </w:p>
        </w:tc>
        <w:tc>
          <w:tcPr>
            <w:tcW w:w="3600" w:type="dxa"/>
          </w:tcPr>
          <w:p w14:paraId="58315866" w14:textId="77777777" w:rsidR="00B727C7" w:rsidRPr="00B727C7" w:rsidRDefault="00B727C7" w:rsidP="00A46F8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B727C7">
              <w:rPr>
                <w:rFonts w:ascii="Times New Roman" w:hAnsi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52016F83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1C1FC3DE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37E84A8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37B40729" w14:textId="77777777" w:rsidR="00370878" w:rsidRDefault="0037087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45547273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3B78FE0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44176602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0B12834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59B2EC13" w14:textId="77777777" w:rsidR="00A46F87" w:rsidRDefault="00A46F87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A1BC044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15ABDB8E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762FF016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281A61F9" w14:textId="77777777" w:rsidR="00A46C98" w:rsidRDefault="00A46C98" w:rsidP="00A46F87">
      <w:pPr>
        <w:widowControl/>
        <w:tabs>
          <w:tab w:val="left" w:pos="1080"/>
        </w:tabs>
        <w:spacing w:after="0" w:line="240" w:lineRule="auto"/>
        <w:ind w:left="1080" w:hanging="1080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</w:p>
    <w:p w14:paraId="6E336CDF" w14:textId="77777777" w:rsidR="00537670" w:rsidRDefault="00BF5DD9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="004C03AB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icate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45E4984E" w14:textId="77777777" w:rsidR="00E24579" w:rsidRPr="00714D24" w:rsidRDefault="001948EA" w:rsidP="00A46F8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SRM should ensure that the SDS in their possession is current. </w:t>
      </w:r>
      <w:r w:rsidR="00896794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>This can be accomplished by contacting the SRM Program: telephone (301) 975-2200; fax (301) 948-3730; e-mail 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371ED3">
      <w:footerReference w:type="default" r:id="rId15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F03E0" w14:textId="77777777" w:rsidR="00F972D0" w:rsidRDefault="00F972D0" w:rsidP="00E24579">
      <w:pPr>
        <w:spacing w:after="0" w:line="240" w:lineRule="auto"/>
      </w:pPr>
      <w:r>
        <w:separator/>
      </w:r>
    </w:p>
  </w:endnote>
  <w:endnote w:type="continuationSeparator" w:id="0">
    <w:p w14:paraId="798883B3" w14:textId="77777777" w:rsidR="00F972D0" w:rsidRDefault="00F972D0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106FF" w14:textId="71F0418C" w:rsidR="005A257B" w:rsidRPr="005315D6" w:rsidRDefault="005A257B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 w:rsidRPr="00371ED3">
      <w:rPr>
        <w:rFonts w:ascii="Times New Roman" w:hAnsi="Times New Roman"/>
        <w:sz w:val="20"/>
        <w:szCs w:val="20"/>
      </w:rPr>
      <w:t>SRM</w:t>
    </w:r>
    <w:r w:rsidR="00EA410E">
      <w:rPr>
        <w:rFonts w:ascii="Times New Roman" w:hAnsi="Times New Roman"/>
        <w:sz w:val="20"/>
        <w:szCs w:val="20"/>
      </w:rPr>
      <w:t> </w:t>
    </w:r>
    <w:r w:rsidR="002B1E97">
      <w:rPr>
        <w:rFonts w:ascii="Times New Roman" w:hAnsi="Times New Roman"/>
        <w:sz w:val="20"/>
        <w:szCs w:val="20"/>
      </w:rPr>
      <w:t>672</w:t>
    </w:r>
    <w:r w:rsidRPr="00371ED3"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ab/>
      <w:t xml:space="preserve">Page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PAGE 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5D1380">
      <w:rPr>
        <w:rStyle w:val="PageNumber"/>
        <w:rFonts w:ascii="Times New Roman" w:hAnsi="Times New Roman"/>
        <w:noProof/>
        <w:sz w:val="20"/>
        <w:szCs w:val="20"/>
      </w:rPr>
      <w:t>6</w:t>
    </w:r>
    <w:r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>
      <w:rPr>
        <w:rStyle w:val="PageNumber"/>
        <w:rFonts w:ascii="Times New Roman" w:hAnsi="Times New Roman"/>
        <w:sz w:val="20"/>
        <w:szCs w:val="20"/>
      </w:rPr>
      <w:fldChar w:fldCharType="begin"/>
    </w:r>
    <w:r>
      <w:rPr>
        <w:rStyle w:val="PageNumber"/>
        <w:rFonts w:ascii="Times New Roman" w:hAnsi="Times New Roman"/>
        <w:sz w:val="20"/>
        <w:szCs w:val="20"/>
      </w:rPr>
      <w:instrText xml:space="preserve"> NUMPAGES   \* MERGEFORMAT </w:instrText>
    </w:r>
    <w:r>
      <w:rPr>
        <w:rStyle w:val="PageNumber"/>
        <w:rFonts w:ascii="Times New Roman" w:hAnsi="Times New Roman"/>
        <w:sz w:val="20"/>
        <w:szCs w:val="20"/>
      </w:rPr>
      <w:fldChar w:fldCharType="separate"/>
    </w:r>
    <w:r w:rsidR="005D1380">
      <w:rPr>
        <w:rStyle w:val="PageNumber"/>
        <w:rFonts w:ascii="Times New Roman" w:hAnsi="Times New Roman"/>
        <w:noProof/>
        <w:sz w:val="20"/>
        <w:szCs w:val="20"/>
      </w:rPr>
      <w:t>6</w:t>
    </w:r>
    <w:r>
      <w:rPr>
        <w:rStyle w:val="PageNumber"/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17726" w14:textId="77777777" w:rsidR="00F972D0" w:rsidRDefault="00F972D0" w:rsidP="00E24579">
      <w:pPr>
        <w:spacing w:after="0" w:line="240" w:lineRule="auto"/>
      </w:pPr>
      <w:r>
        <w:separator/>
      </w:r>
    </w:p>
  </w:footnote>
  <w:footnote w:type="continuationSeparator" w:id="0">
    <w:p w14:paraId="344CC35F" w14:textId="77777777" w:rsidR="00F972D0" w:rsidRDefault="00F972D0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0C1E"/>
    <w:rsid w:val="00005D5A"/>
    <w:rsid w:val="000062AB"/>
    <w:rsid w:val="00007BFB"/>
    <w:rsid w:val="00011785"/>
    <w:rsid w:val="00011CAC"/>
    <w:rsid w:val="00015F8E"/>
    <w:rsid w:val="00025571"/>
    <w:rsid w:val="00025AFE"/>
    <w:rsid w:val="000277FB"/>
    <w:rsid w:val="000307D5"/>
    <w:rsid w:val="000350F0"/>
    <w:rsid w:val="00035281"/>
    <w:rsid w:val="00037080"/>
    <w:rsid w:val="000410EE"/>
    <w:rsid w:val="000425F7"/>
    <w:rsid w:val="00044353"/>
    <w:rsid w:val="0005067D"/>
    <w:rsid w:val="00052A14"/>
    <w:rsid w:val="00054A71"/>
    <w:rsid w:val="00054EF5"/>
    <w:rsid w:val="0005609D"/>
    <w:rsid w:val="000613B3"/>
    <w:rsid w:val="000717E7"/>
    <w:rsid w:val="0007601E"/>
    <w:rsid w:val="00081FFA"/>
    <w:rsid w:val="00085816"/>
    <w:rsid w:val="00094BF8"/>
    <w:rsid w:val="00095044"/>
    <w:rsid w:val="000A59B2"/>
    <w:rsid w:val="000A77D6"/>
    <w:rsid w:val="000B265A"/>
    <w:rsid w:val="000B73AF"/>
    <w:rsid w:val="000B79EB"/>
    <w:rsid w:val="000C0534"/>
    <w:rsid w:val="000C675B"/>
    <w:rsid w:val="000D31BB"/>
    <w:rsid w:val="000E147E"/>
    <w:rsid w:val="000E1EBF"/>
    <w:rsid w:val="000E3B6D"/>
    <w:rsid w:val="000E615A"/>
    <w:rsid w:val="000F1959"/>
    <w:rsid w:val="000F255D"/>
    <w:rsid w:val="00112C69"/>
    <w:rsid w:val="00112DD8"/>
    <w:rsid w:val="0012094D"/>
    <w:rsid w:val="001228ED"/>
    <w:rsid w:val="001242E7"/>
    <w:rsid w:val="001248AA"/>
    <w:rsid w:val="00125F0D"/>
    <w:rsid w:val="00125FD4"/>
    <w:rsid w:val="00130CC0"/>
    <w:rsid w:val="001409C6"/>
    <w:rsid w:val="00144362"/>
    <w:rsid w:val="00144ADE"/>
    <w:rsid w:val="00145AD5"/>
    <w:rsid w:val="00150BAB"/>
    <w:rsid w:val="00152B7B"/>
    <w:rsid w:val="00154538"/>
    <w:rsid w:val="0015490E"/>
    <w:rsid w:val="0015519D"/>
    <w:rsid w:val="00161E27"/>
    <w:rsid w:val="00162FAB"/>
    <w:rsid w:val="00164B4E"/>
    <w:rsid w:val="001667D2"/>
    <w:rsid w:val="00166806"/>
    <w:rsid w:val="00170D0D"/>
    <w:rsid w:val="00170F65"/>
    <w:rsid w:val="00171DB2"/>
    <w:rsid w:val="00172026"/>
    <w:rsid w:val="001745DF"/>
    <w:rsid w:val="00175EFF"/>
    <w:rsid w:val="00182027"/>
    <w:rsid w:val="001862E9"/>
    <w:rsid w:val="00186DAE"/>
    <w:rsid w:val="001930E9"/>
    <w:rsid w:val="00193FA9"/>
    <w:rsid w:val="001948EA"/>
    <w:rsid w:val="00194A53"/>
    <w:rsid w:val="00195830"/>
    <w:rsid w:val="0019668F"/>
    <w:rsid w:val="001A0874"/>
    <w:rsid w:val="001A19D3"/>
    <w:rsid w:val="001A1C8F"/>
    <w:rsid w:val="001A56C8"/>
    <w:rsid w:val="001B78DF"/>
    <w:rsid w:val="001C4AA7"/>
    <w:rsid w:val="001C4F6D"/>
    <w:rsid w:val="001C6F83"/>
    <w:rsid w:val="001D0D6B"/>
    <w:rsid w:val="001D5574"/>
    <w:rsid w:val="001D7FE4"/>
    <w:rsid w:val="001E1EEB"/>
    <w:rsid w:val="001E3B11"/>
    <w:rsid w:val="001E49C6"/>
    <w:rsid w:val="001E7290"/>
    <w:rsid w:val="001F4AA3"/>
    <w:rsid w:val="001F7438"/>
    <w:rsid w:val="00203853"/>
    <w:rsid w:val="00203A9F"/>
    <w:rsid w:val="00206AE7"/>
    <w:rsid w:val="0022110D"/>
    <w:rsid w:val="002237B1"/>
    <w:rsid w:val="00224515"/>
    <w:rsid w:val="00230D31"/>
    <w:rsid w:val="002326AE"/>
    <w:rsid w:val="00232FEE"/>
    <w:rsid w:val="00240483"/>
    <w:rsid w:val="002409C0"/>
    <w:rsid w:val="00241552"/>
    <w:rsid w:val="002416D8"/>
    <w:rsid w:val="00242591"/>
    <w:rsid w:val="0025165F"/>
    <w:rsid w:val="002570B2"/>
    <w:rsid w:val="00262267"/>
    <w:rsid w:val="0026258B"/>
    <w:rsid w:val="0027063F"/>
    <w:rsid w:val="00271910"/>
    <w:rsid w:val="002730C2"/>
    <w:rsid w:val="002732BD"/>
    <w:rsid w:val="002762BE"/>
    <w:rsid w:val="0028280A"/>
    <w:rsid w:val="00282E25"/>
    <w:rsid w:val="0028318C"/>
    <w:rsid w:val="00283C12"/>
    <w:rsid w:val="00284872"/>
    <w:rsid w:val="002855BE"/>
    <w:rsid w:val="00295831"/>
    <w:rsid w:val="00296E4D"/>
    <w:rsid w:val="002A0775"/>
    <w:rsid w:val="002A3CAA"/>
    <w:rsid w:val="002A3CC1"/>
    <w:rsid w:val="002B1D2D"/>
    <w:rsid w:val="002B1E97"/>
    <w:rsid w:val="002B2021"/>
    <w:rsid w:val="002B22C8"/>
    <w:rsid w:val="002B60F0"/>
    <w:rsid w:val="002C0B96"/>
    <w:rsid w:val="002C5045"/>
    <w:rsid w:val="002D63F4"/>
    <w:rsid w:val="002F28B5"/>
    <w:rsid w:val="002F322E"/>
    <w:rsid w:val="002F3AF7"/>
    <w:rsid w:val="002F3DB6"/>
    <w:rsid w:val="003045F2"/>
    <w:rsid w:val="003052AD"/>
    <w:rsid w:val="0030612C"/>
    <w:rsid w:val="00306A1D"/>
    <w:rsid w:val="003135B6"/>
    <w:rsid w:val="0031489F"/>
    <w:rsid w:val="003156B0"/>
    <w:rsid w:val="0031663D"/>
    <w:rsid w:val="0031693E"/>
    <w:rsid w:val="00326A67"/>
    <w:rsid w:val="003329EC"/>
    <w:rsid w:val="00333C6E"/>
    <w:rsid w:val="00335DD7"/>
    <w:rsid w:val="003375EA"/>
    <w:rsid w:val="00343B25"/>
    <w:rsid w:val="00345259"/>
    <w:rsid w:val="00345BDB"/>
    <w:rsid w:val="003466CD"/>
    <w:rsid w:val="00347680"/>
    <w:rsid w:val="00350823"/>
    <w:rsid w:val="00352F5F"/>
    <w:rsid w:val="00360DFB"/>
    <w:rsid w:val="0036260F"/>
    <w:rsid w:val="00370878"/>
    <w:rsid w:val="00371ED3"/>
    <w:rsid w:val="0037222D"/>
    <w:rsid w:val="003727AC"/>
    <w:rsid w:val="003738E1"/>
    <w:rsid w:val="00383F47"/>
    <w:rsid w:val="0039599D"/>
    <w:rsid w:val="00395C08"/>
    <w:rsid w:val="0039690E"/>
    <w:rsid w:val="003A01E2"/>
    <w:rsid w:val="003A434E"/>
    <w:rsid w:val="003B2C06"/>
    <w:rsid w:val="003B54FB"/>
    <w:rsid w:val="003C6A44"/>
    <w:rsid w:val="003C76DF"/>
    <w:rsid w:val="003D04C9"/>
    <w:rsid w:val="003D5857"/>
    <w:rsid w:val="003D6279"/>
    <w:rsid w:val="003E1228"/>
    <w:rsid w:val="003E2700"/>
    <w:rsid w:val="003E5A7F"/>
    <w:rsid w:val="004021D2"/>
    <w:rsid w:val="00404335"/>
    <w:rsid w:val="00404F6B"/>
    <w:rsid w:val="00405269"/>
    <w:rsid w:val="00411CC4"/>
    <w:rsid w:val="00421AA2"/>
    <w:rsid w:val="0042300F"/>
    <w:rsid w:val="0042333E"/>
    <w:rsid w:val="004251A6"/>
    <w:rsid w:val="00426762"/>
    <w:rsid w:val="00427144"/>
    <w:rsid w:val="0043249C"/>
    <w:rsid w:val="0043380E"/>
    <w:rsid w:val="00433F25"/>
    <w:rsid w:val="00436656"/>
    <w:rsid w:val="0044174A"/>
    <w:rsid w:val="0044226E"/>
    <w:rsid w:val="00444104"/>
    <w:rsid w:val="004457B0"/>
    <w:rsid w:val="00450AD0"/>
    <w:rsid w:val="004521E9"/>
    <w:rsid w:val="004528A1"/>
    <w:rsid w:val="00455695"/>
    <w:rsid w:val="004563C5"/>
    <w:rsid w:val="00466137"/>
    <w:rsid w:val="00472A7C"/>
    <w:rsid w:val="00474DF2"/>
    <w:rsid w:val="00476880"/>
    <w:rsid w:val="00482A61"/>
    <w:rsid w:val="00490BF9"/>
    <w:rsid w:val="0049249A"/>
    <w:rsid w:val="00493484"/>
    <w:rsid w:val="004968E7"/>
    <w:rsid w:val="00497D5E"/>
    <w:rsid w:val="004A08F9"/>
    <w:rsid w:val="004A3C98"/>
    <w:rsid w:val="004A4A37"/>
    <w:rsid w:val="004A6E3F"/>
    <w:rsid w:val="004B73E0"/>
    <w:rsid w:val="004C03AB"/>
    <w:rsid w:val="004C0654"/>
    <w:rsid w:val="004C3128"/>
    <w:rsid w:val="004C5FD5"/>
    <w:rsid w:val="004D7E51"/>
    <w:rsid w:val="004E06D8"/>
    <w:rsid w:val="004E4B3D"/>
    <w:rsid w:val="004E5388"/>
    <w:rsid w:val="004E54F3"/>
    <w:rsid w:val="004E5DB2"/>
    <w:rsid w:val="004E5DCE"/>
    <w:rsid w:val="004E734D"/>
    <w:rsid w:val="004E7C12"/>
    <w:rsid w:val="004E7CC2"/>
    <w:rsid w:val="004F1C1D"/>
    <w:rsid w:val="004F46FD"/>
    <w:rsid w:val="004F76D5"/>
    <w:rsid w:val="0050110A"/>
    <w:rsid w:val="00506060"/>
    <w:rsid w:val="00510CBD"/>
    <w:rsid w:val="005155C7"/>
    <w:rsid w:val="00517108"/>
    <w:rsid w:val="00520D37"/>
    <w:rsid w:val="00521CB4"/>
    <w:rsid w:val="00523A7B"/>
    <w:rsid w:val="005302E6"/>
    <w:rsid w:val="005307E4"/>
    <w:rsid w:val="005315D6"/>
    <w:rsid w:val="00534548"/>
    <w:rsid w:val="0053672A"/>
    <w:rsid w:val="00537670"/>
    <w:rsid w:val="005401AD"/>
    <w:rsid w:val="00547A14"/>
    <w:rsid w:val="0055271F"/>
    <w:rsid w:val="005550E0"/>
    <w:rsid w:val="00556719"/>
    <w:rsid w:val="00565AA3"/>
    <w:rsid w:val="005711CA"/>
    <w:rsid w:val="0057454C"/>
    <w:rsid w:val="005764A6"/>
    <w:rsid w:val="00577133"/>
    <w:rsid w:val="00584A22"/>
    <w:rsid w:val="00585970"/>
    <w:rsid w:val="005905F5"/>
    <w:rsid w:val="00590E21"/>
    <w:rsid w:val="005925EB"/>
    <w:rsid w:val="00592E01"/>
    <w:rsid w:val="00594ADC"/>
    <w:rsid w:val="005A14BE"/>
    <w:rsid w:val="005A257B"/>
    <w:rsid w:val="005A6767"/>
    <w:rsid w:val="005A73FE"/>
    <w:rsid w:val="005C04BC"/>
    <w:rsid w:val="005C0BE4"/>
    <w:rsid w:val="005C737E"/>
    <w:rsid w:val="005D0F87"/>
    <w:rsid w:val="005D1380"/>
    <w:rsid w:val="005D3405"/>
    <w:rsid w:val="005D4139"/>
    <w:rsid w:val="005D6082"/>
    <w:rsid w:val="005D632D"/>
    <w:rsid w:val="005E0A42"/>
    <w:rsid w:val="005E4F60"/>
    <w:rsid w:val="005E6894"/>
    <w:rsid w:val="005F656F"/>
    <w:rsid w:val="005F6A17"/>
    <w:rsid w:val="005F7AEB"/>
    <w:rsid w:val="00600C7C"/>
    <w:rsid w:val="00605991"/>
    <w:rsid w:val="00606535"/>
    <w:rsid w:val="00610BC9"/>
    <w:rsid w:val="00620718"/>
    <w:rsid w:val="00622AE4"/>
    <w:rsid w:val="00622BAB"/>
    <w:rsid w:val="00623C6E"/>
    <w:rsid w:val="006251CA"/>
    <w:rsid w:val="006255F3"/>
    <w:rsid w:val="00632690"/>
    <w:rsid w:val="00632742"/>
    <w:rsid w:val="00633925"/>
    <w:rsid w:val="006411DB"/>
    <w:rsid w:val="0064486D"/>
    <w:rsid w:val="00645989"/>
    <w:rsid w:val="00651F0C"/>
    <w:rsid w:val="00653BDB"/>
    <w:rsid w:val="00655EC3"/>
    <w:rsid w:val="00661CCC"/>
    <w:rsid w:val="0066383A"/>
    <w:rsid w:val="0066464E"/>
    <w:rsid w:val="00667AAF"/>
    <w:rsid w:val="0067534E"/>
    <w:rsid w:val="006765E6"/>
    <w:rsid w:val="00676966"/>
    <w:rsid w:val="006821C7"/>
    <w:rsid w:val="0068405F"/>
    <w:rsid w:val="00686D7C"/>
    <w:rsid w:val="0068745C"/>
    <w:rsid w:val="00693E96"/>
    <w:rsid w:val="006A7CE0"/>
    <w:rsid w:val="006B276B"/>
    <w:rsid w:val="006B4658"/>
    <w:rsid w:val="006B6572"/>
    <w:rsid w:val="006C17A4"/>
    <w:rsid w:val="006C412A"/>
    <w:rsid w:val="006C5A88"/>
    <w:rsid w:val="006D24D9"/>
    <w:rsid w:val="006D3B01"/>
    <w:rsid w:val="006E2F68"/>
    <w:rsid w:val="006E5E61"/>
    <w:rsid w:val="006E61C7"/>
    <w:rsid w:val="006F0F73"/>
    <w:rsid w:val="007009BB"/>
    <w:rsid w:val="00705D6C"/>
    <w:rsid w:val="00710FAA"/>
    <w:rsid w:val="00714D24"/>
    <w:rsid w:val="00717B98"/>
    <w:rsid w:val="00721F50"/>
    <w:rsid w:val="0072264A"/>
    <w:rsid w:val="007301B8"/>
    <w:rsid w:val="00730686"/>
    <w:rsid w:val="007309D9"/>
    <w:rsid w:val="0073150A"/>
    <w:rsid w:val="007315EF"/>
    <w:rsid w:val="00743478"/>
    <w:rsid w:val="007502B5"/>
    <w:rsid w:val="0075492E"/>
    <w:rsid w:val="007569E7"/>
    <w:rsid w:val="00756C01"/>
    <w:rsid w:val="007574D4"/>
    <w:rsid w:val="007575FC"/>
    <w:rsid w:val="00757EA8"/>
    <w:rsid w:val="007601BE"/>
    <w:rsid w:val="0076543A"/>
    <w:rsid w:val="00765729"/>
    <w:rsid w:val="007666FB"/>
    <w:rsid w:val="00776157"/>
    <w:rsid w:val="00781E29"/>
    <w:rsid w:val="00783F68"/>
    <w:rsid w:val="00785253"/>
    <w:rsid w:val="0078621A"/>
    <w:rsid w:val="007864FC"/>
    <w:rsid w:val="00792487"/>
    <w:rsid w:val="00796D11"/>
    <w:rsid w:val="007975C5"/>
    <w:rsid w:val="00797DD3"/>
    <w:rsid w:val="007A082C"/>
    <w:rsid w:val="007B56D0"/>
    <w:rsid w:val="007B70FB"/>
    <w:rsid w:val="007C7F6E"/>
    <w:rsid w:val="007D30C1"/>
    <w:rsid w:val="007D3D8F"/>
    <w:rsid w:val="007E107C"/>
    <w:rsid w:val="007E335A"/>
    <w:rsid w:val="007E6EDD"/>
    <w:rsid w:val="007E7744"/>
    <w:rsid w:val="007F5046"/>
    <w:rsid w:val="007F5C40"/>
    <w:rsid w:val="007F6046"/>
    <w:rsid w:val="007F660E"/>
    <w:rsid w:val="007F7C90"/>
    <w:rsid w:val="008005AD"/>
    <w:rsid w:val="008154F9"/>
    <w:rsid w:val="00821095"/>
    <w:rsid w:val="00825D5B"/>
    <w:rsid w:val="0083346F"/>
    <w:rsid w:val="00834BA4"/>
    <w:rsid w:val="008354ED"/>
    <w:rsid w:val="00836B33"/>
    <w:rsid w:val="00844575"/>
    <w:rsid w:val="008502F5"/>
    <w:rsid w:val="00851D06"/>
    <w:rsid w:val="00865CA1"/>
    <w:rsid w:val="008660ED"/>
    <w:rsid w:val="008665F3"/>
    <w:rsid w:val="00871251"/>
    <w:rsid w:val="008775FD"/>
    <w:rsid w:val="00877B64"/>
    <w:rsid w:val="00881C3C"/>
    <w:rsid w:val="00883EEF"/>
    <w:rsid w:val="00886C5A"/>
    <w:rsid w:val="008922EA"/>
    <w:rsid w:val="008925FA"/>
    <w:rsid w:val="00893F73"/>
    <w:rsid w:val="00896794"/>
    <w:rsid w:val="008A179D"/>
    <w:rsid w:val="008A41BE"/>
    <w:rsid w:val="008B3BFA"/>
    <w:rsid w:val="008B549E"/>
    <w:rsid w:val="008B7934"/>
    <w:rsid w:val="008C0EE9"/>
    <w:rsid w:val="008C1210"/>
    <w:rsid w:val="008C27F7"/>
    <w:rsid w:val="008D15F6"/>
    <w:rsid w:val="008D32D7"/>
    <w:rsid w:val="008D74A1"/>
    <w:rsid w:val="008E1A8B"/>
    <w:rsid w:val="008E1B26"/>
    <w:rsid w:val="008F646B"/>
    <w:rsid w:val="008F7B1B"/>
    <w:rsid w:val="00902DFF"/>
    <w:rsid w:val="00902F44"/>
    <w:rsid w:val="00903751"/>
    <w:rsid w:val="009037A7"/>
    <w:rsid w:val="00904CC1"/>
    <w:rsid w:val="0090699C"/>
    <w:rsid w:val="00910EA2"/>
    <w:rsid w:val="00911A75"/>
    <w:rsid w:val="00914EC9"/>
    <w:rsid w:val="00915962"/>
    <w:rsid w:val="009175D1"/>
    <w:rsid w:val="0092134F"/>
    <w:rsid w:val="00921485"/>
    <w:rsid w:val="009248BB"/>
    <w:rsid w:val="0092505C"/>
    <w:rsid w:val="00931BB0"/>
    <w:rsid w:val="00933DD6"/>
    <w:rsid w:val="009348C4"/>
    <w:rsid w:val="00935858"/>
    <w:rsid w:val="00936236"/>
    <w:rsid w:val="009422F2"/>
    <w:rsid w:val="00942D37"/>
    <w:rsid w:val="009460A0"/>
    <w:rsid w:val="00952263"/>
    <w:rsid w:val="00953EFC"/>
    <w:rsid w:val="009568A3"/>
    <w:rsid w:val="00957A04"/>
    <w:rsid w:val="00957B26"/>
    <w:rsid w:val="009704C3"/>
    <w:rsid w:val="00971056"/>
    <w:rsid w:val="00971902"/>
    <w:rsid w:val="00971EDC"/>
    <w:rsid w:val="00973074"/>
    <w:rsid w:val="00977539"/>
    <w:rsid w:val="00981AAE"/>
    <w:rsid w:val="0098347B"/>
    <w:rsid w:val="00990EF8"/>
    <w:rsid w:val="0099505F"/>
    <w:rsid w:val="009A32BE"/>
    <w:rsid w:val="009B6502"/>
    <w:rsid w:val="009B6814"/>
    <w:rsid w:val="009B7881"/>
    <w:rsid w:val="009C1029"/>
    <w:rsid w:val="009C4E14"/>
    <w:rsid w:val="009D2B8E"/>
    <w:rsid w:val="009D5E78"/>
    <w:rsid w:val="009E10BA"/>
    <w:rsid w:val="009E1B47"/>
    <w:rsid w:val="009E33CE"/>
    <w:rsid w:val="009E5BA8"/>
    <w:rsid w:val="009F18A8"/>
    <w:rsid w:val="009F3C46"/>
    <w:rsid w:val="009F49E7"/>
    <w:rsid w:val="009F6B0C"/>
    <w:rsid w:val="00A00A2B"/>
    <w:rsid w:val="00A0266C"/>
    <w:rsid w:val="00A02D37"/>
    <w:rsid w:val="00A03923"/>
    <w:rsid w:val="00A059C6"/>
    <w:rsid w:val="00A1068C"/>
    <w:rsid w:val="00A13A72"/>
    <w:rsid w:val="00A148AB"/>
    <w:rsid w:val="00A14B09"/>
    <w:rsid w:val="00A154F3"/>
    <w:rsid w:val="00A203EB"/>
    <w:rsid w:val="00A23D84"/>
    <w:rsid w:val="00A26DBF"/>
    <w:rsid w:val="00A2710D"/>
    <w:rsid w:val="00A3210C"/>
    <w:rsid w:val="00A3291A"/>
    <w:rsid w:val="00A33E0F"/>
    <w:rsid w:val="00A35853"/>
    <w:rsid w:val="00A4076F"/>
    <w:rsid w:val="00A429DD"/>
    <w:rsid w:val="00A45A14"/>
    <w:rsid w:val="00A46C98"/>
    <w:rsid w:val="00A46F87"/>
    <w:rsid w:val="00A50C79"/>
    <w:rsid w:val="00A52AF7"/>
    <w:rsid w:val="00A5395F"/>
    <w:rsid w:val="00A54F76"/>
    <w:rsid w:val="00A56380"/>
    <w:rsid w:val="00A570F2"/>
    <w:rsid w:val="00A57B22"/>
    <w:rsid w:val="00A61AAA"/>
    <w:rsid w:val="00A61CD8"/>
    <w:rsid w:val="00A66684"/>
    <w:rsid w:val="00A67B21"/>
    <w:rsid w:val="00A7258C"/>
    <w:rsid w:val="00A73159"/>
    <w:rsid w:val="00A76B4F"/>
    <w:rsid w:val="00A85BD5"/>
    <w:rsid w:val="00A911CD"/>
    <w:rsid w:val="00A91680"/>
    <w:rsid w:val="00A92381"/>
    <w:rsid w:val="00AA4138"/>
    <w:rsid w:val="00AA6AC2"/>
    <w:rsid w:val="00AB1E64"/>
    <w:rsid w:val="00AB25B8"/>
    <w:rsid w:val="00AB2B3F"/>
    <w:rsid w:val="00AB4A6C"/>
    <w:rsid w:val="00AB6167"/>
    <w:rsid w:val="00AB6DF3"/>
    <w:rsid w:val="00AC1826"/>
    <w:rsid w:val="00AD050B"/>
    <w:rsid w:val="00AD332F"/>
    <w:rsid w:val="00AD42F0"/>
    <w:rsid w:val="00AD65B2"/>
    <w:rsid w:val="00AD6D0A"/>
    <w:rsid w:val="00AD718C"/>
    <w:rsid w:val="00AF1114"/>
    <w:rsid w:val="00AF488F"/>
    <w:rsid w:val="00AF6B74"/>
    <w:rsid w:val="00AF7E1C"/>
    <w:rsid w:val="00B0155D"/>
    <w:rsid w:val="00B07344"/>
    <w:rsid w:val="00B11BC9"/>
    <w:rsid w:val="00B124D7"/>
    <w:rsid w:val="00B1513E"/>
    <w:rsid w:val="00B15663"/>
    <w:rsid w:val="00B15A12"/>
    <w:rsid w:val="00B16840"/>
    <w:rsid w:val="00B16880"/>
    <w:rsid w:val="00B173FB"/>
    <w:rsid w:val="00B177FF"/>
    <w:rsid w:val="00B17A7D"/>
    <w:rsid w:val="00B17D26"/>
    <w:rsid w:val="00B2613E"/>
    <w:rsid w:val="00B31B26"/>
    <w:rsid w:val="00B33652"/>
    <w:rsid w:val="00B448C3"/>
    <w:rsid w:val="00B45798"/>
    <w:rsid w:val="00B45C19"/>
    <w:rsid w:val="00B4602F"/>
    <w:rsid w:val="00B546AD"/>
    <w:rsid w:val="00B54925"/>
    <w:rsid w:val="00B55CD5"/>
    <w:rsid w:val="00B56A4E"/>
    <w:rsid w:val="00B6203F"/>
    <w:rsid w:val="00B714B8"/>
    <w:rsid w:val="00B720DF"/>
    <w:rsid w:val="00B727C7"/>
    <w:rsid w:val="00B8187C"/>
    <w:rsid w:val="00B824E8"/>
    <w:rsid w:val="00B86D70"/>
    <w:rsid w:val="00B8718F"/>
    <w:rsid w:val="00B874FA"/>
    <w:rsid w:val="00B87CE3"/>
    <w:rsid w:val="00B90E44"/>
    <w:rsid w:val="00B93EE1"/>
    <w:rsid w:val="00B94974"/>
    <w:rsid w:val="00B959DD"/>
    <w:rsid w:val="00B97847"/>
    <w:rsid w:val="00BA0F25"/>
    <w:rsid w:val="00BA22C8"/>
    <w:rsid w:val="00BB0995"/>
    <w:rsid w:val="00BB14A2"/>
    <w:rsid w:val="00BB55E8"/>
    <w:rsid w:val="00BC1621"/>
    <w:rsid w:val="00BC16AE"/>
    <w:rsid w:val="00BC5C79"/>
    <w:rsid w:val="00BD0059"/>
    <w:rsid w:val="00BD24E2"/>
    <w:rsid w:val="00BE0B0E"/>
    <w:rsid w:val="00BE0E43"/>
    <w:rsid w:val="00BE469A"/>
    <w:rsid w:val="00BF0592"/>
    <w:rsid w:val="00BF0D6F"/>
    <w:rsid w:val="00BF230B"/>
    <w:rsid w:val="00BF272C"/>
    <w:rsid w:val="00BF5DD9"/>
    <w:rsid w:val="00BF6022"/>
    <w:rsid w:val="00BF72CB"/>
    <w:rsid w:val="00BF74D6"/>
    <w:rsid w:val="00BF77DE"/>
    <w:rsid w:val="00C0468F"/>
    <w:rsid w:val="00C10B4B"/>
    <w:rsid w:val="00C10BCF"/>
    <w:rsid w:val="00C11BC3"/>
    <w:rsid w:val="00C131D0"/>
    <w:rsid w:val="00C1391B"/>
    <w:rsid w:val="00C1485E"/>
    <w:rsid w:val="00C17F21"/>
    <w:rsid w:val="00C206D5"/>
    <w:rsid w:val="00C23739"/>
    <w:rsid w:val="00C253FE"/>
    <w:rsid w:val="00C254BB"/>
    <w:rsid w:val="00C26CD8"/>
    <w:rsid w:val="00C27D84"/>
    <w:rsid w:val="00C300F4"/>
    <w:rsid w:val="00C30FD3"/>
    <w:rsid w:val="00C400EF"/>
    <w:rsid w:val="00C40E05"/>
    <w:rsid w:val="00C508A0"/>
    <w:rsid w:val="00C51166"/>
    <w:rsid w:val="00C51A74"/>
    <w:rsid w:val="00C5260E"/>
    <w:rsid w:val="00C56CB8"/>
    <w:rsid w:val="00C63267"/>
    <w:rsid w:val="00C661E3"/>
    <w:rsid w:val="00C66C97"/>
    <w:rsid w:val="00C66EA9"/>
    <w:rsid w:val="00C723CD"/>
    <w:rsid w:val="00C76896"/>
    <w:rsid w:val="00C76B8B"/>
    <w:rsid w:val="00C83D29"/>
    <w:rsid w:val="00C83E59"/>
    <w:rsid w:val="00C84E3B"/>
    <w:rsid w:val="00C8643C"/>
    <w:rsid w:val="00C87DB5"/>
    <w:rsid w:val="00C87FA4"/>
    <w:rsid w:val="00C91546"/>
    <w:rsid w:val="00C91840"/>
    <w:rsid w:val="00C92898"/>
    <w:rsid w:val="00C93FA4"/>
    <w:rsid w:val="00CA2D25"/>
    <w:rsid w:val="00CC6C33"/>
    <w:rsid w:val="00CD0FFB"/>
    <w:rsid w:val="00CD1123"/>
    <w:rsid w:val="00CD32F8"/>
    <w:rsid w:val="00CE19D1"/>
    <w:rsid w:val="00CF0873"/>
    <w:rsid w:val="00CF2630"/>
    <w:rsid w:val="00CF6BA4"/>
    <w:rsid w:val="00D03028"/>
    <w:rsid w:val="00D03D0A"/>
    <w:rsid w:val="00D05CE1"/>
    <w:rsid w:val="00D07653"/>
    <w:rsid w:val="00D1514D"/>
    <w:rsid w:val="00D2006D"/>
    <w:rsid w:val="00D205F7"/>
    <w:rsid w:val="00D20925"/>
    <w:rsid w:val="00D21466"/>
    <w:rsid w:val="00D2295A"/>
    <w:rsid w:val="00D2300F"/>
    <w:rsid w:val="00D23B04"/>
    <w:rsid w:val="00D253B1"/>
    <w:rsid w:val="00D25CC1"/>
    <w:rsid w:val="00D25DBF"/>
    <w:rsid w:val="00D3347C"/>
    <w:rsid w:val="00D34188"/>
    <w:rsid w:val="00D348BC"/>
    <w:rsid w:val="00D36A4F"/>
    <w:rsid w:val="00D37570"/>
    <w:rsid w:val="00D409AB"/>
    <w:rsid w:val="00D46818"/>
    <w:rsid w:val="00D46DA4"/>
    <w:rsid w:val="00D47ECF"/>
    <w:rsid w:val="00D536DB"/>
    <w:rsid w:val="00D553C5"/>
    <w:rsid w:val="00D60A36"/>
    <w:rsid w:val="00D61695"/>
    <w:rsid w:val="00D70C8B"/>
    <w:rsid w:val="00D73762"/>
    <w:rsid w:val="00D73BA0"/>
    <w:rsid w:val="00D77265"/>
    <w:rsid w:val="00D77C31"/>
    <w:rsid w:val="00D81517"/>
    <w:rsid w:val="00D85E12"/>
    <w:rsid w:val="00D86CFF"/>
    <w:rsid w:val="00D90F89"/>
    <w:rsid w:val="00DA4142"/>
    <w:rsid w:val="00DA4ACF"/>
    <w:rsid w:val="00DA4B83"/>
    <w:rsid w:val="00DA4E5F"/>
    <w:rsid w:val="00DB53D1"/>
    <w:rsid w:val="00DB7308"/>
    <w:rsid w:val="00DC0227"/>
    <w:rsid w:val="00DC1232"/>
    <w:rsid w:val="00DD330B"/>
    <w:rsid w:val="00DD38F6"/>
    <w:rsid w:val="00DD592B"/>
    <w:rsid w:val="00DE31FD"/>
    <w:rsid w:val="00DE3CA8"/>
    <w:rsid w:val="00DE4179"/>
    <w:rsid w:val="00DE5B24"/>
    <w:rsid w:val="00DE64B4"/>
    <w:rsid w:val="00DE6910"/>
    <w:rsid w:val="00DF36DB"/>
    <w:rsid w:val="00E014A4"/>
    <w:rsid w:val="00E01681"/>
    <w:rsid w:val="00E02297"/>
    <w:rsid w:val="00E02561"/>
    <w:rsid w:val="00E06A19"/>
    <w:rsid w:val="00E12C83"/>
    <w:rsid w:val="00E1672A"/>
    <w:rsid w:val="00E244B2"/>
    <w:rsid w:val="00E24579"/>
    <w:rsid w:val="00E26ED0"/>
    <w:rsid w:val="00E301DA"/>
    <w:rsid w:val="00E31138"/>
    <w:rsid w:val="00E31571"/>
    <w:rsid w:val="00E36F5C"/>
    <w:rsid w:val="00E37538"/>
    <w:rsid w:val="00E416E8"/>
    <w:rsid w:val="00E41B6E"/>
    <w:rsid w:val="00E43BCA"/>
    <w:rsid w:val="00E523E6"/>
    <w:rsid w:val="00E60D79"/>
    <w:rsid w:val="00E620ED"/>
    <w:rsid w:val="00E62FBD"/>
    <w:rsid w:val="00E645C3"/>
    <w:rsid w:val="00E7130C"/>
    <w:rsid w:val="00E76C2F"/>
    <w:rsid w:val="00E81BD0"/>
    <w:rsid w:val="00E82901"/>
    <w:rsid w:val="00E84BFE"/>
    <w:rsid w:val="00E87111"/>
    <w:rsid w:val="00E87164"/>
    <w:rsid w:val="00E93DD1"/>
    <w:rsid w:val="00E96525"/>
    <w:rsid w:val="00EA060E"/>
    <w:rsid w:val="00EA14A4"/>
    <w:rsid w:val="00EA410E"/>
    <w:rsid w:val="00EA4470"/>
    <w:rsid w:val="00EB4082"/>
    <w:rsid w:val="00EB5E4A"/>
    <w:rsid w:val="00EB7190"/>
    <w:rsid w:val="00EC0BA7"/>
    <w:rsid w:val="00EC2C72"/>
    <w:rsid w:val="00EC532C"/>
    <w:rsid w:val="00ED4774"/>
    <w:rsid w:val="00ED573B"/>
    <w:rsid w:val="00ED6056"/>
    <w:rsid w:val="00ED63EF"/>
    <w:rsid w:val="00ED6BE2"/>
    <w:rsid w:val="00EE0F57"/>
    <w:rsid w:val="00EE1BE2"/>
    <w:rsid w:val="00EE1F37"/>
    <w:rsid w:val="00EE4B72"/>
    <w:rsid w:val="00EE75D1"/>
    <w:rsid w:val="00EF05D0"/>
    <w:rsid w:val="00EF0F7C"/>
    <w:rsid w:val="00EF3642"/>
    <w:rsid w:val="00EF3786"/>
    <w:rsid w:val="00EF4006"/>
    <w:rsid w:val="00F00207"/>
    <w:rsid w:val="00F00376"/>
    <w:rsid w:val="00F01805"/>
    <w:rsid w:val="00F0558E"/>
    <w:rsid w:val="00F057E8"/>
    <w:rsid w:val="00F0617E"/>
    <w:rsid w:val="00F1065B"/>
    <w:rsid w:val="00F1479B"/>
    <w:rsid w:val="00F2490E"/>
    <w:rsid w:val="00F3381A"/>
    <w:rsid w:val="00F4046F"/>
    <w:rsid w:val="00F4079E"/>
    <w:rsid w:val="00F52A7D"/>
    <w:rsid w:val="00F6032E"/>
    <w:rsid w:val="00F636BA"/>
    <w:rsid w:val="00F64DA1"/>
    <w:rsid w:val="00F655EB"/>
    <w:rsid w:val="00F656A2"/>
    <w:rsid w:val="00F67CCA"/>
    <w:rsid w:val="00F705A2"/>
    <w:rsid w:val="00F7248D"/>
    <w:rsid w:val="00F73746"/>
    <w:rsid w:val="00F7593E"/>
    <w:rsid w:val="00F84983"/>
    <w:rsid w:val="00F84B00"/>
    <w:rsid w:val="00F92D6A"/>
    <w:rsid w:val="00F92DAA"/>
    <w:rsid w:val="00F94CB2"/>
    <w:rsid w:val="00F972D0"/>
    <w:rsid w:val="00FA22D6"/>
    <w:rsid w:val="00FA3656"/>
    <w:rsid w:val="00FA5207"/>
    <w:rsid w:val="00FA5DC8"/>
    <w:rsid w:val="00FA746E"/>
    <w:rsid w:val="00FB0B48"/>
    <w:rsid w:val="00FB1952"/>
    <w:rsid w:val="00FB7719"/>
    <w:rsid w:val="00FC07A2"/>
    <w:rsid w:val="00FC35B0"/>
    <w:rsid w:val="00FC3C8B"/>
    <w:rsid w:val="00FC7D09"/>
    <w:rsid w:val="00FD5524"/>
    <w:rsid w:val="00FD7E5F"/>
    <w:rsid w:val="00FE152A"/>
    <w:rsid w:val="00FE587A"/>
    <w:rsid w:val="00FE783A"/>
    <w:rsid w:val="00FF18F4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7B9A384"/>
  <w15:docId w15:val="{40BEEB53-BDF9-40A4-89D9-CE8BC55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72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tp.niehs.nih.gov/ntp/roc/content/profiles/nicke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hyperlink" Target="http://monographs.iarc.fr/ENG/Monographs/vol100C/mono100C-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C3FF8E-04BB-45E5-AD28-0F010F4D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14253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Barber, Chuck</cp:lastModifiedBy>
  <cp:revision>2</cp:revision>
  <cp:lastPrinted>2015-05-19T11:15:00Z</cp:lastPrinted>
  <dcterms:created xsi:type="dcterms:W3CDTF">2015-05-27T14:33:00Z</dcterms:created>
  <dcterms:modified xsi:type="dcterms:W3CDTF">2015-05-27T14:33:00Z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