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3C906" w14:textId="5B58A103" w:rsidR="00FD5524" w:rsidRPr="00047A22" w:rsidRDefault="00FD5524" w:rsidP="00401628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 w:rsidRPr="00047A22">
        <w:rPr>
          <w:noProof/>
        </w:rPr>
        <w:drawing>
          <wp:anchor distT="0" distB="0" distL="114300" distR="114300" simplePos="0" relativeHeight="251681280" behindDoc="0" locked="0" layoutInCell="1" allowOverlap="1" wp14:anchorId="1BD16176" wp14:editId="4A94A051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7A22">
        <w:rPr>
          <w:rFonts w:eastAsia="Times New Roman"/>
          <w:bCs/>
          <w:sz w:val="24"/>
          <w:szCs w:val="24"/>
        </w:rPr>
        <w:t>Date of Issue:</w:t>
      </w:r>
    </w:p>
    <w:p w14:paraId="4603CAB7" w14:textId="76F7F2FB" w:rsidR="00FD5524" w:rsidRPr="00047A22" w:rsidRDefault="006B034B" w:rsidP="00401628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22</w:t>
      </w:r>
      <w:r w:rsidR="005F4C83">
        <w:rPr>
          <w:rFonts w:eastAsia="Times New Roman"/>
          <w:bCs/>
          <w:sz w:val="24"/>
          <w:szCs w:val="24"/>
        </w:rPr>
        <w:t> </w:t>
      </w:r>
      <w:r w:rsidR="00B8694A">
        <w:rPr>
          <w:rFonts w:eastAsia="Times New Roman"/>
          <w:bCs/>
          <w:sz w:val="24"/>
          <w:szCs w:val="24"/>
        </w:rPr>
        <w:t>June</w:t>
      </w:r>
      <w:r w:rsidR="001F57E7">
        <w:rPr>
          <w:rFonts w:eastAsia="Times New Roman"/>
          <w:bCs/>
          <w:sz w:val="24"/>
          <w:szCs w:val="24"/>
        </w:rPr>
        <w:t> 2015</w:t>
      </w:r>
    </w:p>
    <w:p w14:paraId="1A8498A9" w14:textId="77777777" w:rsidR="00FD5524" w:rsidRPr="00047A22" w:rsidRDefault="00FD5524" w:rsidP="00401628">
      <w:pPr>
        <w:widowControl/>
        <w:ind w:left="2242" w:right="2104"/>
        <w:jc w:val="center"/>
        <w:rPr>
          <w:rFonts w:eastAsia="Times New Roman"/>
          <w:b/>
          <w:bCs/>
          <w:szCs w:val="20"/>
        </w:rPr>
      </w:pPr>
    </w:p>
    <w:p w14:paraId="6BE15E7D" w14:textId="77777777" w:rsidR="00E24579" w:rsidRPr="00047A22" w:rsidRDefault="00BF5DD9" w:rsidP="00CF7B42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047A22">
        <w:rPr>
          <w:rFonts w:eastAsia="Times New Roman"/>
          <w:b/>
          <w:bCs/>
          <w:sz w:val="32"/>
          <w:szCs w:val="32"/>
        </w:rPr>
        <w:t>SAFETY DATA SHEET</w:t>
      </w:r>
    </w:p>
    <w:p w14:paraId="3FF2CC1C" w14:textId="77777777" w:rsidR="00D60A36" w:rsidRPr="00047A22" w:rsidRDefault="00D60A36">
      <w:pPr>
        <w:widowControl/>
        <w:rPr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:rsidRPr="00047A22" w14:paraId="204AE386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608D1AD2" w14:textId="77777777" w:rsidR="00D60A36" w:rsidRPr="00047A22" w:rsidRDefault="00D60A36" w:rsidP="001967DA">
            <w:pPr>
              <w:widowControl/>
              <w:rPr>
                <w:sz w:val="24"/>
                <w:szCs w:val="24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 xml:space="preserve">1. </w:t>
            </w:r>
            <w:r w:rsidRPr="00047A22">
              <w:rPr>
                <w:rFonts w:eastAsia="Times New Roman"/>
                <w:b/>
                <w:bCs/>
                <w:smallCaps/>
                <w:sz w:val="24"/>
                <w:szCs w:val="24"/>
              </w:rPr>
              <w:t>S</w:t>
            </w:r>
            <w:r w:rsidR="00D90F89" w:rsidRPr="00047A22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047A22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74076178" w14:textId="77777777" w:rsidR="00150BAB" w:rsidRPr="00047A22" w:rsidRDefault="007666FB" w:rsidP="00CF7B42">
      <w:pPr>
        <w:widowControl/>
        <w:tabs>
          <w:tab w:val="left" w:pos="5440"/>
        </w:tabs>
        <w:spacing w:before="120"/>
        <w:rPr>
          <w:rFonts w:eastAsia="Times New Roman"/>
          <w:b/>
          <w:bCs/>
        </w:rPr>
      </w:pPr>
      <w:r w:rsidRPr="00047A22">
        <w:rPr>
          <w:rFonts w:eastAsia="Times New Roman"/>
          <w:b/>
          <w:bCs/>
          <w:szCs w:val="20"/>
        </w:rPr>
        <w:t>P</w:t>
      </w:r>
      <w:r w:rsidR="00150BAB" w:rsidRPr="00047A22">
        <w:rPr>
          <w:rFonts w:eastAsia="Times New Roman"/>
          <w:b/>
          <w:bCs/>
          <w:szCs w:val="20"/>
        </w:rPr>
        <w:t xml:space="preserve">roduct </w:t>
      </w:r>
      <w:r w:rsidR="00B124D7" w:rsidRPr="00047A22">
        <w:rPr>
          <w:rFonts w:eastAsia="Times New Roman"/>
          <w:b/>
          <w:bCs/>
          <w:szCs w:val="20"/>
        </w:rPr>
        <w:t>Identifier</w:t>
      </w:r>
    </w:p>
    <w:p w14:paraId="5A3337F8" w14:textId="27F59C17" w:rsidR="00150BAB" w:rsidRPr="00047A22" w:rsidRDefault="00235963" w:rsidP="001967DA">
      <w:pPr>
        <w:pStyle w:val="ListParagraph"/>
        <w:widowControl/>
        <w:tabs>
          <w:tab w:val="left" w:pos="1890"/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</w:t>
      </w:r>
      <w:r w:rsidR="00150BAB" w:rsidRPr="00047A22">
        <w:rPr>
          <w:rFonts w:eastAsia="Times New Roman"/>
          <w:b/>
          <w:bCs/>
          <w:szCs w:val="20"/>
        </w:rPr>
        <w:t>RM Number:</w:t>
      </w:r>
      <w:r w:rsidR="00FC7D09" w:rsidRPr="00047A22">
        <w:rPr>
          <w:rFonts w:eastAsia="Times New Roman"/>
          <w:b/>
          <w:bCs/>
          <w:szCs w:val="20"/>
        </w:rPr>
        <w:tab/>
      </w:r>
      <w:r w:rsidR="002A669F">
        <w:rPr>
          <w:bCs/>
          <w:szCs w:val="20"/>
        </w:rPr>
        <w:t>925</w:t>
      </w:r>
    </w:p>
    <w:p w14:paraId="79F71D33" w14:textId="28BF6C21" w:rsidR="00150BAB" w:rsidRPr="00047A22" w:rsidRDefault="00235963" w:rsidP="001967DA">
      <w:pPr>
        <w:pStyle w:val="ListParagraph"/>
        <w:widowControl/>
        <w:tabs>
          <w:tab w:val="left" w:pos="1890"/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</w:t>
      </w:r>
      <w:r w:rsidR="00150BAB" w:rsidRPr="00047A22">
        <w:rPr>
          <w:rFonts w:eastAsia="Times New Roman"/>
          <w:b/>
          <w:bCs/>
          <w:szCs w:val="20"/>
        </w:rPr>
        <w:t>RM Name:</w:t>
      </w:r>
      <w:r w:rsidR="00FC7D09" w:rsidRPr="00047A22">
        <w:rPr>
          <w:rFonts w:eastAsia="Times New Roman"/>
          <w:b/>
          <w:bCs/>
          <w:szCs w:val="20"/>
        </w:rPr>
        <w:tab/>
      </w:r>
      <w:r w:rsidR="002A669F" w:rsidRPr="00726A9B">
        <w:rPr>
          <w:rFonts w:eastAsia="Times New Roman"/>
          <w:bCs/>
          <w:szCs w:val="20"/>
        </w:rPr>
        <w:t>4-Hydroxy-3-methoxy-DL-</w:t>
      </w:r>
      <w:r w:rsidR="002A669F" w:rsidRPr="002A669F">
        <w:rPr>
          <w:rFonts w:eastAsia="Times New Roman"/>
          <w:bCs/>
          <w:szCs w:val="20"/>
        </w:rPr>
        <w:t>mandelic Acid (VMA)</w:t>
      </w:r>
    </w:p>
    <w:p w14:paraId="18283440" w14:textId="5FBD7E1B" w:rsidR="00FD5524" w:rsidRPr="00047A22" w:rsidRDefault="00FD5524" w:rsidP="001967DA">
      <w:pPr>
        <w:pStyle w:val="ListParagraph"/>
        <w:widowControl/>
        <w:tabs>
          <w:tab w:val="left" w:pos="1890"/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Other Means of Identification:</w:t>
      </w:r>
      <w:r w:rsidRPr="00047A22">
        <w:rPr>
          <w:rFonts w:eastAsia="Times New Roman"/>
          <w:bCs/>
          <w:szCs w:val="20"/>
        </w:rPr>
        <w:t xml:space="preserve">  Not </w:t>
      </w:r>
      <w:r w:rsidR="009F49E7" w:rsidRPr="00047A22">
        <w:rPr>
          <w:rFonts w:eastAsia="Times New Roman"/>
          <w:bCs/>
          <w:szCs w:val="20"/>
        </w:rPr>
        <w:t>applicable</w:t>
      </w:r>
      <w:r w:rsidRPr="00047A22">
        <w:rPr>
          <w:rFonts w:eastAsia="Times New Roman"/>
          <w:bCs/>
          <w:szCs w:val="20"/>
        </w:rPr>
        <w:t>.</w:t>
      </w:r>
    </w:p>
    <w:p w14:paraId="59694581" w14:textId="77777777" w:rsidR="00150BAB" w:rsidRPr="00047A22" w:rsidRDefault="00150BAB" w:rsidP="00CF7B42">
      <w:pPr>
        <w:widowControl/>
        <w:tabs>
          <w:tab w:val="left" w:pos="5440"/>
        </w:tabs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Recommended </w:t>
      </w:r>
      <w:r w:rsidR="00B54925" w:rsidRPr="00047A22">
        <w:rPr>
          <w:rFonts w:eastAsia="Times New Roman"/>
          <w:b/>
          <w:bCs/>
          <w:szCs w:val="20"/>
        </w:rPr>
        <w:t xml:space="preserve">Use </w:t>
      </w:r>
      <w:r w:rsidR="00BB0995" w:rsidRPr="00047A22">
        <w:rPr>
          <w:rFonts w:eastAsia="Times New Roman"/>
          <w:b/>
          <w:bCs/>
          <w:szCs w:val="20"/>
        </w:rPr>
        <w:t xml:space="preserve">of </w:t>
      </w:r>
      <w:r w:rsidR="00B54925" w:rsidRPr="00047A22">
        <w:rPr>
          <w:rFonts w:eastAsia="Times New Roman"/>
          <w:b/>
          <w:bCs/>
          <w:szCs w:val="20"/>
        </w:rPr>
        <w:t>T</w:t>
      </w:r>
      <w:r w:rsidR="00BB0995" w:rsidRPr="00047A22">
        <w:rPr>
          <w:rFonts w:eastAsia="Times New Roman"/>
          <w:b/>
          <w:bCs/>
          <w:szCs w:val="20"/>
        </w:rPr>
        <w:t xml:space="preserve">his </w:t>
      </w:r>
      <w:r w:rsidR="00B54925" w:rsidRPr="00047A22">
        <w:rPr>
          <w:rFonts w:eastAsia="Times New Roman"/>
          <w:b/>
          <w:bCs/>
          <w:szCs w:val="20"/>
        </w:rPr>
        <w:t>M</w:t>
      </w:r>
      <w:r w:rsidR="00BB0995" w:rsidRPr="00047A22">
        <w:rPr>
          <w:rFonts w:eastAsia="Times New Roman"/>
          <w:b/>
          <w:bCs/>
          <w:szCs w:val="20"/>
        </w:rPr>
        <w:t xml:space="preserve">aterial and </w:t>
      </w:r>
      <w:r w:rsidR="00B54925" w:rsidRPr="00047A22">
        <w:rPr>
          <w:rFonts w:eastAsia="Times New Roman"/>
          <w:b/>
          <w:bCs/>
          <w:szCs w:val="20"/>
        </w:rPr>
        <w:t>R</w:t>
      </w:r>
      <w:r w:rsidR="00BB0995" w:rsidRPr="00047A22">
        <w:rPr>
          <w:rFonts w:eastAsia="Times New Roman"/>
          <w:b/>
          <w:bCs/>
          <w:szCs w:val="20"/>
        </w:rPr>
        <w:t xml:space="preserve">estrictions of </w:t>
      </w:r>
      <w:r w:rsidR="00B54925" w:rsidRPr="00047A22">
        <w:rPr>
          <w:rFonts w:eastAsia="Times New Roman"/>
          <w:b/>
          <w:bCs/>
          <w:szCs w:val="20"/>
        </w:rPr>
        <w:t>U</w:t>
      </w:r>
      <w:r w:rsidR="00BB0995" w:rsidRPr="00047A22">
        <w:rPr>
          <w:rFonts w:eastAsia="Times New Roman"/>
          <w:b/>
          <w:bCs/>
          <w:szCs w:val="20"/>
        </w:rPr>
        <w:t>se</w:t>
      </w:r>
    </w:p>
    <w:p w14:paraId="369C3FEE" w14:textId="62BCC809" w:rsidR="00150BAB" w:rsidRPr="002B090B" w:rsidRDefault="006E6BEA" w:rsidP="001967DA">
      <w:pPr>
        <w:widowControl/>
        <w:ind w:left="360"/>
        <w:rPr>
          <w:spacing w:val="-2"/>
          <w:kern w:val="2"/>
        </w:rPr>
      </w:pPr>
      <w:r w:rsidRPr="006E6BEA">
        <w:t>This Standard Reference Material</w:t>
      </w:r>
      <w:r w:rsidR="008A05DA">
        <w:t> </w:t>
      </w:r>
      <w:r w:rsidRPr="006E6BEA">
        <w:t xml:space="preserve">(SRM) </w:t>
      </w:r>
      <w:r w:rsidR="002A669F">
        <w:t xml:space="preserve">is </w:t>
      </w:r>
      <w:r w:rsidRPr="006E6BEA">
        <w:t xml:space="preserve">intended primarily for use in </w:t>
      </w:r>
      <w:r w:rsidR="002A669F">
        <w:t xml:space="preserve">the </w:t>
      </w:r>
      <w:r w:rsidRPr="006E6BEA">
        <w:t xml:space="preserve">calibration and </w:t>
      </w:r>
      <w:r w:rsidR="002A669F">
        <w:t>standardization of procedures employed in clinical analysis and for routine critical evaluation of daily working standards</w:t>
      </w:r>
      <w:r w:rsidR="004A17FF">
        <w:t xml:space="preserve"> and </w:t>
      </w:r>
      <w:r w:rsidR="004A17FF" w:rsidRPr="006E6BEA">
        <w:t xml:space="preserve">is </w:t>
      </w:r>
      <w:r w:rsidR="004A17FF">
        <w:t>certified as a chemical of known purity.</w:t>
      </w:r>
      <w:r w:rsidR="002A669F">
        <w:t xml:space="preserve">  </w:t>
      </w:r>
      <w:r w:rsidR="00726A9B">
        <w:t>A</w:t>
      </w:r>
      <w:r w:rsidRPr="006E6BEA">
        <w:t xml:space="preserve"> unit of SRM</w:t>
      </w:r>
      <w:r w:rsidR="008A05DA">
        <w:t> </w:t>
      </w:r>
      <w:r w:rsidR="002A669F">
        <w:t>925</w:t>
      </w:r>
      <w:r w:rsidRPr="006E6BEA">
        <w:t xml:space="preserve"> consists of approximately </w:t>
      </w:r>
      <w:r w:rsidR="00726A9B">
        <w:t>1</w:t>
      </w:r>
      <w:r w:rsidR="008A05DA">
        <w:t> </w:t>
      </w:r>
      <w:r w:rsidRPr="006E6BEA">
        <w:t>g of powder.</w:t>
      </w:r>
    </w:p>
    <w:p w14:paraId="234D4DAD" w14:textId="77777777" w:rsidR="00F6032E" w:rsidRPr="00047A22" w:rsidRDefault="00F6032E" w:rsidP="00CF7B42">
      <w:pPr>
        <w:widowControl/>
        <w:spacing w:before="120"/>
      </w:pPr>
      <w:r w:rsidRPr="00047A22"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047A22" w14:paraId="57E842C2" w14:textId="77777777" w:rsidTr="002F28B5">
        <w:tc>
          <w:tcPr>
            <w:tcW w:w="4590" w:type="dxa"/>
          </w:tcPr>
          <w:p w14:paraId="67A9B2DF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4400AB9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7825CDB8" w14:textId="77777777" w:rsidTr="002F28B5">
        <w:tc>
          <w:tcPr>
            <w:tcW w:w="4590" w:type="dxa"/>
          </w:tcPr>
          <w:p w14:paraId="0455E785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6E9F8107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06C12243" w14:textId="77777777" w:rsidTr="002F28B5">
        <w:tc>
          <w:tcPr>
            <w:tcW w:w="4590" w:type="dxa"/>
          </w:tcPr>
          <w:p w14:paraId="5D520680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2ED043AD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58636C68" w14:textId="77777777" w:rsidTr="002F28B5">
        <w:tc>
          <w:tcPr>
            <w:tcW w:w="4590" w:type="dxa"/>
          </w:tcPr>
          <w:p w14:paraId="3A4C12B9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13770765" w14:textId="77777777" w:rsidR="00F6032E" w:rsidRPr="00047A22" w:rsidRDefault="00F6032E" w:rsidP="001967DA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3D2FB7EE" w14:textId="77777777" w:rsidTr="002F28B5">
        <w:tc>
          <w:tcPr>
            <w:tcW w:w="4590" w:type="dxa"/>
          </w:tcPr>
          <w:p w14:paraId="7942ACE4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0DEFA23D" w14:textId="77777777" w:rsidR="00F6032E" w:rsidRPr="00047A22" w:rsidRDefault="00F6032E" w:rsidP="001967DA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6D465CD0" w14:textId="77777777" w:rsidTr="002F28B5">
        <w:tc>
          <w:tcPr>
            <w:tcW w:w="4590" w:type="dxa"/>
          </w:tcPr>
          <w:p w14:paraId="6AB00105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7D241BAB" w14:textId="77777777" w:rsidR="00F6032E" w:rsidRPr="00047A22" w:rsidRDefault="00F6032E" w:rsidP="001967DA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 xml:space="preserve">Emergency Telephone </w:t>
            </w:r>
            <w:proofErr w:type="spellStart"/>
            <w:r w:rsidRPr="00047A22">
              <w:rPr>
                <w:rFonts w:eastAsia="Times New Roman"/>
                <w:szCs w:val="20"/>
              </w:rPr>
              <w:t>ChemTrec</w:t>
            </w:r>
            <w:proofErr w:type="spellEnd"/>
            <w:r w:rsidRPr="00047A22">
              <w:rPr>
                <w:rFonts w:eastAsia="Times New Roman"/>
                <w:szCs w:val="20"/>
              </w:rPr>
              <w:t>:</w:t>
            </w:r>
          </w:p>
        </w:tc>
      </w:tr>
      <w:tr w:rsidR="00F6032E" w:rsidRPr="00047A22" w14:paraId="7650BE01" w14:textId="77777777" w:rsidTr="002F28B5">
        <w:tc>
          <w:tcPr>
            <w:tcW w:w="4590" w:type="dxa"/>
          </w:tcPr>
          <w:p w14:paraId="3F6394C5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6A4F111F" w14:textId="77777777" w:rsidR="00F6032E" w:rsidRPr="00047A22" w:rsidRDefault="00F6032E" w:rsidP="001967DA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ab/>
              <w:t>1-800-424-9300</w:t>
            </w:r>
            <w:r w:rsidRPr="00047A22">
              <w:rPr>
                <w:rFonts w:eastAsia="Times New Roman"/>
                <w:szCs w:val="20"/>
              </w:rPr>
              <w:tab/>
              <w:t>(North America)</w:t>
            </w:r>
          </w:p>
        </w:tc>
      </w:tr>
      <w:tr w:rsidR="00F6032E" w:rsidRPr="00047A22" w14:paraId="51E4A870" w14:textId="77777777" w:rsidTr="002F28B5">
        <w:tc>
          <w:tcPr>
            <w:tcW w:w="4590" w:type="dxa"/>
          </w:tcPr>
          <w:p w14:paraId="12963436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Pr="00047A22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275DBB3C" w14:textId="77777777" w:rsidR="00F6032E" w:rsidRPr="00047A22" w:rsidRDefault="00F6032E" w:rsidP="001967DA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ab/>
              <w:t>+1-703-527-3887</w:t>
            </w:r>
            <w:r w:rsidRPr="00047A22">
              <w:rPr>
                <w:rFonts w:eastAsia="Times New Roman"/>
                <w:szCs w:val="20"/>
              </w:rPr>
              <w:tab/>
              <w:t>(International)</w:t>
            </w:r>
          </w:p>
        </w:tc>
      </w:tr>
      <w:tr w:rsidR="00F6032E" w:rsidRPr="00047A22" w14:paraId="560B3311" w14:textId="77777777" w:rsidTr="002F28B5">
        <w:tc>
          <w:tcPr>
            <w:tcW w:w="4590" w:type="dxa"/>
          </w:tcPr>
          <w:p w14:paraId="4C1EC101" w14:textId="77777777" w:rsidR="00F6032E" w:rsidRPr="00047A22" w:rsidRDefault="00F6032E" w:rsidP="001967DA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58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Pr="00047A22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52DF27EB" w14:textId="77777777" w:rsidR="00F6032E" w:rsidRPr="00047A22" w:rsidRDefault="00F6032E" w:rsidP="001967DA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4B9B81D3" w14:textId="77777777" w:rsidR="00E351D1" w:rsidRPr="00E351D1" w:rsidRDefault="00E351D1" w:rsidP="00CF7B42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:rsidRPr="00047A22" w14:paraId="1CD63A9D" w14:textId="77777777" w:rsidTr="001C652C">
        <w:trPr>
          <w:trHeight w:hRule="exact" w:val="360"/>
        </w:trPr>
        <w:tc>
          <w:tcPr>
            <w:tcW w:w="9360" w:type="dxa"/>
            <w:vAlign w:val="center"/>
          </w:tcPr>
          <w:p w14:paraId="06B30512" w14:textId="77777777" w:rsidR="002B22C8" w:rsidRPr="00047A22" w:rsidRDefault="002B22C8" w:rsidP="001967DA">
            <w:pPr>
              <w:widowControl/>
              <w:rPr>
                <w:sz w:val="13"/>
                <w:szCs w:val="13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2. H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AZARDS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DENTIFICATION</w:t>
            </w:r>
          </w:p>
        </w:tc>
      </w:tr>
    </w:tbl>
    <w:p w14:paraId="14473269" w14:textId="77777777" w:rsidR="00401628" w:rsidRPr="00455695" w:rsidRDefault="00401628" w:rsidP="00CF7B42">
      <w:pPr>
        <w:widowControl/>
        <w:spacing w:before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Classification</w:t>
      </w:r>
      <w:r w:rsidRPr="00455695">
        <w:rPr>
          <w:rFonts w:eastAsia="Times New Roman"/>
          <w:bCs/>
          <w:szCs w:val="20"/>
        </w:rPr>
        <w:t xml:space="preserve"> </w:t>
      </w:r>
    </w:p>
    <w:p w14:paraId="0A65A84F" w14:textId="77777777" w:rsidR="00401628" w:rsidRPr="005550E0" w:rsidRDefault="00401628">
      <w:pPr>
        <w:widowControl/>
        <w:tabs>
          <w:tab w:val="left" w:pos="2250"/>
          <w:tab w:val="left" w:pos="5310"/>
        </w:tabs>
        <w:ind w:left="360"/>
        <w:rPr>
          <w:rFonts w:eastAsia="Times New Roman"/>
          <w:bCs/>
          <w:szCs w:val="20"/>
        </w:rPr>
      </w:pPr>
      <w:r w:rsidRPr="005550E0">
        <w:rPr>
          <w:rFonts w:eastAsia="Times New Roman"/>
          <w:b/>
          <w:bCs/>
          <w:szCs w:val="20"/>
        </w:rPr>
        <w:t>Physical Hazard:</w:t>
      </w:r>
      <w:r w:rsidRPr="005550E0">
        <w:rPr>
          <w:rFonts w:eastAsia="Times New Roman"/>
          <w:bCs/>
          <w:szCs w:val="20"/>
        </w:rPr>
        <w:tab/>
      </w:r>
      <w:r>
        <w:rPr>
          <w:rFonts w:eastAsia="Times New Roman"/>
          <w:bCs/>
          <w:szCs w:val="20"/>
        </w:rPr>
        <w:t>Not classified.</w:t>
      </w:r>
    </w:p>
    <w:p w14:paraId="66900077" w14:textId="7F52F8DA" w:rsidR="00784675" w:rsidRDefault="00401628" w:rsidP="004E1F4D">
      <w:pPr>
        <w:widowControl/>
        <w:tabs>
          <w:tab w:val="left" w:pos="2250"/>
          <w:tab w:val="left" w:pos="4950"/>
        </w:tabs>
        <w:ind w:left="360"/>
        <w:rPr>
          <w:rFonts w:eastAsia="Times New Roman"/>
          <w:bCs/>
          <w:szCs w:val="20"/>
        </w:rPr>
      </w:pPr>
      <w:r w:rsidRPr="005550E0">
        <w:rPr>
          <w:rFonts w:eastAsia="Times New Roman"/>
          <w:b/>
          <w:bCs/>
          <w:szCs w:val="20"/>
        </w:rPr>
        <w:t>Health Hazard:</w:t>
      </w:r>
      <w:r w:rsidRPr="005550E0">
        <w:rPr>
          <w:rFonts w:eastAsia="Times New Roman"/>
          <w:bCs/>
          <w:szCs w:val="20"/>
        </w:rPr>
        <w:tab/>
      </w:r>
      <w:r w:rsidR="00784675">
        <w:rPr>
          <w:rFonts w:eastAsia="Times New Roman"/>
          <w:bCs/>
          <w:szCs w:val="20"/>
        </w:rPr>
        <w:t xml:space="preserve">Skin </w:t>
      </w:r>
      <w:r w:rsidR="004E1F4D" w:rsidRPr="004E1F4D">
        <w:rPr>
          <w:rFonts w:eastAsia="Times New Roman"/>
          <w:bCs/>
          <w:szCs w:val="20"/>
        </w:rPr>
        <w:t>Corrosion/Irritation</w:t>
      </w:r>
      <w:r w:rsidR="00784675">
        <w:rPr>
          <w:rFonts w:eastAsia="Times New Roman"/>
          <w:bCs/>
          <w:szCs w:val="20"/>
        </w:rPr>
        <w:tab/>
        <w:t>Category 2</w:t>
      </w:r>
    </w:p>
    <w:p w14:paraId="022043F8" w14:textId="02BC7888" w:rsidR="00784675" w:rsidRDefault="00784675" w:rsidP="004E1F4D">
      <w:pPr>
        <w:widowControl/>
        <w:tabs>
          <w:tab w:val="left" w:pos="2250"/>
          <w:tab w:val="left" w:pos="495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4E1F4D" w:rsidRPr="005F4C83">
        <w:rPr>
          <w:rFonts w:eastAsia="Times New Roman"/>
          <w:bCs/>
          <w:szCs w:val="20"/>
        </w:rPr>
        <w:t>Serious Eye Damage/Irritation</w:t>
      </w:r>
      <w:r w:rsidR="004E1F4D" w:rsidRPr="005F4C83" w:rsidDel="004E1F4D">
        <w:rPr>
          <w:rFonts w:eastAsia="Times New Roman"/>
          <w:bCs/>
          <w:szCs w:val="20"/>
        </w:rPr>
        <w:t xml:space="preserve"> </w:t>
      </w:r>
      <w:r>
        <w:rPr>
          <w:rFonts w:eastAsia="Times New Roman"/>
          <w:bCs/>
          <w:szCs w:val="20"/>
        </w:rPr>
        <w:tab/>
        <w:t>Category 2A</w:t>
      </w:r>
    </w:p>
    <w:p w14:paraId="78F6A115" w14:textId="1368A385" w:rsidR="00401628" w:rsidRPr="00015F8E" w:rsidRDefault="00784675" w:rsidP="004E1F4D">
      <w:pPr>
        <w:widowControl/>
        <w:tabs>
          <w:tab w:val="left" w:pos="2250"/>
          <w:tab w:val="left" w:pos="495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ab/>
        <w:t>STOT, Single Exposure</w:t>
      </w:r>
      <w:r>
        <w:rPr>
          <w:rFonts w:eastAsia="Times New Roman"/>
          <w:bCs/>
          <w:szCs w:val="20"/>
        </w:rPr>
        <w:tab/>
        <w:t>Category 3</w:t>
      </w:r>
    </w:p>
    <w:p w14:paraId="288EA049" w14:textId="77777777" w:rsidR="00401628" w:rsidRPr="002F3DB6" w:rsidRDefault="00401628">
      <w:pPr>
        <w:widowControl/>
        <w:tabs>
          <w:tab w:val="left" w:pos="1890"/>
          <w:tab w:val="left" w:pos="6120"/>
        </w:tabs>
        <w:ind w:left="360"/>
        <w:rPr>
          <w:rFonts w:eastAsia="Times New Roman"/>
          <w:bCs/>
          <w:szCs w:val="20"/>
        </w:rPr>
      </w:pPr>
    </w:p>
    <w:p w14:paraId="02A7DB87" w14:textId="77777777" w:rsidR="00401628" w:rsidRPr="00015F8E" w:rsidRDefault="00401628" w:rsidP="006C1AA9">
      <w:pPr>
        <w:widowControl/>
        <w:tabs>
          <w:tab w:val="left" w:pos="1890"/>
          <w:tab w:val="left" w:pos="6120"/>
        </w:tabs>
        <w:ind w:left="360"/>
        <w:rPr>
          <w:rFonts w:eastAsia="Times New Roman"/>
          <w:b/>
          <w:bCs/>
          <w:szCs w:val="20"/>
        </w:rPr>
      </w:pPr>
      <w:r w:rsidRPr="00015F8E">
        <w:rPr>
          <w:rFonts w:eastAsia="Times New Roman"/>
          <w:b/>
          <w:bCs/>
          <w:szCs w:val="20"/>
        </w:rPr>
        <w:t>Label Elements</w:t>
      </w:r>
    </w:p>
    <w:p w14:paraId="7C9D76B2" w14:textId="35729CB2" w:rsidR="00401628" w:rsidRDefault="00401628" w:rsidP="006C1AA9">
      <w:pPr>
        <w:widowControl/>
        <w:tabs>
          <w:tab w:val="left" w:pos="2740"/>
          <w:tab w:val="left" w:pos="4540"/>
          <w:tab w:val="left" w:pos="6340"/>
        </w:tabs>
        <w:ind w:left="360"/>
        <w:rPr>
          <w:rFonts w:eastAsia="Times New Roman"/>
          <w:bCs/>
          <w:szCs w:val="20"/>
        </w:rPr>
      </w:pPr>
      <w:r w:rsidRPr="00015F8E">
        <w:rPr>
          <w:rFonts w:eastAsia="Times New Roman"/>
          <w:b/>
          <w:bCs/>
          <w:szCs w:val="20"/>
        </w:rPr>
        <w:t>Symbol</w:t>
      </w:r>
      <w:r w:rsidRPr="00DD592B">
        <w:rPr>
          <w:rFonts w:eastAsia="Times New Roman"/>
          <w:b/>
          <w:bCs/>
          <w:szCs w:val="20"/>
        </w:rPr>
        <w:t>:</w:t>
      </w:r>
      <w:r w:rsidRPr="00DD592B">
        <w:rPr>
          <w:rFonts w:eastAsia="Times New Roman"/>
          <w:bCs/>
          <w:szCs w:val="20"/>
        </w:rPr>
        <w:t xml:space="preserve">  </w:t>
      </w:r>
    </w:p>
    <w:p w14:paraId="0C112191" w14:textId="11FDEA1A" w:rsidR="00784675" w:rsidRPr="00784675" w:rsidRDefault="00784675" w:rsidP="006C1AA9">
      <w:pPr>
        <w:widowControl/>
        <w:tabs>
          <w:tab w:val="left" w:pos="2740"/>
          <w:tab w:val="left" w:pos="4540"/>
          <w:tab w:val="left" w:pos="6340"/>
        </w:tabs>
        <w:ind w:left="360"/>
        <w:rPr>
          <w:rFonts w:eastAsia="Times New Roman"/>
          <w:bCs/>
          <w:szCs w:val="20"/>
        </w:rPr>
      </w:pPr>
      <w:r w:rsidRPr="00A85A37">
        <w:rPr>
          <w:noProof/>
        </w:rPr>
        <w:drawing>
          <wp:inline distT="0" distB="0" distL="0" distR="0" wp14:anchorId="394FE01F" wp14:editId="37E1FCD3">
            <wp:extent cx="678260" cy="677318"/>
            <wp:effectExtent l="0" t="0" r="7620" b="8890"/>
            <wp:docPr id="2" name="Picture 4" descr="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am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4" cy="6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94C2" w14:textId="0A30BF2C" w:rsidR="00401628" w:rsidRDefault="00401628" w:rsidP="006C1AA9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bCs/>
          <w:szCs w:val="20"/>
        </w:rPr>
      </w:pPr>
      <w:r w:rsidRPr="00015F8E">
        <w:rPr>
          <w:rFonts w:eastAsia="Times New Roman"/>
          <w:b/>
          <w:bCs/>
          <w:szCs w:val="20"/>
        </w:rPr>
        <w:t>Signal Word</w:t>
      </w:r>
      <w:r>
        <w:rPr>
          <w:rFonts w:eastAsia="Times New Roman"/>
          <w:b/>
          <w:bCs/>
          <w:szCs w:val="20"/>
        </w:rPr>
        <w:t>:</w:t>
      </w:r>
    </w:p>
    <w:p w14:paraId="0D40372E" w14:textId="7391A863" w:rsidR="00784675" w:rsidRPr="002F3DB6" w:rsidRDefault="00784675" w:rsidP="006C1AA9">
      <w:pPr>
        <w:widowControl/>
        <w:tabs>
          <w:tab w:val="left" w:pos="2740"/>
          <w:tab w:val="left" w:pos="4540"/>
          <w:tab w:val="left" w:pos="6340"/>
        </w:tabs>
        <w:ind w:left="360"/>
        <w:rPr>
          <w:bCs/>
          <w:i/>
          <w:szCs w:val="20"/>
        </w:rPr>
      </w:pPr>
      <w:r>
        <w:rPr>
          <w:bCs/>
          <w:szCs w:val="20"/>
        </w:rPr>
        <w:t>WARNING</w:t>
      </w:r>
    </w:p>
    <w:p w14:paraId="614A6AB2" w14:textId="167E2523" w:rsidR="00784675" w:rsidRDefault="00401628" w:rsidP="004E1F4D">
      <w:pPr>
        <w:widowControl/>
        <w:tabs>
          <w:tab w:val="left" w:pos="1620"/>
        </w:tabs>
        <w:spacing w:before="120"/>
        <w:ind w:left="360"/>
        <w:rPr>
          <w:rFonts w:eastAsia="Times New Roman"/>
          <w:bCs/>
          <w:szCs w:val="20"/>
        </w:rPr>
      </w:pPr>
      <w:r w:rsidRPr="00015F8E">
        <w:rPr>
          <w:rFonts w:eastAsia="Times New Roman"/>
          <w:b/>
          <w:bCs/>
          <w:szCs w:val="20"/>
        </w:rPr>
        <w:t>Hazard Statement(s)</w:t>
      </w:r>
      <w:r>
        <w:rPr>
          <w:rFonts w:eastAsia="Times New Roman"/>
          <w:b/>
          <w:bCs/>
          <w:szCs w:val="20"/>
        </w:rPr>
        <w:t>:</w:t>
      </w:r>
      <w:r w:rsidRPr="00F3381A">
        <w:rPr>
          <w:rFonts w:eastAsia="Times New Roman"/>
          <w:bCs/>
          <w:szCs w:val="20"/>
        </w:rPr>
        <w:t xml:space="preserve">  </w:t>
      </w:r>
    </w:p>
    <w:p w14:paraId="532551A5" w14:textId="0C81F811" w:rsidR="00A63E3E" w:rsidRDefault="00A63E3E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H315</w:t>
      </w:r>
      <w:r>
        <w:rPr>
          <w:rFonts w:eastAsia="Times New Roman"/>
          <w:bCs/>
          <w:szCs w:val="20"/>
        </w:rPr>
        <w:tab/>
        <w:t>Causes skin irritation.</w:t>
      </w:r>
    </w:p>
    <w:p w14:paraId="7F5ABE40" w14:textId="4F582EDB" w:rsidR="00401628" w:rsidRDefault="00A63E3E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H319</w:t>
      </w:r>
      <w:r>
        <w:rPr>
          <w:rFonts w:eastAsia="Times New Roman"/>
          <w:bCs/>
          <w:szCs w:val="20"/>
        </w:rPr>
        <w:tab/>
        <w:t>Causes serious eye irritation</w:t>
      </w:r>
      <w:r w:rsidR="00401628" w:rsidRPr="00F3381A">
        <w:rPr>
          <w:rFonts w:eastAsia="Times New Roman"/>
          <w:bCs/>
          <w:szCs w:val="20"/>
        </w:rPr>
        <w:t>.</w:t>
      </w:r>
    </w:p>
    <w:p w14:paraId="050A57BC" w14:textId="78D48868" w:rsidR="00A63E3E" w:rsidRPr="00A203EB" w:rsidRDefault="00A63E3E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H335</w:t>
      </w:r>
      <w:r>
        <w:rPr>
          <w:rFonts w:eastAsia="Times New Roman"/>
          <w:bCs/>
          <w:szCs w:val="20"/>
        </w:rPr>
        <w:tab/>
        <w:t>May cause respiratory irritation.</w:t>
      </w:r>
    </w:p>
    <w:p w14:paraId="54D17273" w14:textId="77777777" w:rsidR="00784675" w:rsidRDefault="00401628" w:rsidP="00DA13B8">
      <w:pPr>
        <w:widowControl/>
        <w:tabs>
          <w:tab w:val="left" w:pos="1980"/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015F8E">
        <w:rPr>
          <w:rFonts w:eastAsia="Times New Roman"/>
          <w:b/>
          <w:bCs/>
          <w:szCs w:val="20"/>
        </w:rPr>
        <w:t>Precautionary Statement(s)</w:t>
      </w:r>
      <w:r>
        <w:rPr>
          <w:rFonts w:eastAsia="Times New Roman"/>
          <w:b/>
          <w:bCs/>
          <w:szCs w:val="20"/>
        </w:rPr>
        <w:t>:</w:t>
      </w:r>
    </w:p>
    <w:p w14:paraId="61AB19CF" w14:textId="460F1245" w:rsidR="00784675" w:rsidRPr="00784675" w:rsidRDefault="004E1F4D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 w:rsidRPr="00784675">
        <w:rPr>
          <w:rFonts w:eastAsia="Times New Roman"/>
          <w:bCs/>
          <w:szCs w:val="20"/>
        </w:rPr>
        <w:t>P26</w:t>
      </w:r>
      <w:r>
        <w:rPr>
          <w:rFonts w:eastAsia="Times New Roman"/>
          <w:bCs/>
          <w:szCs w:val="20"/>
        </w:rPr>
        <w:t>1</w:t>
      </w:r>
      <w:r w:rsidR="00784675" w:rsidRPr="00784675">
        <w:rPr>
          <w:rFonts w:eastAsia="Times New Roman"/>
          <w:bCs/>
          <w:szCs w:val="20"/>
        </w:rPr>
        <w:tab/>
      </w:r>
      <w:r w:rsidR="00D7120B">
        <w:rPr>
          <w:rFonts w:eastAsia="Times New Roman"/>
          <w:bCs/>
          <w:szCs w:val="20"/>
        </w:rPr>
        <w:t>Avoid</w:t>
      </w:r>
      <w:r w:rsidR="00784675" w:rsidRPr="00784675">
        <w:rPr>
          <w:rFonts w:eastAsia="Times New Roman"/>
          <w:bCs/>
          <w:szCs w:val="20"/>
        </w:rPr>
        <w:t xml:space="preserve"> breath</w:t>
      </w:r>
      <w:r w:rsidR="00D7120B">
        <w:rPr>
          <w:rFonts w:eastAsia="Times New Roman"/>
          <w:bCs/>
          <w:szCs w:val="20"/>
        </w:rPr>
        <w:t>ing</w:t>
      </w:r>
      <w:r w:rsidR="00784675" w:rsidRPr="00784675">
        <w:rPr>
          <w:rFonts w:eastAsia="Times New Roman"/>
          <w:bCs/>
          <w:szCs w:val="20"/>
        </w:rPr>
        <w:t xml:space="preserve"> dust.</w:t>
      </w:r>
    </w:p>
    <w:p w14:paraId="7C0A0352" w14:textId="77777777" w:rsidR="00784675" w:rsidRPr="00784675" w:rsidRDefault="00784675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 w:rsidRPr="00784675">
        <w:rPr>
          <w:rFonts w:eastAsia="Times New Roman"/>
          <w:bCs/>
          <w:szCs w:val="20"/>
        </w:rPr>
        <w:t>P264</w:t>
      </w:r>
      <w:r w:rsidRPr="00784675">
        <w:rPr>
          <w:rFonts w:eastAsia="Times New Roman"/>
          <w:bCs/>
          <w:szCs w:val="20"/>
        </w:rPr>
        <w:tab/>
        <w:t>Wash hands thoroughly after handling.</w:t>
      </w:r>
    </w:p>
    <w:p w14:paraId="543B6B29" w14:textId="32CC2DF6" w:rsidR="00E95589" w:rsidRDefault="00E95589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P271</w:t>
      </w:r>
      <w:r>
        <w:rPr>
          <w:rFonts w:eastAsia="Times New Roman"/>
          <w:bCs/>
          <w:szCs w:val="20"/>
        </w:rPr>
        <w:tab/>
        <w:t>Use only out</w:t>
      </w:r>
      <w:r w:rsidR="00B02FBF">
        <w:rPr>
          <w:rFonts w:eastAsia="Times New Roman"/>
          <w:bCs/>
          <w:szCs w:val="20"/>
        </w:rPr>
        <w:t xml:space="preserve"> </w:t>
      </w:r>
      <w:r>
        <w:rPr>
          <w:rFonts w:eastAsia="Times New Roman"/>
          <w:bCs/>
          <w:szCs w:val="20"/>
        </w:rPr>
        <w:t>do</w:t>
      </w:r>
      <w:r w:rsidR="00B02FBF">
        <w:rPr>
          <w:rFonts w:eastAsia="Times New Roman"/>
          <w:bCs/>
          <w:szCs w:val="20"/>
        </w:rPr>
        <w:t>o</w:t>
      </w:r>
      <w:r>
        <w:rPr>
          <w:rFonts w:eastAsia="Times New Roman"/>
          <w:bCs/>
          <w:szCs w:val="20"/>
        </w:rPr>
        <w:t>rs or in a well-ventilated area.</w:t>
      </w:r>
    </w:p>
    <w:p w14:paraId="3862EC92" w14:textId="77777777" w:rsidR="00784675" w:rsidRPr="00784675" w:rsidRDefault="00784675" w:rsidP="00DA13B8">
      <w:pPr>
        <w:widowControl/>
        <w:tabs>
          <w:tab w:val="left" w:pos="1980"/>
        </w:tabs>
        <w:spacing w:after="120"/>
        <w:ind w:left="360"/>
        <w:rPr>
          <w:rFonts w:eastAsia="Times New Roman"/>
          <w:bCs/>
          <w:szCs w:val="20"/>
        </w:rPr>
      </w:pPr>
      <w:r w:rsidRPr="00784675">
        <w:rPr>
          <w:rFonts w:eastAsia="Times New Roman"/>
          <w:bCs/>
          <w:szCs w:val="20"/>
        </w:rPr>
        <w:t>P280</w:t>
      </w:r>
      <w:r w:rsidRPr="00784675">
        <w:rPr>
          <w:rFonts w:eastAsia="Times New Roman"/>
          <w:bCs/>
          <w:szCs w:val="20"/>
        </w:rPr>
        <w:tab/>
        <w:t>Wear protective gloves, protective clothing, and eye protection.</w:t>
      </w:r>
    </w:p>
    <w:p w14:paraId="6652EAA3" w14:textId="3E16B7A8" w:rsidR="00B02FBF" w:rsidRDefault="00B02FBF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P302+</w:t>
      </w:r>
      <w:r w:rsidR="00DA13B8">
        <w:rPr>
          <w:rFonts w:eastAsia="Times New Roman"/>
          <w:bCs/>
          <w:szCs w:val="20"/>
        </w:rPr>
        <w:t>P</w:t>
      </w:r>
      <w:r w:rsidR="007725DB">
        <w:rPr>
          <w:rFonts w:eastAsia="Times New Roman"/>
          <w:bCs/>
          <w:szCs w:val="20"/>
        </w:rPr>
        <w:t>352</w:t>
      </w:r>
      <w:r>
        <w:rPr>
          <w:rFonts w:eastAsia="Times New Roman"/>
          <w:bCs/>
          <w:szCs w:val="20"/>
        </w:rPr>
        <w:tab/>
        <w:t>If on skin: Wash with plenty of soap and water</w:t>
      </w:r>
      <w:r w:rsidR="00C1716A">
        <w:rPr>
          <w:rFonts w:eastAsia="Times New Roman"/>
          <w:bCs/>
          <w:szCs w:val="20"/>
        </w:rPr>
        <w:t>.</w:t>
      </w:r>
    </w:p>
    <w:p w14:paraId="31117BCE" w14:textId="65537722" w:rsidR="0083064E" w:rsidRDefault="0083064E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P332+P313</w:t>
      </w:r>
      <w:r>
        <w:rPr>
          <w:rFonts w:eastAsia="Times New Roman"/>
          <w:bCs/>
          <w:szCs w:val="20"/>
        </w:rPr>
        <w:tab/>
        <w:t>If skin irritation occurs: Get medical attention</w:t>
      </w:r>
      <w:r w:rsidR="00285B3B">
        <w:rPr>
          <w:rFonts w:eastAsia="Times New Roman"/>
          <w:bCs/>
          <w:szCs w:val="20"/>
        </w:rPr>
        <w:t>.</w:t>
      </w:r>
      <w:bookmarkStart w:id="0" w:name="_GoBack"/>
      <w:bookmarkEnd w:id="0"/>
    </w:p>
    <w:p w14:paraId="27C20D79" w14:textId="3AC9F0D8" w:rsidR="0083064E" w:rsidRDefault="0083064E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 w:rsidRPr="0083064E">
        <w:rPr>
          <w:rFonts w:eastAsia="Times New Roman"/>
          <w:bCs/>
          <w:szCs w:val="20"/>
        </w:rPr>
        <w:t>P362</w:t>
      </w:r>
      <w:r w:rsidR="00DA13B8">
        <w:rPr>
          <w:rFonts w:eastAsia="Times New Roman"/>
          <w:bCs/>
          <w:szCs w:val="20"/>
        </w:rPr>
        <w:t>+P364</w:t>
      </w:r>
      <w:r w:rsidRPr="0083064E">
        <w:rPr>
          <w:rFonts w:eastAsia="Times New Roman"/>
          <w:bCs/>
          <w:szCs w:val="20"/>
        </w:rPr>
        <w:tab/>
        <w:t>Take off contaminated clothing and wash before reuse.</w:t>
      </w:r>
    </w:p>
    <w:p w14:paraId="115572C9" w14:textId="77777777" w:rsidR="0083064E" w:rsidRDefault="0083064E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</w:p>
    <w:p w14:paraId="10550D3D" w14:textId="27DC3BD4" w:rsidR="00B02FBF" w:rsidRDefault="00B02FBF" w:rsidP="00DA13B8">
      <w:pPr>
        <w:widowControl/>
        <w:tabs>
          <w:tab w:val="left" w:pos="198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P304+</w:t>
      </w:r>
      <w:r w:rsidR="00DA13B8">
        <w:rPr>
          <w:rFonts w:eastAsia="Times New Roman"/>
          <w:bCs/>
          <w:szCs w:val="20"/>
        </w:rPr>
        <w:t>P</w:t>
      </w:r>
      <w:r>
        <w:rPr>
          <w:rFonts w:eastAsia="Times New Roman"/>
          <w:bCs/>
          <w:szCs w:val="20"/>
        </w:rPr>
        <w:t>340</w:t>
      </w:r>
      <w:r>
        <w:rPr>
          <w:rFonts w:eastAsia="Times New Roman"/>
          <w:bCs/>
          <w:szCs w:val="20"/>
        </w:rPr>
        <w:tab/>
      </w:r>
      <w:proofErr w:type="gramStart"/>
      <w:r>
        <w:rPr>
          <w:rFonts w:eastAsia="Times New Roman"/>
          <w:bCs/>
          <w:szCs w:val="20"/>
        </w:rPr>
        <w:t>If</w:t>
      </w:r>
      <w:proofErr w:type="gramEnd"/>
      <w:r>
        <w:rPr>
          <w:rFonts w:eastAsia="Times New Roman"/>
          <w:bCs/>
          <w:szCs w:val="20"/>
        </w:rPr>
        <w:t xml:space="preserve"> inhaled: Remove </w:t>
      </w:r>
      <w:r w:rsidR="00D7120B">
        <w:rPr>
          <w:rFonts w:eastAsia="Times New Roman"/>
          <w:bCs/>
          <w:szCs w:val="20"/>
        </w:rPr>
        <w:t xml:space="preserve">person </w:t>
      </w:r>
      <w:r>
        <w:rPr>
          <w:rFonts w:eastAsia="Times New Roman"/>
          <w:bCs/>
          <w:szCs w:val="20"/>
        </w:rPr>
        <w:t>to fresh air and keep comfortable for breathing.</w:t>
      </w:r>
    </w:p>
    <w:p w14:paraId="53151C83" w14:textId="0164F061" w:rsidR="007725DB" w:rsidRDefault="007725DB" w:rsidP="00DA13B8">
      <w:pPr>
        <w:widowControl/>
        <w:tabs>
          <w:tab w:val="left" w:pos="1980"/>
        </w:tabs>
        <w:jc w:val="left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br w:type="page"/>
      </w:r>
    </w:p>
    <w:p w14:paraId="1BC6A980" w14:textId="1DCF4C00" w:rsidR="00B02FBF" w:rsidRDefault="00B02FBF" w:rsidP="006B034B">
      <w:pPr>
        <w:widowControl/>
        <w:tabs>
          <w:tab w:val="left" w:pos="1980"/>
        </w:tabs>
        <w:ind w:left="1980" w:hanging="16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lastRenderedPageBreak/>
        <w:t>P305+P351+P338</w:t>
      </w:r>
      <w:r w:rsidR="006E24DE">
        <w:rPr>
          <w:rFonts w:eastAsia="Times New Roman"/>
          <w:bCs/>
          <w:szCs w:val="20"/>
        </w:rPr>
        <w:tab/>
      </w:r>
      <w:r w:rsidR="005D6D6A">
        <w:rPr>
          <w:rFonts w:eastAsia="Times New Roman"/>
          <w:bCs/>
          <w:szCs w:val="20"/>
        </w:rPr>
        <w:t>If in eyes: Rinse cautiously with water for several minutes.  Remove contact lenses, if present</w:t>
      </w:r>
      <w:r w:rsidR="00DA13B8">
        <w:rPr>
          <w:rFonts w:eastAsia="Times New Roman"/>
          <w:bCs/>
          <w:szCs w:val="20"/>
        </w:rPr>
        <w:t xml:space="preserve"> </w:t>
      </w:r>
      <w:r w:rsidR="005D6D6A">
        <w:rPr>
          <w:rFonts w:eastAsia="Times New Roman"/>
          <w:bCs/>
          <w:szCs w:val="20"/>
        </w:rPr>
        <w:t>and easy to do.  Continue rinsing.</w:t>
      </w:r>
    </w:p>
    <w:p w14:paraId="7A30646D" w14:textId="698B97DD" w:rsidR="0083064E" w:rsidRDefault="0083064E" w:rsidP="006B034B">
      <w:pPr>
        <w:widowControl/>
        <w:tabs>
          <w:tab w:val="left" w:pos="1980"/>
          <w:tab w:val="left" w:pos="2340"/>
        </w:tabs>
        <w:spacing w:after="120"/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P337+P313</w:t>
      </w:r>
      <w:r>
        <w:rPr>
          <w:rFonts w:eastAsia="Times New Roman"/>
          <w:bCs/>
          <w:szCs w:val="20"/>
        </w:rPr>
        <w:tab/>
      </w:r>
      <w:proofErr w:type="gramStart"/>
      <w:r>
        <w:rPr>
          <w:rFonts w:eastAsia="Times New Roman"/>
          <w:bCs/>
          <w:szCs w:val="20"/>
        </w:rPr>
        <w:t>If</w:t>
      </w:r>
      <w:proofErr w:type="gramEnd"/>
      <w:r>
        <w:rPr>
          <w:rFonts w:eastAsia="Times New Roman"/>
          <w:bCs/>
          <w:szCs w:val="20"/>
        </w:rPr>
        <w:t xml:space="preserve"> eye irritation persists: Get medical attention.</w:t>
      </w:r>
    </w:p>
    <w:p w14:paraId="5EC75B43" w14:textId="49DE5173" w:rsidR="005D6D6A" w:rsidRDefault="005D6D6A" w:rsidP="00DA13B8">
      <w:pPr>
        <w:widowControl/>
        <w:tabs>
          <w:tab w:val="left" w:pos="1980"/>
          <w:tab w:val="left" w:pos="234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P312</w:t>
      </w:r>
      <w:r w:rsidR="007725DB">
        <w:rPr>
          <w:rFonts w:eastAsia="Times New Roman"/>
          <w:bCs/>
          <w:szCs w:val="20"/>
        </w:rPr>
        <w:tab/>
        <w:t>Call a doctor if you feel unwell.</w:t>
      </w:r>
    </w:p>
    <w:p w14:paraId="0470E0F7" w14:textId="34A35D30" w:rsidR="005D6D6A" w:rsidRDefault="005D6D6A" w:rsidP="00DA13B8">
      <w:pPr>
        <w:widowControl/>
        <w:tabs>
          <w:tab w:val="left" w:pos="1980"/>
          <w:tab w:val="left" w:pos="2340"/>
          <w:tab w:val="left" w:pos="4540"/>
          <w:tab w:val="left" w:pos="6340"/>
        </w:tabs>
        <w:spacing w:before="120"/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P403+P233</w:t>
      </w:r>
      <w:r>
        <w:rPr>
          <w:rFonts w:eastAsia="Times New Roman"/>
          <w:bCs/>
          <w:szCs w:val="20"/>
        </w:rPr>
        <w:tab/>
        <w:t>Store in a well-ventilated place.  Keep container tightly closed</w:t>
      </w:r>
      <w:r w:rsidR="00C1716A">
        <w:rPr>
          <w:rFonts w:eastAsia="Times New Roman"/>
          <w:bCs/>
          <w:szCs w:val="20"/>
        </w:rPr>
        <w:t>.</w:t>
      </w:r>
    </w:p>
    <w:p w14:paraId="4A369720" w14:textId="02370594" w:rsidR="00784675" w:rsidRPr="00784675" w:rsidRDefault="00784675" w:rsidP="00DA13B8">
      <w:pPr>
        <w:widowControl/>
        <w:tabs>
          <w:tab w:val="left" w:pos="1980"/>
          <w:tab w:val="left" w:pos="2340"/>
          <w:tab w:val="left" w:pos="4540"/>
          <w:tab w:val="left" w:pos="6340"/>
        </w:tabs>
        <w:ind w:left="360"/>
        <w:rPr>
          <w:rFonts w:eastAsia="Times New Roman"/>
          <w:bCs/>
          <w:szCs w:val="20"/>
        </w:rPr>
      </w:pPr>
      <w:r w:rsidRPr="00784675">
        <w:rPr>
          <w:rFonts w:eastAsia="Times New Roman"/>
          <w:bCs/>
          <w:szCs w:val="20"/>
        </w:rPr>
        <w:t>P405</w:t>
      </w:r>
      <w:r w:rsidRPr="00784675">
        <w:rPr>
          <w:rFonts w:eastAsia="Times New Roman"/>
          <w:bCs/>
          <w:szCs w:val="20"/>
        </w:rPr>
        <w:tab/>
        <w:t>Store locked up.</w:t>
      </w:r>
    </w:p>
    <w:p w14:paraId="57418D0B" w14:textId="13DDA49C" w:rsidR="00401628" w:rsidRPr="00A203EB" w:rsidRDefault="00784675" w:rsidP="00DA13B8">
      <w:pPr>
        <w:widowControl/>
        <w:tabs>
          <w:tab w:val="left" w:pos="1980"/>
          <w:tab w:val="left" w:pos="2340"/>
          <w:tab w:val="left" w:pos="4540"/>
          <w:tab w:val="left" w:pos="6340"/>
        </w:tabs>
        <w:spacing w:before="120"/>
        <w:ind w:left="360"/>
        <w:rPr>
          <w:rFonts w:eastAsia="Times New Roman"/>
          <w:bCs/>
          <w:szCs w:val="20"/>
        </w:rPr>
      </w:pPr>
      <w:r w:rsidRPr="00784675">
        <w:rPr>
          <w:rFonts w:eastAsia="Times New Roman"/>
          <w:bCs/>
          <w:szCs w:val="20"/>
        </w:rPr>
        <w:t>P501</w:t>
      </w:r>
      <w:r w:rsidRPr="00784675">
        <w:rPr>
          <w:rFonts w:eastAsia="Times New Roman"/>
          <w:bCs/>
          <w:szCs w:val="20"/>
        </w:rPr>
        <w:tab/>
        <w:t>Dispose of contents and container according to local regulations.</w:t>
      </w:r>
    </w:p>
    <w:p w14:paraId="08CCB923" w14:textId="77777777" w:rsidR="00401628" w:rsidRPr="002F3DB6" w:rsidRDefault="00401628" w:rsidP="006C1AA9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BF72CB">
        <w:rPr>
          <w:rFonts w:eastAsia="Times New Roman"/>
          <w:b/>
          <w:bCs/>
          <w:szCs w:val="20"/>
        </w:rPr>
        <w:t>Hazards Not Otherwise Classified:</w:t>
      </w:r>
      <w:r w:rsidRPr="002F3DB6">
        <w:rPr>
          <w:rFonts w:eastAsia="Times New Roman"/>
          <w:bCs/>
          <w:szCs w:val="20"/>
        </w:rPr>
        <w:t xml:space="preserve">  Not applicable.</w:t>
      </w:r>
    </w:p>
    <w:p w14:paraId="3F81B05A" w14:textId="77777777" w:rsidR="00371ED3" w:rsidRPr="00047A22" w:rsidRDefault="00910EA2" w:rsidP="006C1AA9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Cs/>
          <w:szCs w:val="20"/>
        </w:rPr>
      </w:pPr>
      <w:r w:rsidRPr="00C44638">
        <w:rPr>
          <w:rFonts w:eastAsia="Times New Roman"/>
          <w:b/>
          <w:bCs/>
          <w:szCs w:val="20"/>
        </w:rPr>
        <w:t>Ingredients(s) with Unknown Acute Toxicity</w:t>
      </w:r>
      <w:r w:rsidR="00971EDC" w:rsidRPr="00C44638">
        <w:rPr>
          <w:rFonts w:eastAsia="Times New Roman"/>
          <w:b/>
          <w:bCs/>
          <w:szCs w:val="20"/>
        </w:rPr>
        <w:t>:</w:t>
      </w:r>
      <w:r w:rsidR="00971EDC" w:rsidRPr="00C44638">
        <w:rPr>
          <w:rFonts w:eastAsia="Times New Roman"/>
          <w:bCs/>
          <w:szCs w:val="20"/>
        </w:rPr>
        <w:t xml:space="preserve">  </w:t>
      </w:r>
      <w:r w:rsidR="00743478" w:rsidRPr="00C44638">
        <w:rPr>
          <w:rFonts w:eastAsia="Times New Roman"/>
          <w:bCs/>
          <w:szCs w:val="20"/>
        </w:rPr>
        <w:t>Not applicable</w:t>
      </w:r>
      <w:r w:rsidR="00EF4006" w:rsidRPr="00C44638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047A22" w14:paraId="47063547" w14:textId="77777777" w:rsidTr="000B65E7">
        <w:trPr>
          <w:trHeight w:hRule="exact" w:val="360"/>
        </w:trPr>
        <w:tc>
          <w:tcPr>
            <w:tcW w:w="9360" w:type="dxa"/>
            <w:vAlign w:val="center"/>
          </w:tcPr>
          <w:p w14:paraId="6D573E84" w14:textId="0DEFBE80" w:rsidR="00371ED3" w:rsidRPr="00047A22" w:rsidRDefault="00371ED3" w:rsidP="001967DA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3. C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OMPOSITION AND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NFORMATION ON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AZARDOUS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NGREDIENTS</w:t>
            </w:r>
          </w:p>
        </w:tc>
      </w:tr>
    </w:tbl>
    <w:p w14:paraId="5436D137" w14:textId="55803484" w:rsidR="00BB0995" w:rsidRPr="00047A22" w:rsidRDefault="00BB0995" w:rsidP="00CF7B42">
      <w:pPr>
        <w:widowControl/>
        <w:tabs>
          <w:tab w:val="left" w:pos="5440"/>
        </w:tabs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Substance:</w:t>
      </w:r>
      <w:r w:rsidRPr="00047A22">
        <w:rPr>
          <w:rFonts w:eastAsia="Times New Roman"/>
          <w:bCs/>
          <w:szCs w:val="20"/>
        </w:rPr>
        <w:t xml:space="preserve"> </w:t>
      </w:r>
      <w:r w:rsidR="00DC0227" w:rsidRPr="00047A22">
        <w:rPr>
          <w:rFonts w:eastAsia="Times New Roman"/>
          <w:bCs/>
          <w:szCs w:val="20"/>
        </w:rPr>
        <w:t xml:space="preserve"> </w:t>
      </w:r>
      <w:r w:rsidR="00726A9B" w:rsidRPr="00726A9B">
        <w:rPr>
          <w:rFonts w:eastAsia="Times New Roman"/>
          <w:bCs/>
          <w:szCs w:val="20"/>
        </w:rPr>
        <w:t>VMA</w:t>
      </w:r>
    </w:p>
    <w:p w14:paraId="7CCA4F78" w14:textId="60B0DD29" w:rsidR="006601FF" w:rsidRPr="001C652C" w:rsidRDefault="00BB0995">
      <w:pPr>
        <w:widowControl/>
        <w:tabs>
          <w:tab w:val="left" w:pos="5440"/>
        </w:tabs>
        <w:spacing w:before="120" w:after="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Other Designations:</w:t>
      </w:r>
      <w:r w:rsidR="001C652C" w:rsidRPr="001C652C">
        <w:rPr>
          <w:rFonts w:eastAsia="Times New Roman"/>
          <w:bCs/>
          <w:szCs w:val="20"/>
        </w:rPr>
        <w:t xml:space="preserve"> </w:t>
      </w:r>
      <w:r w:rsidR="001C652C">
        <w:rPr>
          <w:szCs w:val="20"/>
        </w:rPr>
        <w:t xml:space="preserve"> </w:t>
      </w:r>
      <w:proofErr w:type="spellStart"/>
      <w:r w:rsidR="004E1F4D">
        <w:rPr>
          <w:szCs w:val="20"/>
        </w:rPr>
        <w:t>V</w:t>
      </w:r>
      <w:r w:rsidR="00726A9B" w:rsidRPr="00726A9B">
        <w:rPr>
          <w:szCs w:val="20"/>
        </w:rPr>
        <w:t>anillylmandelic</w:t>
      </w:r>
      <w:proofErr w:type="spellEnd"/>
      <w:r w:rsidR="00726A9B" w:rsidRPr="00726A9B">
        <w:rPr>
          <w:szCs w:val="20"/>
        </w:rPr>
        <w:t xml:space="preserve"> acid</w:t>
      </w:r>
      <w:r w:rsidR="00726A9B">
        <w:rPr>
          <w:szCs w:val="20"/>
        </w:rPr>
        <w:t xml:space="preserve">; </w:t>
      </w:r>
      <w:proofErr w:type="spellStart"/>
      <w:r w:rsidR="00726A9B" w:rsidRPr="00726A9B">
        <w:rPr>
          <w:szCs w:val="20"/>
        </w:rPr>
        <w:t>vanilmandelic</w:t>
      </w:r>
      <w:proofErr w:type="spellEnd"/>
      <w:r w:rsidR="00726A9B" w:rsidRPr="00726A9B">
        <w:rPr>
          <w:szCs w:val="20"/>
        </w:rPr>
        <w:t xml:space="preserve"> acid</w:t>
      </w:r>
      <w:r w:rsidR="00726A9B">
        <w:rPr>
          <w:szCs w:val="20"/>
        </w:rPr>
        <w:t xml:space="preserve">; </w:t>
      </w:r>
      <w:r w:rsidR="00726A9B" w:rsidRPr="00726A9B">
        <w:rPr>
          <w:szCs w:val="20"/>
        </w:rPr>
        <w:t>(4-Hydroxy-3-</w:t>
      </w:r>
      <w:r w:rsidR="008A05DA" w:rsidRPr="00726A9B">
        <w:rPr>
          <w:szCs w:val="20"/>
        </w:rPr>
        <w:t>methoxypheny</w:t>
      </w:r>
      <w:r w:rsidR="008A05DA">
        <w:rPr>
          <w:szCs w:val="20"/>
        </w:rPr>
        <w:t>l</w:t>
      </w:r>
      <w:proofErr w:type="gramStart"/>
      <w:r w:rsidR="00726A9B" w:rsidRPr="00726A9B">
        <w:rPr>
          <w:szCs w:val="20"/>
        </w:rPr>
        <w:t>)</w:t>
      </w:r>
      <w:proofErr w:type="spellStart"/>
      <w:r w:rsidR="00726A9B" w:rsidRPr="00726A9B">
        <w:rPr>
          <w:szCs w:val="20"/>
        </w:rPr>
        <w:t>glycolate</w:t>
      </w:r>
      <w:proofErr w:type="spellEnd"/>
      <w:proofErr w:type="gramEnd"/>
      <w:r w:rsidR="00726A9B">
        <w:rPr>
          <w:szCs w:val="20"/>
        </w:rPr>
        <w:t xml:space="preserve">; </w:t>
      </w:r>
      <w:r w:rsidR="00726A9B" w:rsidRPr="00726A9B">
        <w:rPr>
          <w:szCs w:val="20"/>
        </w:rPr>
        <w:t>3</w:t>
      </w:r>
      <w:r w:rsidR="00726A9B">
        <w:rPr>
          <w:szCs w:val="20"/>
        </w:rPr>
        <w:noBreakHyphen/>
      </w:r>
      <w:r w:rsidR="00726A9B" w:rsidRPr="00726A9B">
        <w:rPr>
          <w:szCs w:val="20"/>
        </w:rPr>
        <w:t>Methoxy-4-hydroxymandelate</w:t>
      </w:r>
    </w:p>
    <w:p w14:paraId="18A268F5" w14:textId="22B06406" w:rsidR="00A90E1E" w:rsidRDefault="00B42124">
      <w:pPr>
        <w:widowControl/>
        <w:tabs>
          <w:tab w:val="left" w:pos="5440"/>
        </w:tabs>
        <w:spacing w:before="120" w:after="120"/>
        <w:rPr>
          <w:rFonts w:eastAsia="Times New Roman"/>
          <w:szCs w:val="20"/>
        </w:rPr>
      </w:pPr>
      <w:r>
        <w:rPr>
          <w:rFonts w:eastAsia="Times New Roman"/>
          <w:spacing w:val="1"/>
          <w:szCs w:val="20"/>
        </w:rPr>
        <w:t>Components are listed in compliance with OSHA’s 29 CFR 1910.1200.</w:t>
      </w:r>
    </w:p>
    <w:tbl>
      <w:tblPr>
        <w:tblW w:w="9540" w:type="dxa"/>
        <w:tblInd w:w="-180" w:type="dxa"/>
        <w:tblLook w:val="01E0" w:firstRow="1" w:lastRow="1" w:firstColumn="1" w:lastColumn="1" w:noHBand="0" w:noVBand="0"/>
      </w:tblPr>
      <w:tblGrid>
        <w:gridCol w:w="3420"/>
        <w:gridCol w:w="1440"/>
        <w:gridCol w:w="1980"/>
        <w:gridCol w:w="2700"/>
      </w:tblGrid>
      <w:tr w:rsidR="00726A9B" w:rsidRPr="00AC47CE" w14:paraId="29CA20E6" w14:textId="77777777" w:rsidTr="005F4C83">
        <w:trPr>
          <w:trHeight w:val="300"/>
        </w:trPr>
        <w:tc>
          <w:tcPr>
            <w:tcW w:w="3420" w:type="dxa"/>
          </w:tcPr>
          <w:p w14:paraId="4A3800A8" w14:textId="103476A8" w:rsidR="00CC792F" w:rsidRPr="00AC47CE" w:rsidRDefault="00362A1F" w:rsidP="00726A9B">
            <w:pPr>
              <w:widowControl/>
              <w:ind w:left="72"/>
              <w:rPr>
                <w:sz w:val="22"/>
              </w:rPr>
            </w:pPr>
            <w:r w:rsidRPr="00362A1F">
              <w:rPr>
                <w:b/>
                <w:bCs/>
              </w:rPr>
              <w:t>Hazardous Component(s)</w:t>
            </w:r>
          </w:p>
        </w:tc>
        <w:tc>
          <w:tcPr>
            <w:tcW w:w="1440" w:type="dxa"/>
          </w:tcPr>
          <w:p w14:paraId="617DF70F" w14:textId="77777777" w:rsidR="00CC792F" w:rsidRPr="00AC47CE" w:rsidRDefault="00CC792F" w:rsidP="001967DA">
            <w:pPr>
              <w:widowControl/>
              <w:tabs>
                <w:tab w:val="left" w:pos="7524"/>
                <w:tab w:val="left" w:pos="9864"/>
                <w:tab w:val="left" w:pos="10584"/>
              </w:tabs>
              <w:jc w:val="center"/>
              <w:rPr>
                <w:b/>
                <w:sz w:val="22"/>
              </w:rPr>
            </w:pPr>
            <w:r w:rsidRPr="00AC47CE">
              <w:rPr>
                <w:b/>
              </w:rPr>
              <w:t>CAS Number</w:t>
            </w:r>
          </w:p>
        </w:tc>
        <w:tc>
          <w:tcPr>
            <w:tcW w:w="1980" w:type="dxa"/>
          </w:tcPr>
          <w:p w14:paraId="387BE5F9" w14:textId="77777777" w:rsidR="00CC792F" w:rsidRPr="00AC47CE" w:rsidRDefault="00CC792F" w:rsidP="001967DA">
            <w:pPr>
              <w:widowControl/>
              <w:tabs>
                <w:tab w:val="left" w:pos="7524"/>
                <w:tab w:val="left" w:pos="9864"/>
                <w:tab w:val="left" w:pos="10584"/>
              </w:tabs>
              <w:jc w:val="center"/>
              <w:rPr>
                <w:b/>
                <w:sz w:val="22"/>
              </w:rPr>
            </w:pPr>
            <w:r w:rsidRPr="00AC47CE">
              <w:rPr>
                <w:b/>
              </w:rPr>
              <w:t>EC Number (EINECS)</w:t>
            </w:r>
          </w:p>
        </w:tc>
        <w:tc>
          <w:tcPr>
            <w:tcW w:w="2700" w:type="dxa"/>
          </w:tcPr>
          <w:p w14:paraId="04324E0A" w14:textId="77777777" w:rsidR="00CC792F" w:rsidRPr="00AC47CE" w:rsidRDefault="00CC792F" w:rsidP="001967DA">
            <w:pPr>
              <w:widowControl/>
              <w:ind w:right="-84"/>
              <w:jc w:val="center"/>
              <w:rPr>
                <w:b/>
              </w:rPr>
            </w:pPr>
            <w:r w:rsidRPr="00AC47CE">
              <w:rPr>
                <w:b/>
              </w:rPr>
              <w:t>Nominal Mass Concentration</w:t>
            </w:r>
          </w:p>
          <w:p w14:paraId="18E87B2D" w14:textId="77777777" w:rsidR="00CC792F" w:rsidRPr="00AC47CE" w:rsidRDefault="00CC792F" w:rsidP="001967DA">
            <w:pPr>
              <w:widowControl/>
              <w:ind w:right="-84"/>
              <w:jc w:val="center"/>
              <w:rPr>
                <w:b/>
              </w:rPr>
            </w:pPr>
            <w:r w:rsidRPr="00AC47CE">
              <w:rPr>
                <w:b/>
              </w:rPr>
              <w:t>(%)</w:t>
            </w:r>
          </w:p>
        </w:tc>
      </w:tr>
      <w:tr w:rsidR="00726A9B" w:rsidRPr="00AC47CE" w14:paraId="115B8D14" w14:textId="77777777" w:rsidTr="005F4C83">
        <w:trPr>
          <w:trHeight w:val="333"/>
        </w:trPr>
        <w:tc>
          <w:tcPr>
            <w:tcW w:w="3420" w:type="dxa"/>
            <w:vAlign w:val="center"/>
          </w:tcPr>
          <w:p w14:paraId="1E1ED0E0" w14:textId="2522B974" w:rsidR="00CC792F" w:rsidRPr="00AC47CE" w:rsidRDefault="00726A9B" w:rsidP="004E1F4D">
            <w:pPr>
              <w:pStyle w:val="Header"/>
              <w:widowControl/>
              <w:ind w:left="72"/>
              <w:jc w:val="left"/>
            </w:pPr>
            <w:r w:rsidRPr="00726A9B">
              <w:rPr>
                <w:bCs/>
              </w:rPr>
              <w:t>VMA</w:t>
            </w:r>
          </w:p>
        </w:tc>
        <w:tc>
          <w:tcPr>
            <w:tcW w:w="1440" w:type="dxa"/>
            <w:vAlign w:val="center"/>
          </w:tcPr>
          <w:p w14:paraId="1F3FDE25" w14:textId="1D09ED0E" w:rsidR="00CC792F" w:rsidRPr="00AC47CE" w:rsidRDefault="00726A9B" w:rsidP="00726A9B">
            <w:pPr>
              <w:pStyle w:val="Header"/>
              <w:widowControl/>
              <w:tabs>
                <w:tab w:val="clear" w:pos="4680"/>
                <w:tab w:val="clear" w:pos="9360"/>
                <w:tab w:val="right" w:pos="1232"/>
              </w:tabs>
              <w:jc w:val="center"/>
            </w:pPr>
            <w:r>
              <w:t>55-10-7</w:t>
            </w:r>
          </w:p>
        </w:tc>
        <w:tc>
          <w:tcPr>
            <w:tcW w:w="1980" w:type="dxa"/>
            <w:vAlign w:val="center"/>
          </w:tcPr>
          <w:p w14:paraId="7039F0D4" w14:textId="1A378151" w:rsidR="00CC792F" w:rsidRPr="00AC47CE" w:rsidRDefault="00726A9B" w:rsidP="001967DA">
            <w:pPr>
              <w:widowControl/>
              <w:jc w:val="center"/>
            </w:pPr>
            <w:r>
              <w:t>200-224-0</w:t>
            </w:r>
          </w:p>
        </w:tc>
        <w:tc>
          <w:tcPr>
            <w:tcW w:w="2700" w:type="dxa"/>
            <w:vAlign w:val="center"/>
          </w:tcPr>
          <w:p w14:paraId="79D8E87A" w14:textId="3AE529AD" w:rsidR="00CC792F" w:rsidRPr="00AC47CE" w:rsidRDefault="00D95DAA" w:rsidP="001967DA">
            <w:pPr>
              <w:pStyle w:val="Header"/>
              <w:widowControl/>
              <w:tabs>
                <w:tab w:val="decimal" w:pos="996"/>
              </w:tabs>
              <w:jc w:val="center"/>
            </w:pPr>
            <w:r>
              <w:t>100</w:t>
            </w:r>
          </w:p>
        </w:tc>
      </w:tr>
    </w:tbl>
    <w:p w14:paraId="216618B2" w14:textId="77777777" w:rsidR="000062AB" w:rsidRPr="00953140" w:rsidRDefault="000062AB" w:rsidP="00A63E3E">
      <w:pPr>
        <w:widowControl/>
        <w:jc w:val="left"/>
        <w:rPr>
          <w:sz w:val="18"/>
          <w:szCs w:val="18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047A22" w14:paraId="044F8EB5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3940C197" w14:textId="77777777" w:rsidR="00037080" w:rsidRPr="00047A22" w:rsidRDefault="00037080" w:rsidP="001967DA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4. F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IRST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ID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7B2268DA" w14:textId="77777777" w:rsidR="00C508A0" w:rsidRPr="00047A22" w:rsidRDefault="00BB0995" w:rsidP="001967DA">
      <w:pPr>
        <w:widowControl/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Description of First</w:t>
      </w:r>
      <w:r w:rsidR="00C508A0" w:rsidRPr="00047A22">
        <w:rPr>
          <w:rFonts w:eastAsia="Times New Roman"/>
          <w:b/>
          <w:bCs/>
          <w:szCs w:val="20"/>
        </w:rPr>
        <w:t xml:space="preserve"> Aid Measures</w:t>
      </w:r>
      <w:r w:rsidR="004E7C12" w:rsidRPr="00047A22">
        <w:rPr>
          <w:rFonts w:eastAsia="Times New Roman"/>
          <w:b/>
          <w:bCs/>
          <w:szCs w:val="20"/>
        </w:rPr>
        <w:t>:</w:t>
      </w:r>
      <w:r w:rsidRPr="00047A22">
        <w:rPr>
          <w:rFonts w:eastAsia="Times New Roman"/>
          <w:b/>
          <w:bCs/>
          <w:szCs w:val="20"/>
        </w:rPr>
        <w:t xml:space="preserve"> </w:t>
      </w:r>
    </w:p>
    <w:p w14:paraId="721D6EC0" w14:textId="77777777" w:rsidR="00C508A0" w:rsidRPr="00047A22" w:rsidRDefault="00BF5DD9" w:rsidP="00CF7B42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Inhalation:</w:t>
      </w:r>
      <w:r w:rsidRPr="00047A22">
        <w:rPr>
          <w:rFonts w:eastAsia="Times New Roman"/>
          <w:bCs/>
          <w:szCs w:val="20"/>
        </w:rPr>
        <w:t xml:space="preserve"> </w:t>
      </w:r>
      <w:r w:rsidR="00DC0227" w:rsidRPr="00047A22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6E2EA9D1" w14:textId="77777777" w:rsidR="00C508A0" w:rsidRPr="00047A22" w:rsidRDefault="00BF5DD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Skin Contact:</w:t>
      </w:r>
      <w:r w:rsidRPr="00047A22">
        <w:rPr>
          <w:rFonts w:eastAsia="Times New Roman"/>
          <w:bCs/>
          <w:szCs w:val="20"/>
        </w:rPr>
        <w:t xml:space="preserve"> </w:t>
      </w:r>
      <w:r w:rsidR="00DC0227" w:rsidRPr="00047A22">
        <w:rPr>
          <w:rFonts w:eastAsia="Times New Roman"/>
          <w:bCs/>
          <w:szCs w:val="20"/>
        </w:rPr>
        <w:t xml:space="preserve"> </w:t>
      </w:r>
      <w:r w:rsidR="00DD38F6" w:rsidRPr="00047A22">
        <w:rPr>
          <w:rFonts w:eastAsia="Times New Roman"/>
          <w:bCs/>
          <w:szCs w:val="20"/>
        </w:rPr>
        <w:t>Wash skin with soap and water.</w:t>
      </w:r>
    </w:p>
    <w:p w14:paraId="0F35B0B0" w14:textId="77777777" w:rsidR="00C508A0" w:rsidRPr="00047A22" w:rsidRDefault="00BF5DD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Eye Contact:</w:t>
      </w:r>
      <w:r w:rsidRPr="00047A22">
        <w:rPr>
          <w:rFonts w:eastAsia="Times New Roman"/>
          <w:bCs/>
          <w:szCs w:val="20"/>
        </w:rPr>
        <w:t xml:space="preserve"> </w:t>
      </w:r>
      <w:r w:rsidR="00DC0227" w:rsidRPr="00047A22">
        <w:rPr>
          <w:rFonts w:eastAsia="Times New Roman"/>
          <w:bCs/>
          <w:szCs w:val="20"/>
        </w:rPr>
        <w:t xml:space="preserve"> </w:t>
      </w:r>
      <w:r w:rsidR="00F3381A" w:rsidRPr="00047A22">
        <w:rPr>
          <w:rFonts w:eastAsia="Times New Roman"/>
          <w:bCs/>
          <w:szCs w:val="20"/>
        </w:rPr>
        <w:t>F</w:t>
      </w:r>
      <w:r w:rsidR="00DC0227" w:rsidRPr="00047A22">
        <w:rPr>
          <w:rFonts w:eastAsia="Times New Roman"/>
          <w:bCs/>
          <w:szCs w:val="20"/>
        </w:rPr>
        <w:t>lush eyes</w:t>
      </w:r>
      <w:r w:rsidR="00F3381A" w:rsidRPr="00047A22">
        <w:rPr>
          <w:rFonts w:eastAsia="Times New Roman"/>
          <w:bCs/>
          <w:szCs w:val="20"/>
        </w:rPr>
        <w:t xml:space="preserve"> with</w:t>
      </w:r>
      <w:r w:rsidR="00DC0227" w:rsidRPr="00047A22">
        <w:rPr>
          <w:rFonts w:eastAsia="Times New Roman"/>
          <w:bCs/>
          <w:szCs w:val="20"/>
        </w:rPr>
        <w:t xml:space="preserve"> water for at least </w:t>
      </w:r>
      <w:r w:rsidR="007E107C" w:rsidRPr="00047A22">
        <w:rPr>
          <w:rFonts w:eastAsia="Times New Roman"/>
          <w:bCs/>
          <w:szCs w:val="20"/>
        </w:rPr>
        <w:t xml:space="preserve">15 </w:t>
      </w:r>
      <w:r w:rsidR="00DC0227" w:rsidRPr="00047A22">
        <w:rPr>
          <w:rFonts w:eastAsia="Times New Roman"/>
          <w:bCs/>
          <w:szCs w:val="20"/>
        </w:rPr>
        <w:t xml:space="preserve">minutes.  </w:t>
      </w:r>
      <w:r w:rsidR="00F3381A" w:rsidRPr="00047A22">
        <w:rPr>
          <w:rFonts w:eastAsia="Times New Roman"/>
          <w:bCs/>
          <w:szCs w:val="20"/>
        </w:rPr>
        <w:t>If necessary, s</w:t>
      </w:r>
      <w:r w:rsidR="00DC0227" w:rsidRPr="00047A22">
        <w:rPr>
          <w:rFonts w:eastAsia="Times New Roman"/>
          <w:bCs/>
          <w:szCs w:val="20"/>
        </w:rPr>
        <w:t>eek medical attention.</w:t>
      </w:r>
    </w:p>
    <w:p w14:paraId="19C809DC" w14:textId="77777777" w:rsidR="00E24579" w:rsidRPr="00047A22" w:rsidRDefault="00BF5DD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Ingestion:</w:t>
      </w:r>
      <w:r w:rsidR="00DC0227" w:rsidRPr="00047A22">
        <w:rPr>
          <w:rFonts w:eastAsia="Times New Roman"/>
          <w:bCs/>
          <w:szCs w:val="20"/>
        </w:rPr>
        <w:t xml:space="preserve">  </w:t>
      </w:r>
      <w:r w:rsidR="008C684F" w:rsidRPr="00047A22">
        <w:rPr>
          <w:rFonts w:eastAsia="Times New Roman"/>
          <w:bCs/>
          <w:szCs w:val="20"/>
        </w:rPr>
        <w:t>If adverse effects occur after ingestion, seek m</w:t>
      </w:r>
      <w:r w:rsidR="00F3381A" w:rsidRPr="00047A22">
        <w:rPr>
          <w:rFonts w:eastAsia="Times New Roman"/>
          <w:bCs/>
          <w:szCs w:val="20"/>
        </w:rPr>
        <w:t xml:space="preserve">edical </w:t>
      </w:r>
      <w:r w:rsidR="008C684F" w:rsidRPr="00047A22">
        <w:rPr>
          <w:rFonts w:eastAsia="Times New Roman"/>
          <w:bCs/>
          <w:szCs w:val="20"/>
        </w:rPr>
        <w:t>treatment</w:t>
      </w:r>
      <w:r w:rsidR="00DC0227" w:rsidRPr="00047A22">
        <w:rPr>
          <w:rFonts w:eastAsia="Times New Roman"/>
          <w:bCs/>
          <w:szCs w:val="20"/>
        </w:rPr>
        <w:t>.</w:t>
      </w:r>
    </w:p>
    <w:p w14:paraId="5BD005B4" w14:textId="4C8759CB" w:rsidR="000E3AA3" w:rsidRPr="00047A22" w:rsidRDefault="002D63F4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Most Important Symptoms/Effects, </w:t>
      </w:r>
      <w:r w:rsidR="00EF4006" w:rsidRPr="00047A22">
        <w:rPr>
          <w:rFonts w:eastAsia="Times New Roman"/>
          <w:b/>
          <w:bCs/>
          <w:szCs w:val="20"/>
        </w:rPr>
        <w:t xml:space="preserve">Acute </w:t>
      </w:r>
      <w:r w:rsidRPr="00047A22">
        <w:rPr>
          <w:rFonts w:eastAsia="Times New Roman"/>
          <w:b/>
          <w:bCs/>
          <w:szCs w:val="20"/>
        </w:rPr>
        <w:t xml:space="preserve">and </w:t>
      </w:r>
      <w:r w:rsidR="00EF4006" w:rsidRPr="00047A22">
        <w:rPr>
          <w:rFonts w:eastAsia="Times New Roman"/>
          <w:b/>
          <w:bCs/>
          <w:szCs w:val="20"/>
        </w:rPr>
        <w:t>Delayed</w:t>
      </w:r>
      <w:r w:rsidR="004521E9" w:rsidRPr="004F3925">
        <w:rPr>
          <w:rFonts w:eastAsia="Times New Roman"/>
          <w:b/>
          <w:bCs/>
          <w:szCs w:val="20"/>
        </w:rPr>
        <w:t>:</w:t>
      </w:r>
      <w:r w:rsidR="004521E9" w:rsidRPr="004F3925">
        <w:rPr>
          <w:rFonts w:eastAsia="Times New Roman"/>
          <w:bCs/>
          <w:szCs w:val="20"/>
        </w:rPr>
        <w:t xml:space="preserve">  </w:t>
      </w:r>
      <w:r w:rsidR="004F3925" w:rsidRPr="003E4E4E">
        <w:rPr>
          <w:rFonts w:eastAsia="Times New Roman"/>
          <w:bCs/>
          <w:szCs w:val="20"/>
        </w:rPr>
        <w:t>May aggravate respiratory disorders.</w:t>
      </w:r>
    </w:p>
    <w:p w14:paraId="68220FB2" w14:textId="77777777" w:rsidR="002D63F4" w:rsidRPr="00047A22" w:rsidRDefault="002D63F4">
      <w:pPr>
        <w:widowControl/>
        <w:spacing w:before="120" w:after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 w:rsidRPr="00047A22">
        <w:rPr>
          <w:rFonts w:eastAsia="Times New Roman"/>
          <w:b/>
          <w:bCs/>
          <w:szCs w:val="20"/>
        </w:rPr>
        <w:t>:</w:t>
      </w:r>
      <w:r w:rsidR="004521E9" w:rsidRPr="00047A22">
        <w:rPr>
          <w:rFonts w:eastAsia="Times New Roman"/>
          <w:bCs/>
          <w:szCs w:val="20"/>
        </w:rPr>
        <w:t xml:space="preserve">  </w:t>
      </w:r>
      <w:r w:rsidR="0028318C" w:rsidRPr="00047A22">
        <w:rPr>
          <w:rFonts w:eastAsia="Times New Roman"/>
          <w:bCs/>
          <w:szCs w:val="20"/>
        </w:rPr>
        <w:t>If any of the above symptoms are present, seek medical attention</w:t>
      </w:r>
      <w:r w:rsidR="005932F5" w:rsidRPr="00047A22">
        <w:rPr>
          <w:rFonts w:eastAsia="Times New Roman"/>
          <w:bCs/>
          <w:szCs w:val="20"/>
        </w:rPr>
        <w:t xml:space="preserve"> if needed</w:t>
      </w:r>
      <w:r w:rsidR="0028318C" w:rsidRPr="00047A22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047A22" w14:paraId="724717F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DC10E1B" w14:textId="77777777" w:rsidR="001D7FE4" w:rsidRPr="00047A22" w:rsidRDefault="001D7FE4" w:rsidP="001967DA">
            <w:pPr>
              <w:widowControl/>
              <w:rPr>
                <w:rFonts w:eastAsia="Times New Roman"/>
                <w:b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5. F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IRE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F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IGHTING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2C6F702B" w14:textId="591C8FBF" w:rsidR="001248AA" w:rsidRPr="00E9505B" w:rsidRDefault="001248AA" w:rsidP="00CF7B42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F</w:t>
      </w:r>
      <w:r w:rsidRPr="00E9505B">
        <w:rPr>
          <w:rFonts w:eastAsia="Times New Roman"/>
          <w:b/>
          <w:bCs/>
          <w:szCs w:val="20"/>
        </w:rPr>
        <w:t>ire and Explosion Hazards:</w:t>
      </w:r>
      <w:r w:rsidR="0028318C" w:rsidRPr="00E9505B">
        <w:rPr>
          <w:rFonts w:eastAsia="Times New Roman"/>
          <w:bCs/>
          <w:szCs w:val="20"/>
        </w:rPr>
        <w:t xml:space="preserve">  </w:t>
      </w:r>
      <w:r w:rsidR="00013A6F" w:rsidRPr="00E9505B">
        <w:rPr>
          <w:rFonts w:eastAsia="Times New Roman"/>
          <w:bCs/>
          <w:szCs w:val="20"/>
        </w:rPr>
        <w:t xml:space="preserve">Negligible </w:t>
      </w:r>
      <w:r w:rsidR="00F15DCE" w:rsidRPr="00E9505B">
        <w:rPr>
          <w:rFonts w:eastAsia="Times New Roman"/>
          <w:bCs/>
          <w:szCs w:val="20"/>
        </w:rPr>
        <w:t>f</w:t>
      </w:r>
      <w:r w:rsidR="00DB683D" w:rsidRPr="00E9505B">
        <w:rPr>
          <w:rFonts w:eastAsia="Times New Roman"/>
          <w:bCs/>
          <w:szCs w:val="20"/>
        </w:rPr>
        <w:t xml:space="preserve">ire </w:t>
      </w:r>
      <w:r w:rsidR="00F15DCE" w:rsidRPr="00E9505B">
        <w:rPr>
          <w:rFonts w:eastAsia="Times New Roman"/>
          <w:bCs/>
          <w:szCs w:val="20"/>
        </w:rPr>
        <w:t>h</w:t>
      </w:r>
      <w:r w:rsidR="00DB683D" w:rsidRPr="00E9505B">
        <w:rPr>
          <w:rFonts w:eastAsia="Times New Roman"/>
          <w:bCs/>
          <w:szCs w:val="20"/>
        </w:rPr>
        <w:t>azard</w:t>
      </w:r>
      <w:r w:rsidR="0014371C">
        <w:rPr>
          <w:rFonts w:eastAsia="Times New Roman"/>
          <w:bCs/>
          <w:szCs w:val="20"/>
        </w:rPr>
        <w:t xml:space="preserve"> in bulk form</w:t>
      </w:r>
      <w:r w:rsidR="00DB683D" w:rsidRPr="00E9505B">
        <w:rPr>
          <w:rFonts w:eastAsia="Times New Roman"/>
          <w:bCs/>
          <w:szCs w:val="20"/>
        </w:rPr>
        <w:t xml:space="preserve">.  </w:t>
      </w:r>
      <w:r w:rsidR="0014371C">
        <w:rPr>
          <w:rFonts w:eastAsia="Times New Roman"/>
          <w:bCs/>
          <w:szCs w:val="20"/>
        </w:rPr>
        <w:t xml:space="preserve">Dust/air mixtures may ignite or explode.  </w:t>
      </w:r>
      <w:r w:rsidR="006B712E" w:rsidRPr="00E9505B">
        <w:rPr>
          <w:rFonts w:eastAsia="Times New Roman"/>
          <w:bCs/>
          <w:szCs w:val="20"/>
        </w:rPr>
        <w:t>Avoid generating dust.</w:t>
      </w:r>
      <w:r w:rsidR="00424C7F" w:rsidRPr="00E9505B">
        <w:rPr>
          <w:rFonts w:eastAsia="Times New Roman"/>
          <w:bCs/>
          <w:szCs w:val="20"/>
        </w:rPr>
        <w:t xml:space="preserve">  </w:t>
      </w:r>
      <w:r w:rsidR="00534548" w:rsidRPr="00E9505B">
        <w:rPr>
          <w:rFonts w:eastAsia="Times New Roman"/>
          <w:bCs/>
          <w:szCs w:val="20"/>
        </w:rPr>
        <w:t>See Section</w:t>
      </w:r>
      <w:r w:rsidR="002F28B5" w:rsidRPr="00E9505B">
        <w:rPr>
          <w:rFonts w:eastAsia="Times New Roman"/>
          <w:bCs/>
          <w:szCs w:val="20"/>
        </w:rPr>
        <w:t> </w:t>
      </w:r>
      <w:r w:rsidR="00534548" w:rsidRPr="00E9505B">
        <w:rPr>
          <w:rFonts w:eastAsia="Times New Roman"/>
          <w:bCs/>
          <w:szCs w:val="20"/>
        </w:rPr>
        <w:t xml:space="preserve">9, “Physical </w:t>
      </w:r>
      <w:r w:rsidR="0073150A" w:rsidRPr="00E9505B">
        <w:rPr>
          <w:rFonts w:eastAsia="Times New Roman"/>
          <w:bCs/>
          <w:szCs w:val="20"/>
        </w:rPr>
        <w:t xml:space="preserve">and Chemical </w:t>
      </w:r>
      <w:r w:rsidR="00534548" w:rsidRPr="00E9505B">
        <w:rPr>
          <w:rFonts w:eastAsia="Times New Roman"/>
          <w:bCs/>
          <w:szCs w:val="20"/>
        </w:rPr>
        <w:t>Properties” for flammability properties.</w:t>
      </w:r>
    </w:p>
    <w:p w14:paraId="4A2EEAD3" w14:textId="77777777" w:rsidR="006251CA" w:rsidRPr="00E9505B" w:rsidRDefault="00676966">
      <w:pPr>
        <w:widowControl/>
        <w:spacing w:before="120"/>
        <w:rPr>
          <w:rFonts w:eastAsia="Times New Roman"/>
          <w:b/>
          <w:bCs/>
          <w:szCs w:val="20"/>
        </w:rPr>
      </w:pPr>
      <w:r w:rsidRPr="00E9505B">
        <w:rPr>
          <w:rFonts w:eastAsia="Times New Roman"/>
          <w:b/>
          <w:bCs/>
          <w:szCs w:val="20"/>
        </w:rPr>
        <w:t>Extinguishing Media</w:t>
      </w:r>
      <w:r w:rsidR="006251CA" w:rsidRPr="00E9505B">
        <w:rPr>
          <w:rFonts w:eastAsia="Times New Roman"/>
          <w:b/>
          <w:bCs/>
          <w:szCs w:val="20"/>
        </w:rPr>
        <w:t>:</w:t>
      </w:r>
    </w:p>
    <w:p w14:paraId="04F38C41" w14:textId="594B4C44" w:rsidR="00E93DD1" w:rsidRPr="00E9505B" w:rsidRDefault="00E93DD1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E9505B">
        <w:rPr>
          <w:rFonts w:eastAsia="Times New Roman"/>
          <w:b/>
          <w:bCs/>
          <w:szCs w:val="20"/>
        </w:rPr>
        <w:tab/>
      </w:r>
      <w:r w:rsidR="0028318C" w:rsidRPr="00E9505B">
        <w:rPr>
          <w:rFonts w:eastAsia="Times New Roman"/>
          <w:bCs/>
          <w:szCs w:val="20"/>
        </w:rPr>
        <w:t>Suitable:</w:t>
      </w:r>
      <w:r w:rsidR="00715D6C" w:rsidRPr="00E9505B">
        <w:rPr>
          <w:rFonts w:eastAsia="Times New Roman"/>
          <w:bCs/>
          <w:szCs w:val="20"/>
        </w:rPr>
        <w:t xml:space="preserve">  </w:t>
      </w:r>
      <w:r w:rsidR="000033CA">
        <w:rPr>
          <w:rFonts w:eastAsia="Times New Roman"/>
          <w:bCs/>
          <w:szCs w:val="20"/>
        </w:rPr>
        <w:t>Regular dry chemical, carbon dioxide, water, regular foam</w:t>
      </w:r>
      <w:r w:rsidR="00715D6C" w:rsidRPr="00E9505B">
        <w:rPr>
          <w:rFonts w:eastAsia="Times New Roman"/>
          <w:bCs/>
          <w:szCs w:val="20"/>
        </w:rPr>
        <w:t>.</w:t>
      </w:r>
    </w:p>
    <w:p w14:paraId="0E5846CC" w14:textId="77777777" w:rsidR="00E93DD1" w:rsidRPr="00E9505B" w:rsidRDefault="0028318C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E9505B">
        <w:rPr>
          <w:rFonts w:eastAsia="Times New Roman"/>
          <w:bCs/>
          <w:szCs w:val="20"/>
        </w:rPr>
        <w:tab/>
        <w:t>Unsuitable:</w:t>
      </w:r>
      <w:r w:rsidR="00144ADE" w:rsidRPr="00E9505B">
        <w:rPr>
          <w:rFonts w:eastAsia="Times New Roman"/>
          <w:bCs/>
          <w:szCs w:val="20"/>
        </w:rPr>
        <w:t xml:space="preserve">  None</w:t>
      </w:r>
      <w:r w:rsidR="00EF4006" w:rsidRPr="00E9505B">
        <w:rPr>
          <w:rFonts w:eastAsia="Times New Roman"/>
          <w:bCs/>
          <w:szCs w:val="20"/>
        </w:rPr>
        <w:t xml:space="preserve"> listed.</w:t>
      </w:r>
    </w:p>
    <w:p w14:paraId="6BA0C7E3" w14:textId="77777777" w:rsidR="00E24579" w:rsidRPr="00E9505B" w:rsidRDefault="00676966">
      <w:pPr>
        <w:widowControl/>
        <w:spacing w:before="120"/>
        <w:rPr>
          <w:rFonts w:eastAsia="Times New Roman"/>
          <w:szCs w:val="20"/>
        </w:rPr>
      </w:pPr>
      <w:r w:rsidRPr="00E9505B">
        <w:rPr>
          <w:rFonts w:eastAsia="Times New Roman"/>
          <w:b/>
          <w:bCs/>
          <w:szCs w:val="20"/>
        </w:rPr>
        <w:t>Specific Hazards Arising from the Chemical:</w:t>
      </w:r>
      <w:r w:rsidR="0028318C" w:rsidRPr="00E9505B">
        <w:rPr>
          <w:rFonts w:eastAsia="Times New Roman"/>
          <w:bCs/>
          <w:szCs w:val="20"/>
        </w:rPr>
        <w:t xml:space="preserve">  </w:t>
      </w:r>
      <w:r w:rsidR="00A203EB" w:rsidRPr="00E9505B">
        <w:rPr>
          <w:rFonts w:eastAsia="Times New Roman"/>
          <w:bCs/>
          <w:szCs w:val="20"/>
        </w:rPr>
        <w:t>None listed</w:t>
      </w:r>
      <w:r w:rsidR="0028318C" w:rsidRPr="00E9505B">
        <w:rPr>
          <w:rFonts w:eastAsia="Times New Roman"/>
          <w:bCs/>
          <w:szCs w:val="20"/>
        </w:rPr>
        <w:t>.</w:t>
      </w:r>
    </w:p>
    <w:p w14:paraId="1221501F" w14:textId="2BD9FC09" w:rsidR="002B60F0" w:rsidRPr="00E9505B" w:rsidRDefault="00F057E8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E9505B">
        <w:rPr>
          <w:rFonts w:eastAsia="Times New Roman"/>
          <w:b/>
          <w:bCs/>
          <w:szCs w:val="20"/>
        </w:rPr>
        <w:t xml:space="preserve">Special Protective Equipment and Precautions for </w:t>
      </w:r>
      <w:r w:rsidR="00BF5DD9" w:rsidRPr="00E9505B">
        <w:rPr>
          <w:rFonts w:eastAsia="Times New Roman"/>
          <w:b/>
          <w:bCs/>
          <w:szCs w:val="20"/>
        </w:rPr>
        <w:t>Fire</w:t>
      </w:r>
      <w:r w:rsidRPr="00E9505B">
        <w:rPr>
          <w:rFonts w:eastAsia="Times New Roman"/>
          <w:b/>
          <w:bCs/>
          <w:szCs w:val="20"/>
        </w:rPr>
        <w:t>-Fighters</w:t>
      </w:r>
      <w:r w:rsidR="00BF5DD9" w:rsidRPr="00E9505B">
        <w:rPr>
          <w:rFonts w:eastAsia="Times New Roman"/>
          <w:b/>
          <w:bCs/>
          <w:szCs w:val="20"/>
        </w:rPr>
        <w:t>:</w:t>
      </w:r>
      <w:r w:rsidR="006B637C">
        <w:rPr>
          <w:rFonts w:eastAsia="Times New Roman"/>
          <w:bCs/>
          <w:szCs w:val="20"/>
        </w:rPr>
        <w:t xml:space="preserve">  </w:t>
      </w:r>
      <w:r w:rsidR="00144ADE" w:rsidRPr="00E9505B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230B6418" w14:textId="5B0B80E1" w:rsidR="00170F65" w:rsidRPr="00E9505B" w:rsidRDefault="000D31BB">
      <w:pPr>
        <w:widowControl/>
        <w:spacing w:before="120" w:after="60"/>
        <w:rPr>
          <w:rFonts w:eastAsia="Times New Roman"/>
          <w:b/>
          <w:bCs/>
          <w:szCs w:val="20"/>
        </w:rPr>
      </w:pPr>
      <w:r w:rsidRPr="00E9505B">
        <w:rPr>
          <w:rFonts w:eastAsia="Times New Roman"/>
          <w:b/>
          <w:bCs/>
          <w:szCs w:val="20"/>
        </w:rPr>
        <w:t xml:space="preserve">NFPA Ratings </w:t>
      </w:r>
      <w:r w:rsidR="00170F65" w:rsidRPr="00E9505B">
        <w:rPr>
          <w:szCs w:val="20"/>
        </w:rPr>
        <w:t>(0 = Minimal; 1 = Slight; 2 = Moderate; 3 = Serious; 4 = Severe)</w:t>
      </w:r>
    </w:p>
    <w:p w14:paraId="070BB45B" w14:textId="5741B87F" w:rsidR="00170F65" w:rsidRPr="00047A22" w:rsidRDefault="00170F65">
      <w:pPr>
        <w:widowControl/>
        <w:tabs>
          <w:tab w:val="left" w:pos="360"/>
          <w:tab w:val="left" w:pos="2160"/>
          <w:tab w:val="left" w:pos="3600"/>
        </w:tabs>
        <w:spacing w:before="60" w:after="120"/>
        <w:rPr>
          <w:szCs w:val="20"/>
        </w:rPr>
      </w:pPr>
      <w:r w:rsidRPr="00E9505B">
        <w:rPr>
          <w:rFonts w:eastAsia="Times New Roman"/>
          <w:szCs w:val="20"/>
        </w:rPr>
        <w:tab/>
      </w:r>
      <w:r w:rsidR="000D31BB" w:rsidRPr="00E9505B">
        <w:rPr>
          <w:rFonts w:eastAsia="Times New Roman"/>
          <w:szCs w:val="20"/>
        </w:rPr>
        <w:t xml:space="preserve">Health = </w:t>
      </w:r>
      <w:r w:rsidR="00DB683D" w:rsidRPr="00E9505B">
        <w:rPr>
          <w:szCs w:val="20"/>
        </w:rPr>
        <w:t>1</w:t>
      </w:r>
      <w:r w:rsidR="000D31BB" w:rsidRPr="00E9505B">
        <w:rPr>
          <w:rFonts w:eastAsia="Times New Roman"/>
          <w:szCs w:val="20"/>
        </w:rPr>
        <w:tab/>
        <w:t xml:space="preserve">Fire = </w:t>
      </w:r>
      <w:r w:rsidR="000033CA">
        <w:rPr>
          <w:szCs w:val="20"/>
        </w:rPr>
        <w:t>1</w:t>
      </w:r>
      <w:r w:rsidR="000D31BB" w:rsidRPr="00E9505B">
        <w:rPr>
          <w:rFonts w:eastAsia="Times New Roman"/>
          <w:szCs w:val="20"/>
        </w:rPr>
        <w:tab/>
        <w:t xml:space="preserve">Reactivity = </w:t>
      </w:r>
      <w:r w:rsidR="000D31BB" w:rsidRPr="00E9505B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047A22" w14:paraId="528582B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6712AD0C" w14:textId="77777777" w:rsidR="001D7FE4" w:rsidRPr="00047A22" w:rsidRDefault="001D7FE4" w:rsidP="001967DA">
            <w:pPr>
              <w:widowControl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6. A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CCIDENTAL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ELEASE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66F4B31E" w14:textId="77777777" w:rsidR="00717B98" w:rsidRPr="00047A22" w:rsidRDefault="001D7FE4" w:rsidP="00CF7B42">
      <w:pPr>
        <w:widowControl/>
        <w:spacing w:before="120" w:after="120"/>
        <w:rPr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Personal Precautions, Protective Equipment and Emergency Procedures</w:t>
      </w:r>
      <w:r w:rsidR="00717B98" w:rsidRPr="00047A22">
        <w:rPr>
          <w:rFonts w:eastAsia="Times New Roman"/>
          <w:b/>
          <w:bCs/>
          <w:szCs w:val="20"/>
        </w:rPr>
        <w:t>:</w:t>
      </w:r>
      <w:r w:rsidR="00717B98" w:rsidRPr="00047A22">
        <w:rPr>
          <w:rFonts w:eastAsia="Times New Roman"/>
          <w:bCs/>
          <w:szCs w:val="20"/>
        </w:rPr>
        <w:t xml:space="preserve">  </w:t>
      </w:r>
      <w:r w:rsidR="005832A5" w:rsidRPr="00047A22">
        <w:rPr>
          <w:rFonts w:eastAsia="Times New Roman"/>
          <w:bCs/>
          <w:szCs w:val="20"/>
        </w:rPr>
        <w:t xml:space="preserve">Any accumulated material on surfaces should be removed and properly disposed of.  </w:t>
      </w:r>
      <w:r w:rsidR="00B824E8" w:rsidRPr="00047A22">
        <w:rPr>
          <w:rFonts w:eastAsia="Times New Roman"/>
          <w:bCs/>
          <w:szCs w:val="20"/>
        </w:rPr>
        <w:t>Use suitable protective equipment</w:t>
      </w:r>
      <w:r w:rsidR="00C723CD" w:rsidRPr="00047A22">
        <w:rPr>
          <w:rFonts w:eastAsia="Times New Roman"/>
          <w:bCs/>
          <w:szCs w:val="20"/>
        </w:rPr>
        <w:t xml:space="preserve">; </w:t>
      </w:r>
      <w:r w:rsidR="00B824E8" w:rsidRPr="00047A22">
        <w:rPr>
          <w:rFonts w:eastAsia="Times New Roman"/>
          <w:bCs/>
          <w:szCs w:val="20"/>
        </w:rPr>
        <w:t>see Section 8, “Exposure Controls and Personal Protection”.</w:t>
      </w:r>
    </w:p>
    <w:p w14:paraId="548883C7" w14:textId="77777777" w:rsidR="00BC5C79" w:rsidRPr="00047A22" w:rsidRDefault="00BC5C79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Methods and Materials for Containment and Clean up</w:t>
      </w:r>
      <w:r w:rsidR="00717B98" w:rsidRPr="00047A22">
        <w:rPr>
          <w:rFonts w:eastAsia="Times New Roman"/>
          <w:b/>
          <w:bCs/>
          <w:szCs w:val="20"/>
        </w:rPr>
        <w:t>:</w:t>
      </w:r>
      <w:r w:rsidR="00717B98" w:rsidRPr="00047A22">
        <w:rPr>
          <w:rFonts w:eastAsia="Times New Roman"/>
          <w:bCs/>
          <w:szCs w:val="20"/>
        </w:rPr>
        <w:t xml:space="preserve"> </w:t>
      </w:r>
      <w:r w:rsidR="00717B98" w:rsidRPr="00047A22">
        <w:rPr>
          <w:szCs w:val="20"/>
        </w:rPr>
        <w:t xml:space="preserve"> </w:t>
      </w:r>
      <w:r w:rsidR="007D4A25" w:rsidRPr="00047A22">
        <w:rPr>
          <w:rFonts w:eastAsia="Times New Roman"/>
          <w:bCs/>
          <w:szCs w:val="20"/>
        </w:rPr>
        <w:t xml:space="preserve">Collect spilled material in appropriate container for disposal. </w:t>
      </w:r>
      <w:r w:rsidR="00C13DBB" w:rsidRPr="00047A22">
        <w:rPr>
          <w:rFonts w:eastAsia="Times New Roman"/>
          <w:bCs/>
          <w:szCs w:val="20"/>
        </w:rPr>
        <w:t xml:space="preserve"> </w:t>
      </w:r>
      <w:r w:rsidR="007D4A25" w:rsidRPr="00047A22">
        <w:rPr>
          <w:rFonts w:eastAsia="Times New Roman"/>
          <w:bCs/>
          <w:szCs w:val="20"/>
        </w:rPr>
        <w:t xml:space="preserve">Keep out of water supplies and sewers. </w:t>
      </w:r>
      <w:r w:rsidR="00C13DBB" w:rsidRPr="00047A22">
        <w:rPr>
          <w:rFonts w:eastAsia="Times New Roman"/>
          <w:bCs/>
          <w:szCs w:val="20"/>
        </w:rPr>
        <w:t xml:space="preserve"> </w:t>
      </w:r>
      <w:r w:rsidR="007D4A25" w:rsidRPr="00047A22">
        <w:rPr>
          <w:rFonts w:eastAsia="Times New Roman"/>
          <w:bCs/>
          <w:szCs w:val="20"/>
        </w:rPr>
        <w:t>Keep unnecessary people away, isolate hazard area and deny entry.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047A22" w14:paraId="34E636AE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4344921" w14:textId="77777777" w:rsidR="001D7FE4" w:rsidRPr="00047A22" w:rsidRDefault="001D7FE4" w:rsidP="001967DA">
            <w:pPr>
              <w:widowControl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7. H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ANDLING AND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S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TORAGE</w:t>
            </w:r>
          </w:p>
        </w:tc>
      </w:tr>
    </w:tbl>
    <w:p w14:paraId="7ECC73D2" w14:textId="4DA8E47F" w:rsidR="001D7FE4" w:rsidRPr="00047A22" w:rsidRDefault="001D7FE4" w:rsidP="00CF7B42">
      <w:pPr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Safe Handling Precautions:</w:t>
      </w:r>
      <w:r w:rsidRPr="00047A22">
        <w:rPr>
          <w:rFonts w:eastAsia="Times New Roman"/>
          <w:bCs/>
          <w:szCs w:val="20"/>
        </w:rPr>
        <w:t xml:space="preserve">  </w:t>
      </w:r>
      <w:r w:rsidR="006B712E" w:rsidRPr="00047A22">
        <w:rPr>
          <w:rFonts w:eastAsia="Times New Roman"/>
          <w:bCs/>
          <w:szCs w:val="20"/>
        </w:rPr>
        <w:t>Minimize dust generation and accumulation</w:t>
      </w:r>
      <w:r w:rsidR="00622909" w:rsidRPr="00047A22">
        <w:rPr>
          <w:rFonts w:eastAsia="Times New Roman"/>
          <w:bCs/>
          <w:szCs w:val="20"/>
        </w:rPr>
        <w:t xml:space="preserve"> on surfaces</w:t>
      </w:r>
      <w:r w:rsidR="00E1552D" w:rsidRPr="00047A22">
        <w:rPr>
          <w:rFonts w:eastAsia="Times New Roman"/>
          <w:bCs/>
          <w:szCs w:val="20"/>
        </w:rPr>
        <w:t xml:space="preserve">.  </w:t>
      </w:r>
      <w:r w:rsidR="00040067" w:rsidRPr="00047A22">
        <w:rPr>
          <w:rFonts w:eastAsia="Times New Roman"/>
          <w:bCs/>
          <w:szCs w:val="20"/>
        </w:rPr>
        <w:t>Routine housekeeping should be instituted to ensure that dust do</w:t>
      </w:r>
      <w:r w:rsidR="005E2B05">
        <w:rPr>
          <w:rFonts w:eastAsia="Times New Roman"/>
          <w:bCs/>
          <w:szCs w:val="20"/>
        </w:rPr>
        <w:t>es</w:t>
      </w:r>
      <w:r w:rsidR="00040067" w:rsidRPr="00047A22">
        <w:rPr>
          <w:rFonts w:eastAsia="Times New Roman"/>
          <w:bCs/>
          <w:szCs w:val="20"/>
        </w:rPr>
        <w:t xml:space="preserve"> not accumulate on surfaces.  </w:t>
      </w:r>
      <w:r w:rsidR="003045F2" w:rsidRPr="00047A22">
        <w:rPr>
          <w:szCs w:val="20"/>
        </w:rPr>
        <w:t>See Section</w:t>
      </w:r>
      <w:r w:rsidR="002F28B5" w:rsidRPr="00047A22">
        <w:rPr>
          <w:szCs w:val="20"/>
        </w:rPr>
        <w:t> </w:t>
      </w:r>
      <w:r w:rsidR="003045F2" w:rsidRPr="00047A22">
        <w:rPr>
          <w:szCs w:val="20"/>
        </w:rPr>
        <w:t>8, “Exposure Controls and Personal Protection”</w:t>
      </w:r>
      <w:r w:rsidR="00902F44" w:rsidRPr="00047A22">
        <w:rPr>
          <w:szCs w:val="20"/>
        </w:rPr>
        <w:t>.</w:t>
      </w:r>
      <w:r w:rsidR="001116B5" w:rsidRPr="00047A22">
        <w:rPr>
          <w:szCs w:val="20"/>
        </w:rPr>
        <w:t xml:space="preserve"> </w:t>
      </w:r>
      <w:r w:rsidR="001116B5" w:rsidRPr="00047A22">
        <w:rPr>
          <w:rFonts w:eastAsia="Times New Roman"/>
          <w:bCs/>
          <w:szCs w:val="20"/>
        </w:rPr>
        <w:t xml:space="preserve"> Avoid contact with incompatible materials (see Section 10</w:t>
      </w:r>
      <w:r w:rsidR="009745A7">
        <w:rPr>
          <w:rFonts w:eastAsia="Times New Roman"/>
          <w:bCs/>
          <w:szCs w:val="20"/>
        </w:rPr>
        <w:t>,</w:t>
      </w:r>
      <w:r w:rsidR="001116B5" w:rsidRPr="00047A22">
        <w:rPr>
          <w:rFonts w:eastAsia="Times New Roman"/>
          <w:bCs/>
          <w:szCs w:val="20"/>
        </w:rPr>
        <w:t xml:space="preserve"> “Stability and Reactivity”).</w:t>
      </w:r>
    </w:p>
    <w:p w14:paraId="04842B7D" w14:textId="77E500B4" w:rsidR="00D25DBF" w:rsidRDefault="00FD5524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Storage</w:t>
      </w:r>
      <w:r w:rsidR="00D86CFF" w:rsidRPr="00047A22">
        <w:rPr>
          <w:rFonts w:eastAsia="Times New Roman"/>
          <w:b/>
          <w:bCs/>
          <w:szCs w:val="20"/>
        </w:rPr>
        <w:t>:</w:t>
      </w:r>
      <w:r w:rsidR="00D86CFF"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bCs/>
          <w:szCs w:val="20"/>
        </w:rPr>
        <w:t xml:space="preserve">Store and </w:t>
      </w:r>
      <w:r w:rsidR="00557971" w:rsidRPr="00047A22">
        <w:rPr>
          <w:rFonts w:eastAsia="Times New Roman"/>
          <w:bCs/>
          <w:szCs w:val="20"/>
        </w:rPr>
        <w:t>handl</w:t>
      </w:r>
      <w:r w:rsidR="00557971">
        <w:rPr>
          <w:rFonts w:eastAsia="Times New Roman"/>
          <w:bCs/>
          <w:szCs w:val="20"/>
        </w:rPr>
        <w:t>e</w:t>
      </w:r>
      <w:r w:rsidR="00557971" w:rsidRPr="00047A22">
        <w:rPr>
          <w:rFonts w:eastAsia="Times New Roman"/>
          <w:bCs/>
          <w:szCs w:val="20"/>
        </w:rPr>
        <w:t xml:space="preserve"> </w:t>
      </w:r>
      <w:r w:rsidRPr="00047A22">
        <w:rPr>
          <w:rFonts w:eastAsia="Times New Roman"/>
          <w:bCs/>
          <w:szCs w:val="20"/>
        </w:rPr>
        <w:t>in accordance with all current regulations and standards.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047A22" w14:paraId="561BFBFF" w14:textId="77777777" w:rsidTr="005C5645">
        <w:trPr>
          <w:trHeight w:hRule="exact" w:val="360"/>
        </w:trPr>
        <w:tc>
          <w:tcPr>
            <w:tcW w:w="9360" w:type="dxa"/>
            <w:vAlign w:val="center"/>
          </w:tcPr>
          <w:p w14:paraId="5D8518F9" w14:textId="77777777" w:rsidR="00D25DBF" w:rsidRPr="00047A22" w:rsidRDefault="00D25DBF" w:rsidP="001967DA">
            <w:pPr>
              <w:widowControl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8. E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XPOSURE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ONTROLS AND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ERSONAL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ROTECTION</w:t>
            </w:r>
          </w:p>
        </w:tc>
      </w:tr>
    </w:tbl>
    <w:p w14:paraId="6B876BCF" w14:textId="470BC565" w:rsidR="006B637C" w:rsidRPr="006B637C" w:rsidRDefault="006B637C" w:rsidP="001967DA">
      <w:pPr>
        <w:widowControl/>
        <w:spacing w:before="120" w:after="120"/>
        <w:rPr>
          <w:rFonts w:eastAsia="Times New Roman"/>
          <w:sz w:val="19"/>
          <w:szCs w:val="19"/>
        </w:rPr>
      </w:pPr>
      <w:r w:rsidRPr="006B637C">
        <w:rPr>
          <w:rFonts w:eastAsia="Times New Roman"/>
          <w:b/>
          <w:bCs/>
          <w:spacing w:val="-1"/>
          <w:szCs w:val="20"/>
        </w:rPr>
        <w:t>Ex</w:t>
      </w:r>
      <w:r w:rsidRPr="006B637C">
        <w:rPr>
          <w:rFonts w:eastAsia="Times New Roman"/>
          <w:b/>
          <w:bCs/>
          <w:szCs w:val="20"/>
        </w:rPr>
        <w:t>p</w:t>
      </w:r>
      <w:r w:rsidRPr="006B637C">
        <w:rPr>
          <w:rFonts w:eastAsia="Times New Roman"/>
          <w:b/>
          <w:bCs/>
          <w:spacing w:val="1"/>
          <w:szCs w:val="20"/>
        </w:rPr>
        <w:t>o</w:t>
      </w:r>
      <w:r w:rsidRPr="006B637C">
        <w:rPr>
          <w:rFonts w:eastAsia="Times New Roman"/>
          <w:b/>
          <w:bCs/>
          <w:spacing w:val="-1"/>
          <w:szCs w:val="20"/>
        </w:rPr>
        <w:t>s</w:t>
      </w:r>
      <w:r w:rsidRPr="006B637C">
        <w:rPr>
          <w:rFonts w:eastAsia="Times New Roman"/>
          <w:b/>
          <w:bCs/>
          <w:szCs w:val="20"/>
        </w:rPr>
        <w:t>ure</w:t>
      </w:r>
      <w:r w:rsidRPr="006B637C">
        <w:rPr>
          <w:rFonts w:eastAsia="Times New Roman"/>
          <w:b/>
          <w:bCs/>
          <w:spacing w:val="-7"/>
          <w:szCs w:val="20"/>
        </w:rPr>
        <w:t xml:space="preserve"> </w:t>
      </w:r>
      <w:r w:rsidRPr="006B637C">
        <w:rPr>
          <w:rFonts w:eastAsia="Times New Roman"/>
          <w:b/>
          <w:bCs/>
          <w:spacing w:val="-1"/>
          <w:szCs w:val="20"/>
        </w:rPr>
        <w:t>L</w:t>
      </w:r>
      <w:r w:rsidRPr="006B637C">
        <w:rPr>
          <w:rFonts w:eastAsia="Times New Roman"/>
          <w:b/>
          <w:bCs/>
          <w:szCs w:val="20"/>
        </w:rPr>
        <w:t>i</w:t>
      </w:r>
      <w:r w:rsidRPr="006B637C">
        <w:rPr>
          <w:rFonts w:eastAsia="Times New Roman"/>
          <w:b/>
          <w:bCs/>
          <w:spacing w:val="-5"/>
          <w:szCs w:val="20"/>
        </w:rPr>
        <w:t>m</w:t>
      </w:r>
      <w:r w:rsidRPr="006B637C">
        <w:rPr>
          <w:rFonts w:eastAsia="Times New Roman"/>
          <w:b/>
          <w:bCs/>
          <w:szCs w:val="20"/>
        </w:rPr>
        <w:t>i</w:t>
      </w:r>
      <w:r w:rsidRPr="006B637C">
        <w:rPr>
          <w:rFonts w:eastAsia="Times New Roman"/>
          <w:b/>
          <w:bCs/>
          <w:spacing w:val="1"/>
          <w:szCs w:val="20"/>
        </w:rPr>
        <w:t>t</w:t>
      </w:r>
      <w:r w:rsidRPr="006B637C">
        <w:rPr>
          <w:rFonts w:eastAsia="Times New Roman"/>
          <w:b/>
          <w:bCs/>
          <w:szCs w:val="20"/>
        </w:rPr>
        <w:t>s:</w:t>
      </w:r>
      <w:r w:rsidRPr="006B637C">
        <w:rPr>
          <w:rFonts w:eastAsia="Times New Roman"/>
          <w:bCs/>
          <w:szCs w:val="20"/>
        </w:rPr>
        <w:t xml:space="preserve">  This material is a particulate matter and adequate inhalation/respiratory protection should be used to minimize exposure.  No occupational exposure limits have been established for </w:t>
      </w:r>
      <w:r w:rsidR="00CA7B57">
        <w:rPr>
          <w:rFonts w:eastAsia="Times New Roman"/>
          <w:bCs/>
          <w:szCs w:val="20"/>
        </w:rPr>
        <w:t xml:space="preserve">this </w:t>
      </w:r>
      <w:r w:rsidRPr="006B637C">
        <w:rPr>
          <w:rFonts w:eastAsia="Times New Roman"/>
          <w:bCs/>
          <w:szCs w:val="20"/>
        </w:rPr>
        <w:t>fine particulate matter.  The exposure limits for Particulates Not Otherwise Regulated are applicable.</w:t>
      </w:r>
    </w:p>
    <w:p w14:paraId="453FD378" w14:textId="77777777" w:rsidR="006B637C" w:rsidRPr="006B637C" w:rsidRDefault="006B637C" w:rsidP="00CF7B42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6B637C">
        <w:rPr>
          <w:rFonts w:eastAsia="Times New Roman"/>
          <w:szCs w:val="20"/>
        </w:rPr>
        <w:t>OSHA (PEL):</w:t>
      </w:r>
      <w:r w:rsidRPr="006B637C">
        <w:rPr>
          <w:rFonts w:eastAsia="Times New Roman"/>
          <w:szCs w:val="20"/>
        </w:rPr>
        <w:tab/>
        <w:t>15 mg/m</w:t>
      </w:r>
      <w:r w:rsidRPr="006B637C">
        <w:rPr>
          <w:rFonts w:eastAsia="Times New Roman"/>
          <w:szCs w:val="20"/>
          <w:vertAlign w:val="superscript"/>
        </w:rPr>
        <w:t>3</w:t>
      </w:r>
      <w:r w:rsidRPr="006B637C">
        <w:rPr>
          <w:rFonts w:eastAsia="Times New Roman"/>
          <w:szCs w:val="20"/>
        </w:rPr>
        <w:t xml:space="preserve"> (TWA, total particulates)</w:t>
      </w:r>
    </w:p>
    <w:p w14:paraId="5B48CF29" w14:textId="766E8845" w:rsidR="00CC4E80" w:rsidRPr="001B7FEA" w:rsidRDefault="006B637C">
      <w:pPr>
        <w:widowControl/>
        <w:tabs>
          <w:tab w:val="left" w:pos="1710"/>
        </w:tabs>
        <w:rPr>
          <w:rFonts w:eastAsia="Times New Roman"/>
          <w:bCs/>
          <w:szCs w:val="20"/>
        </w:rPr>
      </w:pPr>
      <w:r w:rsidRPr="006B637C">
        <w:rPr>
          <w:rFonts w:eastAsia="Times New Roman"/>
          <w:szCs w:val="20"/>
        </w:rPr>
        <w:tab/>
        <w:t>5 mg/m</w:t>
      </w:r>
      <w:r w:rsidRPr="006B637C">
        <w:rPr>
          <w:rFonts w:eastAsia="Times New Roman"/>
          <w:szCs w:val="20"/>
          <w:vertAlign w:val="superscript"/>
        </w:rPr>
        <w:t>3</w:t>
      </w:r>
      <w:r w:rsidRPr="006B637C">
        <w:rPr>
          <w:rFonts w:eastAsia="Times New Roman"/>
          <w:szCs w:val="20"/>
        </w:rPr>
        <w:t xml:space="preserve"> (TWA, </w:t>
      </w:r>
      <w:proofErr w:type="spellStart"/>
      <w:r w:rsidRPr="006B637C">
        <w:rPr>
          <w:rFonts w:eastAsia="Times New Roman"/>
          <w:szCs w:val="20"/>
        </w:rPr>
        <w:t>respirable</w:t>
      </w:r>
      <w:proofErr w:type="spellEnd"/>
      <w:r w:rsidRPr="006B637C">
        <w:rPr>
          <w:rFonts w:eastAsia="Times New Roman"/>
          <w:szCs w:val="20"/>
        </w:rPr>
        <w:t xml:space="preserve"> particulates)</w:t>
      </w:r>
    </w:p>
    <w:p w14:paraId="46B356A5" w14:textId="51932AC0" w:rsidR="0031663D" w:rsidRPr="00047A22" w:rsidRDefault="0031663D">
      <w:pPr>
        <w:widowControl/>
        <w:spacing w:before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Engineering Controls:</w:t>
      </w:r>
      <w:r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szCs w:val="20"/>
        </w:rPr>
        <w:t>Provide local exhaust or process enclosure ventilation system.  Ensure compliance with applicable exposure limits</w:t>
      </w:r>
      <w:r w:rsidR="00194A53" w:rsidRPr="00047A22">
        <w:rPr>
          <w:rFonts w:eastAsia="Times New Roman"/>
          <w:szCs w:val="20"/>
        </w:rPr>
        <w:t>.</w:t>
      </w:r>
    </w:p>
    <w:p w14:paraId="690FE243" w14:textId="77777777" w:rsidR="0031663D" w:rsidRPr="00047A22" w:rsidRDefault="00194A53" w:rsidP="001967DA">
      <w:pPr>
        <w:widowControl/>
        <w:spacing w:before="120" w:after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Personal </w:t>
      </w:r>
      <w:r w:rsidR="0031663D" w:rsidRPr="00047A22">
        <w:rPr>
          <w:rFonts w:eastAsia="Times New Roman"/>
          <w:b/>
          <w:bCs/>
          <w:szCs w:val="20"/>
        </w:rPr>
        <w:t>Protection</w:t>
      </w:r>
      <w:r w:rsidR="00011CAC" w:rsidRPr="00047A22">
        <w:rPr>
          <w:rFonts w:eastAsia="Times New Roman"/>
          <w:b/>
          <w:bCs/>
          <w:szCs w:val="20"/>
        </w:rPr>
        <w:t>:</w:t>
      </w:r>
      <w:r w:rsidR="00011CAC" w:rsidRPr="00047A22">
        <w:rPr>
          <w:rFonts w:eastAsia="Times New Roman"/>
          <w:bCs/>
          <w:szCs w:val="20"/>
        </w:rPr>
        <w:t xml:space="preserve">  </w:t>
      </w:r>
      <w:r w:rsidR="00011CAC" w:rsidRPr="00047A22">
        <w:rPr>
          <w:rFonts w:eastAsia="Times New Roman"/>
          <w:szCs w:val="20"/>
        </w:rPr>
        <w:t>In accordance with OSHA 29 CFR 1910.132, subpart I, wear appropriate Personal Protective Equipment (PPE) to minimize exposure to this material.</w:t>
      </w:r>
    </w:p>
    <w:p w14:paraId="21681AE1" w14:textId="77777777" w:rsidR="0031663D" w:rsidRPr="00047A22" w:rsidRDefault="0031663D" w:rsidP="00CF7B42">
      <w:pPr>
        <w:widowControl/>
        <w:ind w:left="36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Respirator</w:t>
      </w:r>
      <w:r w:rsidR="00011CAC" w:rsidRPr="00047A22">
        <w:rPr>
          <w:rFonts w:eastAsia="Times New Roman"/>
          <w:b/>
          <w:bCs/>
          <w:szCs w:val="20"/>
        </w:rPr>
        <w:t>y Protection</w:t>
      </w:r>
      <w:r w:rsidRPr="00047A22">
        <w:rPr>
          <w:rFonts w:eastAsia="Times New Roman"/>
          <w:b/>
          <w:bCs/>
          <w:szCs w:val="20"/>
        </w:rPr>
        <w:t>:</w:t>
      </w:r>
      <w:r w:rsidR="00783F68"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szCs w:val="20"/>
        </w:rPr>
        <w:t>If workplace conditions warrant a respirator, a respiratory protection program that meets OSHA</w:t>
      </w:r>
      <w:r w:rsidR="00F4046F" w:rsidRPr="00047A22">
        <w:rPr>
          <w:rFonts w:eastAsia="Times New Roman"/>
          <w:szCs w:val="20"/>
        </w:rPr>
        <w:t> </w:t>
      </w:r>
      <w:r w:rsidRPr="00047A22">
        <w:rPr>
          <w:rFonts w:eastAsia="Times New Roman"/>
          <w:szCs w:val="20"/>
        </w:rPr>
        <w:t>29CFR</w:t>
      </w:r>
      <w:r w:rsidR="00F4046F" w:rsidRPr="00047A22">
        <w:rPr>
          <w:rFonts w:eastAsia="Times New Roman"/>
          <w:szCs w:val="20"/>
        </w:rPr>
        <w:t> </w:t>
      </w:r>
      <w:r w:rsidRPr="00047A22">
        <w:rPr>
          <w:rFonts w:eastAsia="Times New Roman"/>
          <w:szCs w:val="20"/>
        </w:rPr>
        <w:t>1910.134 must be followed.</w:t>
      </w:r>
      <w:r w:rsidR="00F4046F" w:rsidRPr="00047A22">
        <w:rPr>
          <w:rFonts w:eastAsia="Times New Roman"/>
          <w:szCs w:val="20"/>
        </w:rPr>
        <w:t xml:space="preserve"> </w:t>
      </w:r>
      <w:r w:rsidRPr="00047A22">
        <w:rPr>
          <w:rFonts w:eastAsia="Times New Roman"/>
          <w:szCs w:val="20"/>
        </w:rPr>
        <w:t xml:space="preserve"> Refer to NIOSH 42</w:t>
      </w:r>
      <w:r w:rsidR="00F4046F" w:rsidRPr="00047A22">
        <w:rPr>
          <w:rFonts w:eastAsia="Times New Roman"/>
          <w:szCs w:val="20"/>
        </w:rPr>
        <w:t> </w:t>
      </w:r>
      <w:r w:rsidRPr="00047A22">
        <w:rPr>
          <w:rFonts w:eastAsia="Times New Roman"/>
          <w:szCs w:val="20"/>
        </w:rPr>
        <w:t>CFR</w:t>
      </w:r>
      <w:r w:rsidR="00F4046F" w:rsidRPr="00047A22">
        <w:rPr>
          <w:rFonts w:eastAsia="Times New Roman"/>
          <w:szCs w:val="20"/>
        </w:rPr>
        <w:t> </w:t>
      </w:r>
      <w:r w:rsidRPr="00047A22">
        <w:rPr>
          <w:rFonts w:eastAsia="Times New Roman"/>
          <w:szCs w:val="20"/>
        </w:rPr>
        <w:t>84 for applicable certified respirators.</w:t>
      </w:r>
    </w:p>
    <w:p w14:paraId="5CCD811D" w14:textId="39E5C1EB" w:rsidR="00013A6F" w:rsidRPr="00047A22" w:rsidRDefault="0031663D" w:rsidP="001967DA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Eye</w:t>
      </w:r>
      <w:r w:rsidR="00232FEE" w:rsidRPr="00047A22">
        <w:rPr>
          <w:rFonts w:eastAsia="Times New Roman"/>
          <w:b/>
          <w:bCs/>
          <w:szCs w:val="20"/>
        </w:rPr>
        <w:t>/Face</w:t>
      </w:r>
      <w:r w:rsidRPr="00047A22">
        <w:rPr>
          <w:rFonts w:eastAsia="Times New Roman"/>
          <w:b/>
          <w:bCs/>
          <w:szCs w:val="20"/>
        </w:rPr>
        <w:t xml:space="preserve"> Protection:</w:t>
      </w:r>
      <w:r w:rsidR="00783F68" w:rsidRPr="00047A22">
        <w:rPr>
          <w:rFonts w:eastAsia="Times New Roman"/>
          <w:bCs/>
          <w:szCs w:val="20"/>
        </w:rPr>
        <w:t xml:space="preserve">  </w:t>
      </w:r>
      <w:r w:rsidR="00D86CFF" w:rsidRPr="00047A22">
        <w:rPr>
          <w:rFonts w:eastAsia="Times New Roman"/>
          <w:bCs/>
          <w:szCs w:val="20"/>
        </w:rPr>
        <w:t xml:space="preserve">Wear splash resistant safety goggles with a face shield. </w:t>
      </w:r>
      <w:r w:rsidR="008154F9" w:rsidRPr="00047A22">
        <w:rPr>
          <w:rFonts w:eastAsia="Times New Roman"/>
          <w:bCs/>
          <w:szCs w:val="20"/>
        </w:rPr>
        <w:t xml:space="preserve"> </w:t>
      </w:r>
      <w:r w:rsidR="00D86CFF" w:rsidRPr="00047A22">
        <w:rPr>
          <w:rFonts w:eastAsia="Times New Roman"/>
          <w:bCs/>
          <w:szCs w:val="20"/>
        </w:rPr>
        <w:t>An eye wash station should be readily available near areas of use.</w:t>
      </w:r>
    </w:p>
    <w:p w14:paraId="56A6DCEA" w14:textId="6062A768" w:rsidR="00BE33F7" w:rsidRDefault="00194A53" w:rsidP="00CF7B42">
      <w:pPr>
        <w:widowControl/>
        <w:spacing w:before="120" w:after="120"/>
        <w:ind w:left="360"/>
      </w:pPr>
      <w:r w:rsidRPr="00047A22">
        <w:rPr>
          <w:rFonts w:eastAsia="Times New Roman"/>
          <w:b/>
          <w:bCs/>
          <w:szCs w:val="20"/>
        </w:rPr>
        <w:t xml:space="preserve">Skin </w:t>
      </w:r>
      <w:r w:rsidR="00011CAC" w:rsidRPr="00047A22">
        <w:rPr>
          <w:rFonts w:eastAsia="Times New Roman"/>
          <w:b/>
          <w:bCs/>
          <w:szCs w:val="20"/>
        </w:rPr>
        <w:t xml:space="preserve">and Body </w:t>
      </w:r>
      <w:r w:rsidRPr="00047A22">
        <w:rPr>
          <w:rFonts w:eastAsia="Times New Roman"/>
          <w:b/>
          <w:bCs/>
          <w:szCs w:val="20"/>
        </w:rPr>
        <w:t>Protection:</w:t>
      </w:r>
      <w:r w:rsidRPr="00B63E8C">
        <w:rPr>
          <w:rFonts w:eastAsia="Times New Roman"/>
          <w:bCs/>
          <w:szCs w:val="20"/>
        </w:rPr>
        <w:t xml:space="preserve"> </w:t>
      </w:r>
      <w:r w:rsidR="00D86CFF" w:rsidRPr="00B63E8C">
        <w:rPr>
          <w:rFonts w:eastAsia="Times New Roman"/>
          <w:bCs/>
          <w:szCs w:val="20"/>
        </w:rPr>
        <w:t xml:space="preserve"> </w:t>
      </w:r>
      <w:r w:rsidR="004E5DB2" w:rsidRPr="00047A22">
        <w:rPr>
          <w:rFonts w:eastAsia="Times New Roman"/>
          <w:bCs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047A22">
        <w:rPr>
          <w:rFonts w:eastAsia="Times New Roman"/>
          <w:szCs w:val="20"/>
        </w:rPr>
        <w:t>.</w:t>
      </w:r>
      <w:r w:rsidR="00FD5524" w:rsidRPr="00047A22">
        <w:rPr>
          <w:rFonts w:eastAsia="Times New Roman"/>
          <w:bCs/>
          <w:szCs w:val="20"/>
        </w:rPr>
        <w:t xml:space="preserve">  Chemical</w:t>
      </w:r>
      <w:r w:rsidR="00103BD6" w:rsidRPr="00047A22">
        <w:rPr>
          <w:rFonts w:eastAsia="Times New Roman"/>
          <w:bCs/>
          <w:szCs w:val="20"/>
        </w:rPr>
        <w:noBreakHyphen/>
      </w:r>
      <w:r w:rsidR="00FD5524" w:rsidRPr="00047A22">
        <w:rPr>
          <w:rFonts w:eastAsia="Times New Roman"/>
          <w:bCs/>
          <w:szCs w:val="20"/>
        </w:rPr>
        <w:t>resistant gloves should be worn at all times when handling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047A22" w14:paraId="6B8E26C1" w14:textId="77777777" w:rsidTr="00860FBC">
        <w:trPr>
          <w:trHeight w:hRule="exact" w:val="360"/>
        </w:trPr>
        <w:tc>
          <w:tcPr>
            <w:tcW w:w="9576" w:type="dxa"/>
            <w:vAlign w:val="center"/>
          </w:tcPr>
          <w:p w14:paraId="54E18A94" w14:textId="5AC3479A" w:rsidR="00D25DBF" w:rsidRPr="00047A22" w:rsidRDefault="00D25DBF" w:rsidP="00084177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eastAsia="Times New Roman"/>
                <w:b/>
                <w:bCs/>
                <w:sz w:val="32"/>
                <w:szCs w:val="20"/>
              </w:rPr>
            </w:pPr>
            <w:r w:rsidRPr="00047A22">
              <w:rPr>
                <w:rFonts w:eastAsia="Times New Roman"/>
                <w:b/>
                <w:bCs/>
                <w:smallCaps/>
                <w:sz w:val="24"/>
                <w:szCs w:val="24"/>
              </w:rPr>
              <w:t>9</w:t>
            </w:r>
            <w:r w:rsidRPr="00047A22">
              <w:rPr>
                <w:rFonts w:eastAsia="Times New Roman"/>
                <w:bCs/>
                <w:smallCaps/>
                <w:sz w:val="24"/>
                <w:szCs w:val="24"/>
              </w:rPr>
              <w:t xml:space="preserve">.  </w:t>
            </w:r>
            <w:r w:rsidRPr="00047A22">
              <w:rPr>
                <w:rFonts w:eastAsia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4771B5E5" w14:textId="5D5C5BC7" w:rsidR="00D25DBF" w:rsidRPr="00047A22" w:rsidRDefault="00D25DBF" w:rsidP="00CF7B42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590"/>
      </w:tblGrid>
      <w:tr w:rsidR="00E06A19" w:rsidRPr="00804CE5" w14:paraId="2F21AB5F" w14:textId="77777777" w:rsidTr="00E351D1">
        <w:trPr>
          <w:cantSplit/>
        </w:trPr>
        <w:tc>
          <w:tcPr>
            <w:tcW w:w="4428" w:type="dxa"/>
          </w:tcPr>
          <w:p w14:paraId="705BEEBA" w14:textId="02794F14" w:rsidR="00E06A19" w:rsidRPr="006C4598" w:rsidRDefault="00F808EE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 xml:space="preserve">Descriptive </w:t>
            </w:r>
            <w:r w:rsidR="00E06A19" w:rsidRPr="006C4598">
              <w:rPr>
                <w:b/>
                <w:color w:val="auto"/>
                <w:sz w:val="20"/>
                <w:szCs w:val="20"/>
              </w:rPr>
              <w:t>Properties</w:t>
            </w:r>
          </w:p>
        </w:tc>
        <w:tc>
          <w:tcPr>
            <w:tcW w:w="4590" w:type="dxa"/>
          </w:tcPr>
          <w:p w14:paraId="11E23BED" w14:textId="3E9DDA59" w:rsidR="00E06A19" w:rsidRPr="001D4B38" w:rsidRDefault="00C30809" w:rsidP="00C329FA">
            <w:pPr>
              <w:pStyle w:val="Default"/>
              <w:spacing w:after="120"/>
              <w:ind w:left="144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VMA</w:t>
            </w:r>
          </w:p>
        </w:tc>
      </w:tr>
      <w:tr w:rsidR="00013A6F" w:rsidRPr="00804CE5" w14:paraId="0E356174" w14:textId="77777777" w:rsidTr="00E351D1">
        <w:trPr>
          <w:cantSplit/>
          <w:trHeight w:val="144"/>
        </w:trPr>
        <w:tc>
          <w:tcPr>
            <w:tcW w:w="4428" w:type="dxa"/>
          </w:tcPr>
          <w:p w14:paraId="39B81ECC" w14:textId="73DA2DA2" w:rsidR="00013A6F" w:rsidRPr="00A26292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A26292">
              <w:rPr>
                <w:b/>
                <w:color w:val="auto"/>
                <w:sz w:val="20"/>
                <w:szCs w:val="20"/>
              </w:rPr>
              <w:t>Appearance (physical state, color, etc.)</w:t>
            </w:r>
          </w:p>
        </w:tc>
        <w:tc>
          <w:tcPr>
            <w:tcW w:w="4590" w:type="dxa"/>
          </w:tcPr>
          <w:p w14:paraId="6782564B" w14:textId="4004DFE3" w:rsidR="00013A6F" w:rsidRPr="00804CE5" w:rsidRDefault="00E32159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powder</w:t>
            </w:r>
          </w:p>
        </w:tc>
      </w:tr>
      <w:tr w:rsidR="00013A6F" w:rsidRPr="00804CE5" w14:paraId="1102C67D" w14:textId="77777777" w:rsidTr="00E351D1">
        <w:trPr>
          <w:cantSplit/>
          <w:trHeight w:val="144"/>
        </w:trPr>
        <w:tc>
          <w:tcPr>
            <w:tcW w:w="4428" w:type="dxa"/>
          </w:tcPr>
          <w:p w14:paraId="30E84954" w14:textId="6B964625" w:rsidR="00013A6F" w:rsidRPr="00A26292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A26292">
              <w:rPr>
                <w:b/>
                <w:color w:val="auto"/>
                <w:sz w:val="20"/>
                <w:szCs w:val="20"/>
              </w:rPr>
              <w:t>Molecular Formula</w:t>
            </w:r>
          </w:p>
        </w:tc>
        <w:tc>
          <w:tcPr>
            <w:tcW w:w="4590" w:type="dxa"/>
          </w:tcPr>
          <w:p w14:paraId="5A51D91B" w14:textId="03D8997C" w:rsidR="00013A6F" w:rsidRPr="000033CA" w:rsidRDefault="000033CA" w:rsidP="003E6C67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(C</w:t>
            </w:r>
            <w:r w:rsidR="003E6C67">
              <w:rPr>
                <w:color w:val="auto"/>
                <w:sz w:val="20"/>
                <w:szCs w:val="20"/>
                <w:vertAlign w:val="subscript"/>
              </w:rPr>
              <w:t>9</w:t>
            </w:r>
            <w:r>
              <w:rPr>
                <w:color w:val="auto"/>
                <w:sz w:val="20"/>
                <w:szCs w:val="20"/>
              </w:rPr>
              <w:t>H</w:t>
            </w:r>
            <w:r w:rsidR="003E6C67">
              <w:rPr>
                <w:color w:val="auto"/>
                <w:sz w:val="20"/>
                <w:szCs w:val="20"/>
                <w:vertAlign w:val="subscript"/>
              </w:rPr>
              <w:t>10</w:t>
            </w:r>
            <w:r w:rsidR="003E6C67">
              <w:rPr>
                <w:color w:val="auto"/>
                <w:sz w:val="20"/>
                <w:szCs w:val="20"/>
              </w:rPr>
              <w:t>O</w:t>
            </w:r>
            <w:r w:rsidR="003E6C67">
              <w:rPr>
                <w:color w:val="auto"/>
                <w:sz w:val="20"/>
                <w:szCs w:val="20"/>
                <w:vertAlign w:val="subscript"/>
              </w:rPr>
              <w:t>5</w:t>
            </w:r>
            <w:r>
              <w:rPr>
                <w:color w:val="auto"/>
                <w:sz w:val="20"/>
                <w:szCs w:val="20"/>
              </w:rPr>
              <w:t>)</w:t>
            </w:r>
          </w:p>
        </w:tc>
      </w:tr>
      <w:tr w:rsidR="00013A6F" w:rsidRPr="00804CE5" w14:paraId="74F810E0" w14:textId="77777777" w:rsidTr="00E351D1">
        <w:trPr>
          <w:cantSplit/>
          <w:trHeight w:val="144"/>
        </w:trPr>
        <w:tc>
          <w:tcPr>
            <w:tcW w:w="4428" w:type="dxa"/>
          </w:tcPr>
          <w:p w14:paraId="32856F8B" w14:textId="54071985" w:rsidR="00013A6F" w:rsidRPr="006C4598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sz w:val="20"/>
                <w:szCs w:val="20"/>
              </w:rPr>
              <w:t>Molar Mass (g/</w:t>
            </w:r>
            <w:proofErr w:type="spellStart"/>
            <w:r w:rsidRPr="006C4598">
              <w:rPr>
                <w:b/>
                <w:sz w:val="20"/>
                <w:szCs w:val="20"/>
              </w:rPr>
              <w:t>mol</w:t>
            </w:r>
            <w:proofErr w:type="spellEnd"/>
            <w:r w:rsidRPr="006C4598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590" w:type="dxa"/>
          </w:tcPr>
          <w:p w14:paraId="441501EF" w14:textId="2E169C28" w:rsidR="00013A6F" w:rsidRPr="00804CE5" w:rsidRDefault="003E6C67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198.17</w:t>
            </w:r>
          </w:p>
        </w:tc>
      </w:tr>
      <w:tr w:rsidR="00013A6F" w:rsidRPr="00804CE5" w14:paraId="43CD9ACE" w14:textId="77777777" w:rsidTr="00E351D1">
        <w:trPr>
          <w:cantSplit/>
          <w:trHeight w:val="144"/>
        </w:trPr>
        <w:tc>
          <w:tcPr>
            <w:tcW w:w="4428" w:type="dxa"/>
          </w:tcPr>
          <w:p w14:paraId="6BAC6685" w14:textId="723FB4A6" w:rsidR="00013A6F" w:rsidRPr="006C4598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Odor</w:t>
            </w:r>
          </w:p>
        </w:tc>
        <w:tc>
          <w:tcPr>
            <w:tcW w:w="4590" w:type="dxa"/>
          </w:tcPr>
          <w:p w14:paraId="4FE5F3FA" w14:textId="10A0C5FD" w:rsidR="00013A6F" w:rsidRPr="00804CE5" w:rsidRDefault="000033CA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804CE5" w14:paraId="3E7D626B" w14:textId="77777777" w:rsidTr="00E351D1">
        <w:trPr>
          <w:cantSplit/>
          <w:trHeight w:val="144"/>
        </w:trPr>
        <w:tc>
          <w:tcPr>
            <w:tcW w:w="4428" w:type="dxa"/>
          </w:tcPr>
          <w:p w14:paraId="41B8BAA3" w14:textId="1D3675FB" w:rsidR="00013A6F" w:rsidRPr="006C4598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Odor threshold</w:t>
            </w:r>
          </w:p>
        </w:tc>
        <w:tc>
          <w:tcPr>
            <w:tcW w:w="4590" w:type="dxa"/>
          </w:tcPr>
          <w:p w14:paraId="66DCC4F9" w14:textId="66DD3F42" w:rsidR="00013A6F" w:rsidRPr="00804CE5" w:rsidRDefault="00E32159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804CE5" w14:paraId="7E54AE3C" w14:textId="77777777" w:rsidTr="00E351D1">
        <w:trPr>
          <w:cantSplit/>
          <w:trHeight w:val="144"/>
        </w:trPr>
        <w:tc>
          <w:tcPr>
            <w:tcW w:w="4428" w:type="dxa"/>
          </w:tcPr>
          <w:p w14:paraId="6B35742A" w14:textId="4D58E4C4" w:rsidR="00013A6F" w:rsidRPr="006C4598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pH</w:t>
            </w:r>
          </w:p>
        </w:tc>
        <w:tc>
          <w:tcPr>
            <w:tcW w:w="4590" w:type="dxa"/>
          </w:tcPr>
          <w:p w14:paraId="7CB67287" w14:textId="413BDEE9" w:rsidR="00013A6F" w:rsidRPr="00804CE5" w:rsidRDefault="00E32159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804CE5" w14:paraId="0FE98FED" w14:textId="77777777" w:rsidTr="00E351D1">
        <w:trPr>
          <w:cantSplit/>
          <w:trHeight w:val="144"/>
        </w:trPr>
        <w:tc>
          <w:tcPr>
            <w:tcW w:w="4428" w:type="dxa"/>
          </w:tcPr>
          <w:p w14:paraId="11AD241E" w14:textId="664D1116" w:rsidR="00013A6F" w:rsidRPr="006C4598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Evaporation rate</w:t>
            </w:r>
          </w:p>
        </w:tc>
        <w:tc>
          <w:tcPr>
            <w:tcW w:w="4590" w:type="dxa"/>
          </w:tcPr>
          <w:p w14:paraId="3A4F512A" w14:textId="30E36491" w:rsidR="00013A6F" w:rsidRPr="00804CE5" w:rsidRDefault="00E32159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C4598" w:rsidRPr="00804CE5" w14:paraId="56D68835" w14:textId="77777777" w:rsidTr="00E351D1">
        <w:trPr>
          <w:cantSplit/>
          <w:trHeight w:val="144"/>
        </w:trPr>
        <w:tc>
          <w:tcPr>
            <w:tcW w:w="4428" w:type="dxa"/>
          </w:tcPr>
          <w:p w14:paraId="0E433E82" w14:textId="710AA623" w:rsidR="006C4598" w:rsidRPr="004F17FA" w:rsidRDefault="006C4598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Melting point/freezing point</w:t>
            </w:r>
            <w:r w:rsidR="004F17FA">
              <w:rPr>
                <w:b/>
                <w:color w:val="auto"/>
                <w:sz w:val="20"/>
                <w:szCs w:val="20"/>
              </w:rPr>
              <w:t xml:space="preserve"> (</w:t>
            </w:r>
            <w:r w:rsidR="004F17FA" w:rsidRPr="004F17FA">
              <w:rPr>
                <w:b/>
                <w:sz w:val="20"/>
                <w:szCs w:val="20"/>
              </w:rPr>
              <w:t>°C</w:t>
            </w:r>
            <w:r w:rsidR="004F17FA">
              <w:rPr>
                <w:sz w:val="20"/>
                <w:szCs w:val="20"/>
              </w:rPr>
              <w:t>)</w:t>
            </w:r>
          </w:p>
        </w:tc>
        <w:tc>
          <w:tcPr>
            <w:tcW w:w="4590" w:type="dxa"/>
          </w:tcPr>
          <w:p w14:paraId="44C1B8AC" w14:textId="00F05A13" w:rsidR="006C4598" w:rsidRPr="00804CE5" w:rsidRDefault="003E6C67" w:rsidP="003E6C67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132 to 134</w:t>
            </w:r>
            <w:r w:rsidR="001E68B6">
              <w:rPr>
                <w:color w:val="auto"/>
                <w:sz w:val="20"/>
                <w:szCs w:val="20"/>
              </w:rPr>
              <w:t xml:space="preserve"> </w:t>
            </w:r>
            <w:r w:rsidR="001E68B6" w:rsidRPr="001E68B6">
              <w:rPr>
                <w:color w:val="auto"/>
                <w:sz w:val="20"/>
                <w:szCs w:val="20"/>
              </w:rPr>
              <w:t>(</w:t>
            </w:r>
            <w:r>
              <w:rPr>
                <w:color w:val="auto"/>
                <w:sz w:val="20"/>
                <w:szCs w:val="20"/>
              </w:rPr>
              <w:t>270</w:t>
            </w:r>
            <w:r w:rsidR="00C329FA" w:rsidRPr="00C329FA">
              <w:rPr>
                <w:color w:val="auto"/>
                <w:sz w:val="20"/>
                <w:szCs w:val="20"/>
              </w:rPr>
              <w:t xml:space="preserve"> °F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="00CF7B42">
              <w:rPr>
                <w:color w:val="auto"/>
                <w:sz w:val="20"/>
                <w:szCs w:val="20"/>
              </w:rPr>
              <w:t>to</w:t>
            </w:r>
            <w:r w:rsidR="001E68B6">
              <w:rPr>
                <w:color w:val="auto"/>
                <w:sz w:val="20"/>
                <w:szCs w:val="20"/>
              </w:rPr>
              <w:t xml:space="preserve"> 2</w:t>
            </w:r>
            <w:r>
              <w:rPr>
                <w:color w:val="auto"/>
                <w:sz w:val="20"/>
                <w:szCs w:val="20"/>
              </w:rPr>
              <w:t>7</w:t>
            </w:r>
            <w:r w:rsidR="001E68B6">
              <w:rPr>
                <w:color w:val="auto"/>
                <w:sz w:val="20"/>
                <w:szCs w:val="20"/>
              </w:rPr>
              <w:t>3</w:t>
            </w:r>
            <w:r w:rsidR="001E68B6" w:rsidRPr="001E68B6">
              <w:rPr>
                <w:color w:val="auto"/>
                <w:sz w:val="20"/>
                <w:szCs w:val="20"/>
              </w:rPr>
              <w:t> °F)</w:t>
            </w:r>
          </w:p>
        </w:tc>
      </w:tr>
      <w:tr w:rsidR="00013A6F" w:rsidRPr="00804CE5" w14:paraId="61F9D848" w14:textId="77777777" w:rsidTr="00E351D1">
        <w:trPr>
          <w:cantSplit/>
          <w:trHeight w:val="144"/>
        </w:trPr>
        <w:tc>
          <w:tcPr>
            <w:tcW w:w="4428" w:type="dxa"/>
          </w:tcPr>
          <w:p w14:paraId="7F343E67" w14:textId="6748A9C9" w:rsidR="00013A6F" w:rsidRPr="006C4598" w:rsidRDefault="00860FBC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bCs/>
                <w:color w:val="auto"/>
                <w:sz w:val="20"/>
                <w:szCs w:val="20"/>
              </w:rPr>
              <w:t>Density</w:t>
            </w:r>
            <w:r w:rsidR="006C4598" w:rsidRPr="006C4598">
              <w:rPr>
                <w:b/>
                <w:bCs/>
                <w:color w:val="auto"/>
                <w:sz w:val="20"/>
                <w:szCs w:val="20"/>
              </w:rPr>
              <w:t xml:space="preserve"> (specific gravity</w:t>
            </w:r>
            <w:r w:rsidR="006101F2">
              <w:rPr>
                <w:b/>
                <w:bCs/>
                <w:color w:val="auto"/>
                <w:sz w:val="20"/>
                <w:szCs w:val="20"/>
              </w:rPr>
              <w:t>, water = 1</w:t>
            </w:r>
            <w:r w:rsidR="006C4598" w:rsidRPr="006C4598">
              <w:rPr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4590" w:type="dxa"/>
          </w:tcPr>
          <w:p w14:paraId="124AFDDE" w14:textId="12A832AF" w:rsidR="00013A6F" w:rsidRPr="00804CE5" w:rsidRDefault="00BE6893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0.91 </w:t>
            </w:r>
            <w:r w:rsidR="00CF7B42">
              <w:rPr>
                <w:color w:val="auto"/>
                <w:sz w:val="20"/>
                <w:szCs w:val="20"/>
              </w:rPr>
              <w:t>to</w:t>
            </w:r>
            <w:r>
              <w:rPr>
                <w:color w:val="auto"/>
                <w:sz w:val="20"/>
                <w:szCs w:val="20"/>
              </w:rPr>
              <w:t xml:space="preserve"> 0.96</w:t>
            </w:r>
          </w:p>
        </w:tc>
      </w:tr>
      <w:tr w:rsidR="006C4598" w:rsidRPr="00804CE5" w14:paraId="0022A94E" w14:textId="77777777" w:rsidTr="00E351D1">
        <w:trPr>
          <w:cantSplit/>
          <w:trHeight w:val="144"/>
        </w:trPr>
        <w:tc>
          <w:tcPr>
            <w:tcW w:w="4428" w:type="dxa"/>
          </w:tcPr>
          <w:p w14:paraId="48EB298F" w14:textId="795F0545" w:rsidR="006C4598" w:rsidRPr="006C4598" w:rsidRDefault="006C4598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Vapor Pressure</w:t>
            </w:r>
          </w:p>
        </w:tc>
        <w:tc>
          <w:tcPr>
            <w:tcW w:w="4590" w:type="dxa"/>
          </w:tcPr>
          <w:p w14:paraId="00A61FE8" w14:textId="58491CA5" w:rsidR="006C4598" w:rsidRPr="00804CE5" w:rsidRDefault="00E32159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804CE5" w14:paraId="7FEC9A2C" w14:textId="77777777" w:rsidTr="00E351D1">
        <w:trPr>
          <w:cantSplit/>
          <w:trHeight w:val="144"/>
        </w:trPr>
        <w:tc>
          <w:tcPr>
            <w:tcW w:w="4428" w:type="dxa"/>
          </w:tcPr>
          <w:p w14:paraId="4CC5B448" w14:textId="115D880D" w:rsidR="00013A6F" w:rsidRPr="006C4598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Vapor Density (air = 1)</w:t>
            </w:r>
          </w:p>
        </w:tc>
        <w:tc>
          <w:tcPr>
            <w:tcW w:w="4590" w:type="dxa"/>
          </w:tcPr>
          <w:p w14:paraId="57A2142B" w14:textId="07DCD43D" w:rsidR="00013A6F" w:rsidRPr="00804CE5" w:rsidRDefault="00E32159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804CE5" w14:paraId="43C5E5C5" w14:textId="77777777" w:rsidTr="00E351D1">
        <w:trPr>
          <w:cantSplit/>
          <w:trHeight w:val="144"/>
        </w:trPr>
        <w:tc>
          <w:tcPr>
            <w:tcW w:w="4428" w:type="dxa"/>
          </w:tcPr>
          <w:p w14:paraId="32E3810C" w14:textId="43333417" w:rsidR="00013A6F" w:rsidRPr="006C4598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Viscosity (</w:t>
            </w:r>
            <w:proofErr w:type="spellStart"/>
            <w:r w:rsidRPr="006C4598">
              <w:rPr>
                <w:b/>
                <w:color w:val="auto"/>
                <w:sz w:val="20"/>
                <w:szCs w:val="20"/>
              </w:rPr>
              <w:t>cP</w:t>
            </w:r>
            <w:proofErr w:type="spellEnd"/>
            <w:r w:rsidRPr="006C4598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4590" w:type="dxa"/>
          </w:tcPr>
          <w:p w14:paraId="5CDA74F6" w14:textId="3DC6EA06" w:rsidR="00013A6F" w:rsidRPr="00804CE5" w:rsidRDefault="00E32159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804CE5" w14:paraId="3603183A" w14:textId="77777777" w:rsidTr="00E351D1">
        <w:trPr>
          <w:cantSplit/>
          <w:trHeight w:val="144"/>
        </w:trPr>
        <w:tc>
          <w:tcPr>
            <w:tcW w:w="4428" w:type="dxa"/>
          </w:tcPr>
          <w:p w14:paraId="1A0C9FB2" w14:textId="353C3E3A" w:rsidR="00013A6F" w:rsidRPr="006C4598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Solubility(</w:t>
            </w:r>
            <w:proofErr w:type="spellStart"/>
            <w:r w:rsidRPr="006C4598">
              <w:rPr>
                <w:b/>
                <w:color w:val="auto"/>
                <w:sz w:val="20"/>
                <w:szCs w:val="20"/>
              </w:rPr>
              <w:t>ies</w:t>
            </w:r>
            <w:proofErr w:type="spellEnd"/>
            <w:r w:rsidRPr="006C4598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4590" w:type="dxa"/>
          </w:tcPr>
          <w:p w14:paraId="71571D11" w14:textId="352C47B7" w:rsidR="00F02D7E" w:rsidRPr="00804CE5" w:rsidRDefault="00E32159" w:rsidP="003E6C67">
            <w:pPr>
              <w:pStyle w:val="Default"/>
              <w:spacing w:before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</w:t>
            </w:r>
            <w:r w:rsidR="003E6C67">
              <w:rPr>
                <w:sz w:val="20"/>
                <w:szCs w:val="20"/>
              </w:rPr>
              <w:t>: 5.16 mg/mL</w:t>
            </w:r>
            <w:r w:rsidR="00BE6893">
              <w:rPr>
                <w:sz w:val="20"/>
                <w:szCs w:val="20"/>
              </w:rPr>
              <w:t xml:space="preserve">; </w:t>
            </w:r>
            <w:r w:rsidR="003E6C67">
              <w:rPr>
                <w:sz w:val="20"/>
                <w:szCs w:val="20"/>
              </w:rPr>
              <w:t xml:space="preserve">no data available for other </w:t>
            </w:r>
            <w:proofErr w:type="spellStart"/>
            <w:r w:rsidR="003E6C67">
              <w:rPr>
                <w:sz w:val="20"/>
                <w:szCs w:val="20"/>
              </w:rPr>
              <w:t>solubilities</w:t>
            </w:r>
            <w:proofErr w:type="spellEnd"/>
          </w:p>
        </w:tc>
      </w:tr>
      <w:tr w:rsidR="00013A6F" w:rsidRPr="00804CE5" w14:paraId="637DC017" w14:textId="77777777" w:rsidTr="00E351D1">
        <w:trPr>
          <w:cantSplit/>
          <w:trHeight w:val="144"/>
        </w:trPr>
        <w:tc>
          <w:tcPr>
            <w:tcW w:w="4428" w:type="dxa"/>
          </w:tcPr>
          <w:p w14:paraId="2FC53712" w14:textId="17C3E048" w:rsidR="00013A6F" w:rsidRPr="006C4598" w:rsidRDefault="00013A6F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C4598">
              <w:rPr>
                <w:b/>
                <w:color w:val="auto"/>
                <w:sz w:val="20"/>
                <w:szCs w:val="20"/>
              </w:rPr>
              <w:t>Partition coefficient (n-</w:t>
            </w:r>
            <w:proofErr w:type="spellStart"/>
            <w:r w:rsidRPr="006C4598">
              <w:rPr>
                <w:b/>
                <w:color w:val="auto"/>
                <w:sz w:val="20"/>
                <w:szCs w:val="20"/>
              </w:rPr>
              <w:t>octanol</w:t>
            </w:r>
            <w:proofErr w:type="spellEnd"/>
            <w:r w:rsidRPr="006C4598">
              <w:rPr>
                <w:b/>
                <w:color w:val="auto"/>
                <w:sz w:val="20"/>
                <w:szCs w:val="20"/>
              </w:rPr>
              <w:t>/water)</w:t>
            </w:r>
          </w:p>
        </w:tc>
        <w:tc>
          <w:tcPr>
            <w:tcW w:w="4590" w:type="dxa"/>
          </w:tcPr>
          <w:p w14:paraId="3BDE8AC0" w14:textId="698AC1DC" w:rsidR="00013A6F" w:rsidRPr="00804CE5" w:rsidRDefault="00E32159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804CE5" w14:paraId="685EB77E" w14:textId="24277A28" w:rsidTr="00E351D1">
        <w:trPr>
          <w:cantSplit/>
          <w:trHeight w:val="144"/>
        </w:trPr>
        <w:tc>
          <w:tcPr>
            <w:tcW w:w="4428" w:type="dxa"/>
          </w:tcPr>
          <w:p w14:paraId="6A3F121D" w14:textId="0DF9EE22" w:rsidR="00013A6F" w:rsidRPr="00A26292" w:rsidRDefault="006C4598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Nominal </w:t>
            </w:r>
            <w:r w:rsidR="00013A6F" w:rsidRPr="00A26292">
              <w:rPr>
                <w:b/>
                <w:color w:val="auto"/>
                <w:sz w:val="20"/>
                <w:szCs w:val="20"/>
              </w:rPr>
              <w:t>Particle Size</w:t>
            </w:r>
          </w:p>
        </w:tc>
        <w:tc>
          <w:tcPr>
            <w:tcW w:w="4590" w:type="dxa"/>
          </w:tcPr>
          <w:p w14:paraId="10A6C19F" w14:textId="2F968882" w:rsidR="00013A6F" w:rsidRPr="00804CE5" w:rsidRDefault="008B0C90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B65E7" w:rsidRPr="00804CE5" w14:paraId="5A399CE7" w14:textId="77777777" w:rsidTr="00E351D1">
        <w:trPr>
          <w:cantSplit/>
          <w:trHeight w:val="144"/>
        </w:trPr>
        <w:tc>
          <w:tcPr>
            <w:tcW w:w="4428" w:type="dxa"/>
            <w:vAlign w:val="bottom"/>
          </w:tcPr>
          <w:p w14:paraId="14B24899" w14:textId="54905161" w:rsidR="000B65E7" w:rsidRPr="00A26292" w:rsidRDefault="000B65E7" w:rsidP="001967DA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26292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4590" w:type="dxa"/>
            <w:vAlign w:val="bottom"/>
          </w:tcPr>
          <w:p w14:paraId="1697D7AC" w14:textId="650F6CA6" w:rsidR="000B65E7" w:rsidRPr="005C7E82" w:rsidRDefault="000B65E7" w:rsidP="00CF7B42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</w:p>
        </w:tc>
      </w:tr>
      <w:tr w:rsidR="000B65E7" w:rsidRPr="00804CE5" w14:paraId="420889F9" w14:textId="77777777" w:rsidTr="00E351D1">
        <w:trPr>
          <w:cantSplit/>
          <w:trHeight w:val="144"/>
        </w:trPr>
        <w:tc>
          <w:tcPr>
            <w:tcW w:w="4428" w:type="dxa"/>
          </w:tcPr>
          <w:p w14:paraId="6F452554" w14:textId="5CCEBE48" w:rsidR="000B65E7" w:rsidRPr="00A26292" w:rsidRDefault="000B65E7" w:rsidP="001967DA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proofErr w:type="spellStart"/>
            <w:r w:rsidRPr="00A26292">
              <w:rPr>
                <w:b/>
                <w:color w:val="auto"/>
                <w:sz w:val="20"/>
                <w:szCs w:val="20"/>
              </w:rPr>
              <w:t>Autoignition</w:t>
            </w:r>
            <w:proofErr w:type="spellEnd"/>
            <w:r w:rsidRPr="00A26292">
              <w:rPr>
                <w:b/>
                <w:color w:val="auto"/>
                <w:sz w:val="20"/>
                <w:szCs w:val="20"/>
              </w:rPr>
              <w:t xml:space="preserve"> Temperature</w:t>
            </w:r>
            <w:r w:rsidR="004F17FA">
              <w:rPr>
                <w:b/>
                <w:color w:val="auto"/>
                <w:sz w:val="20"/>
                <w:szCs w:val="20"/>
              </w:rPr>
              <w:t xml:space="preserve"> (</w:t>
            </w:r>
            <w:r w:rsidR="004F17FA" w:rsidRPr="004F17FA">
              <w:rPr>
                <w:b/>
                <w:sz w:val="20"/>
                <w:szCs w:val="20"/>
              </w:rPr>
              <w:t>°C</w:t>
            </w:r>
            <w:r w:rsidR="004F17FA">
              <w:rPr>
                <w:sz w:val="20"/>
                <w:szCs w:val="20"/>
              </w:rPr>
              <w:t>)</w:t>
            </w:r>
          </w:p>
        </w:tc>
        <w:tc>
          <w:tcPr>
            <w:tcW w:w="4590" w:type="dxa"/>
          </w:tcPr>
          <w:p w14:paraId="4AB5F86F" w14:textId="762E9CE4" w:rsidR="000B65E7" w:rsidRPr="00804CE5" w:rsidRDefault="003E6C67" w:rsidP="00CF7B42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B65E7" w:rsidRPr="00804CE5" w14:paraId="2A2C54D9" w14:textId="77777777" w:rsidTr="00E351D1">
        <w:trPr>
          <w:cantSplit/>
          <w:trHeight w:val="144"/>
        </w:trPr>
        <w:tc>
          <w:tcPr>
            <w:tcW w:w="4428" w:type="dxa"/>
          </w:tcPr>
          <w:p w14:paraId="5CA1F284" w14:textId="399BFB05" w:rsidR="000B65E7" w:rsidRPr="00A26292" w:rsidRDefault="000B65E7" w:rsidP="001967DA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A26292">
              <w:rPr>
                <w:b/>
                <w:color w:val="auto"/>
                <w:sz w:val="20"/>
                <w:szCs w:val="20"/>
              </w:rPr>
              <w:t>Thermal Decomposition</w:t>
            </w:r>
          </w:p>
        </w:tc>
        <w:tc>
          <w:tcPr>
            <w:tcW w:w="4590" w:type="dxa"/>
          </w:tcPr>
          <w:p w14:paraId="4BE1A2B8" w14:textId="4EDF7F52" w:rsidR="000B65E7" w:rsidRPr="00804CE5" w:rsidRDefault="00E32159" w:rsidP="00CF7B42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C4598" w:rsidRPr="00804CE5" w14:paraId="25D78B58" w14:textId="77777777" w:rsidTr="00E351D1">
        <w:trPr>
          <w:cantSplit/>
          <w:trHeight w:val="144"/>
        </w:trPr>
        <w:tc>
          <w:tcPr>
            <w:tcW w:w="4428" w:type="dxa"/>
          </w:tcPr>
          <w:p w14:paraId="01BFC0CF" w14:textId="2FF9C523" w:rsidR="006C4598" w:rsidRPr="00A26292" w:rsidRDefault="006C4598" w:rsidP="001967DA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A26292">
              <w:rPr>
                <w:b/>
                <w:color w:val="auto"/>
                <w:sz w:val="20"/>
                <w:szCs w:val="20"/>
              </w:rPr>
              <w:t>Initial boiling point and boiling range</w:t>
            </w:r>
          </w:p>
        </w:tc>
        <w:tc>
          <w:tcPr>
            <w:tcW w:w="4590" w:type="dxa"/>
          </w:tcPr>
          <w:p w14:paraId="34546C9D" w14:textId="6F243C10" w:rsidR="006C4598" w:rsidRPr="00804CE5" w:rsidRDefault="00E32159" w:rsidP="00CF7B42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6C4598" w:rsidRPr="00804CE5" w14:paraId="0D41F8F7" w14:textId="77777777" w:rsidTr="00E351D1">
        <w:trPr>
          <w:cantSplit/>
          <w:trHeight w:val="144"/>
        </w:trPr>
        <w:tc>
          <w:tcPr>
            <w:tcW w:w="4428" w:type="dxa"/>
          </w:tcPr>
          <w:p w14:paraId="59098450" w14:textId="1C0C8CC9" w:rsidR="006C4598" w:rsidRPr="00A26292" w:rsidRDefault="006C4598" w:rsidP="001967DA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A26292">
              <w:rPr>
                <w:b/>
                <w:color w:val="auto"/>
                <w:sz w:val="20"/>
                <w:szCs w:val="20"/>
              </w:rPr>
              <w:t>Explosive Limits, LEL (Volume %)</w:t>
            </w:r>
          </w:p>
        </w:tc>
        <w:tc>
          <w:tcPr>
            <w:tcW w:w="4590" w:type="dxa"/>
          </w:tcPr>
          <w:p w14:paraId="5D25C6A1" w14:textId="5C211265" w:rsidR="006C4598" w:rsidRPr="00804CE5" w:rsidRDefault="00E32159" w:rsidP="00CF7B42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B65E7" w:rsidRPr="00804CE5" w14:paraId="5F61F241" w14:textId="77777777" w:rsidTr="00E351D1">
        <w:trPr>
          <w:cantSplit/>
          <w:trHeight w:val="144"/>
        </w:trPr>
        <w:tc>
          <w:tcPr>
            <w:tcW w:w="4428" w:type="dxa"/>
          </w:tcPr>
          <w:p w14:paraId="36F8D37A" w14:textId="2881AFEC" w:rsidR="000B65E7" w:rsidRPr="00A26292" w:rsidRDefault="000B65E7" w:rsidP="001967DA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A26292">
              <w:rPr>
                <w:b/>
                <w:color w:val="auto"/>
                <w:sz w:val="20"/>
                <w:szCs w:val="20"/>
              </w:rPr>
              <w:t>Explosive Limits, UEL (Volume %)</w:t>
            </w:r>
          </w:p>
        </w:tc>
        <w:tc>
          <w:tcPr>
            <w:tcW w:w="4590" w:type="dxa"/>
          </w:tcPr>
          <w:p w14:paraId="02D5CE8F" w14:textId="7BCB8BC6" w:rsidR="000B65E7" w:rsidRPr="00804CE5" w:rsidRDefault="00E32159" w:rsidP="00CF7B42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B65E7" w:rsidRPr="00804CE5" w14:paraId="671C1308" w14:textId="77777777" w:rsidTr="00E351D1">
        <w:trPr>
          <w:cantSplit/>
          <w:trHeight w:val="144"/>
        </w:trPr>
        <w:tc>
          <w:tcPr>
            <w:tcW w:w="4428" w:type="dxa"/>
          </w:tcPr>
          <w:p w14:paraId="4B978B32" w14:textId="7CCF4552" w:rsidR="000B65E7" w:rsidRPr="00A26292" w:rsidRDefault="000B65E7" w:rsidP="001967DA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A26292">
              <w:rPr>
                <w:b/>
                <w:color w:val="auto"/>
                <w:sz w:val="20"/>
                <w:szCs w:val="20"/>
              </w:rPr>
              <w:t>Flash Point</w:t>
            </w:r>
          </w:p>
        </w:tc>
        <w:tc>
          <w:tcPr>
            <w:tcW w:w="4590" w:type="dxa"/>
          </w:tcPr>
          <w:p w14:paraId="0FC3D702" w14:textId="4ABE1806" w:rsidR="000B65E7" w:rsidRPr="00804CE5" w:rsidRDefault="00E32159" w:rsidP="00CF7B42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B65E7" w:rsidRPr="00804CE5" w14:paraId="43583D84" w14:textId="77777777" w:rsidTr="00E351D1">
        <w:trPr>
          <w:cantSplit/>
          <w:trHeight w:val="144"/>
        </w:trPr>
        <w:tc>
          <w:tcPr>
            <w:tcW w:w="4428" w:type="dxa"/>
          </w:tcPr>
          <w:p w14:paraId="3B1319A9" w14:textId="36A35825" w:rsidR="000B65E7" w:rsidRPr="00A26292" w:rsidRDefault="000B65E7" w:rsidP="00CF7B42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A26292">
              <w:rPr>
                <w:b/>
                <w:color w:val="auto"/>
                <w:sz w:val="20"/>
                <w:szCs w:val="20"/>
              </w:rPr>
              <w:t>Flammability (solid, gas)</w:t>
            </w:r>
          </w:p>
        </w:tc>
        <w:tc>
          <w:tcPr>
            <w:tcW w:w="4590" w:type="dxa"/>
          </w:tcPr>
          <w:p w14:paraId="66CC369E" w14:textId="79AC8A00" w:rsidR="000B65E7" w:rsidRPr="00804CE5" w:rsidRDefault="00E32159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14:paraId="65C19B38" w14:textId="0C670AA4" w:rsidR="0014746A" w:rsidRDefault="0014746A">
      <w:pPr>
        <w:widowControl/>
        <w:jc w:val="left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047A22" w14:paraId="5428D758" w14:textId="77777777" w:rsidTr="00CA7D2F">
        <w:trPr>
          <w:trHeight w:hRule="exact" w:val="360"/>
        </w:trPr>
        <w:tc>
          <w:tcPr>
            <w:tcW w:w="9360" w:type="dxa"/>
            <w:tcBorders>
              <w:left w:val="nil"/>
              <w:right w:val="nil"/>
            </w:tcBorders>
            <w:vAlign w:val="center"/>
          </w:tcPr>
          <w:p w14:paraId="2B3CBCEF" w14:textId="77777777" w:rsidR="003045F2" w:rsidRPr="00047A22" w:rsidRDefault="003045F2" w:rsidP="001967DA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b/>
                <w:bCs/>
                <w:smallCaps/>
                <w:sz w:val="24"/>
                <w:szCs w:val="20"/>
              </w:rPr>
            </w:pPr>
            <w:r w:rsidRPr="00047A22">
              <w:rPr>
                <w:rFonts w:eastAsia="Times New Roman"/>
                <w:b/>
                <w:bCs/>
                <w:smallCaps/>
                <w:sz w:val="24"/>
                <w:szCs w:val="20"/>
              </w:rPr>
              <w:lastRenderedPageBreak/>
              <w:t>10.  Stability and Reactivity</w:t>
            </w:r>
          </w:p>
        </w:tc>
      </w:tr>
    </w:tbl>
    <w:p w14:paraId="3DDA1F7D" w14:textId="77777777" w:rsidR="00F4046F" w:rsidRPr="00047A22" w:rsidRDefault="00F4046F" w:rsidP="00CF7B42">
      <w:pPr>
        <w:widowControl/>
        <w:spacing w:before="120" w:after="120"/>
        <w:rPr>
          <w:szCs w:val="20"/>
        </w:rPr>
      </w:pPr>
      <w:r w:rsidRPr="00047A22">
        <w:rPr>
          <w:b/>
          <w:szCs w:val="20"/>
        </w:rPr>
        <w:t>Reactivity:</w:t>
      </w:r>
      <w:r w:rsidR="00383F47" w:rsidRPr="00047A22">
        <w:rPr>
          <w:szCs w:val="20"/>
        </w:rPr>
        <w:t xml:space="preserve">  </w:t>
      </w:r>
      <w:r w:rsidR="00005D5A" w:rsidRPr="00047A22">
        <w:rPr>
          <w:szCs w:val="20"/>
        </w:rPr>
        <w:t>Stable at normal temperatures and pressure.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047A22" w14:paraId="6B6B25F9" w14:textId="77777777" w:rsidTr="00E37C34">
        <w:tc>
          <w:tcPr>
            <w:tcW w:w="1440" w:type="dxa"/>
            <w:vAlign w:val="center"/>
          </w:tcPr>
          <w:p w14:paraId="73F6D40D" w14:textId="77777777" w:rsidR="00F4046F" w:rsidRPr="00047A22" w:rsidRDefault="00F4046F">
            <w:pPr>
              <w:widowControl/>
              <w:ind w:firstLine="396"/>
              <w:rPr>
                <w:b/>
                <w:szCs w:val="20"/>
              </w:rPr>
            </w:pPr>
            <w:r w:rsidRPr="00047A22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F31E82A" w14:textId="77777777" w:rsidR="00F4046F" w:rsidRPr="00047A22" w:rsidRDefault="00A14B09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18A46D66" w14:textId="77777777" w:rsidR="00F4046F" w:rsidRPr="00047A22" w:rsidRDefault="00F4046F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705A93C" w14:textId="77777777" w:rsidR="00F4046F" w:rsidRPr="00047A22" w:rsidRDefault="00F4046F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2F3A5211" w14:textId="77777777" w:rsidR="00F4046F" w:rsidRPr="00047A22" w:rsidRDefault="00F4046F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Unstable</w:t>
            </w:r>
          </w:p>
        </w:tc>
      </w:tr>
    </w:tbl>
    <w:p w14:paraId="089CAC75" w14:textId="77777777" w:rsidR="00D2295A" w:rsidRPr="00047A22" w:rsidRDefault="00D2295A" w:rsidP="00CF7B42">
      <w:pPr>
        <w:widowControl/>
        <w:spacing w:before="120" w:after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Possible Hazardous Reactions</w:t>
      </w:r>
      <w:r w:rsidR="00A00A2B" w:rsidRPr="00047A22">
        <w:rPr>
          <w:rFonts w:eastAsia="Times New Roman"/>
          <w:b/>
          <w:bCs/>
          <w:szCs w:val="20"/>
        </w:rPr>
        <w:t>:</w:t>
      </w:r>
      <w:r w:rsidR="00A00A2B" w:rsidRPr="00047A22">
        <w:rPr>
          <w:rFonts w:eastAsia="Times New Roman"/>
          <w:bCs/>
          <w:szCs w:val="20"/>
        </w:rPr>
        <w:t xml:space="preserve">  </w:t>
      </w:r>
      <w:r w:rsidR="006821C7" w:rsidRPr="00047A22">
        <w:rPr>
          <w:rFonts w:eastAsia="Times New Roman"/>
          <w:bCs/>
          <w:szCs w:val="20"/>
        </w:rPr>
        <w:t>None listed.</w:t>
      </w:r>
    </w:p>
    <w:p w14:paraId="7D90C6AA" w14:textId="0640246A" w:rsidR="006821C7" w:rsidRPr="00047A22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Conditions to Avoid:</w:t>
      </w:r>
      <w:r w:rsidRPr="00047A22">
        <w:rPr>
          <w:rFonts w:eastAsia="Times New Roman"/>
          <w:bCs/>
          <w:szCs w:val="20"/>
        </w:rPr>
        <w:t xml:space="preserve">  </w:t>
      </w:r>
      <w:r w:rsidR="00CA42D2" w:rsidRPr="00047A22">
        <w:rPr>
          <w:rFonts w:eastAsia="Times New Roman"/>
          <w:bCs/>
          <w:szCs w:val="20"/>
        </w:rPr>
        <w:t>Avoid generating dust.</w:t>
      </w:r>
      <w:r w:rsidR="0069666F">
        <w:rPr>
          <w:rFonts w:eastAsia="Times New Roman"/>
          <w:bCs/>
          <w:szCs w:val="20"/>
        </w:rPr>
        <w:t xml:space="preserve">  Avoid heat, flames, sparks and other sources of ignition.</w:t>
      </w:r>
    </w:p>
    <w:p w14:paraId="36225082" w14:textId="145FE0D8" w:rsidR="006821C7" w:rsidRPr="00047A22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Incompatible Materials:</w:t>
      </w:r>
      <w:r w:rsidRPr="00047A22">
        <w:rPr>
          <w:rFonts w:eastAsia="Times New Roman"/>
          <w:bCs/>
          <w:szCs w:val="20"/>
        </w:rPr>
        <w:t xml:space="preserve">  </w:t>
      </w:r>
      <w:r w:rsidR="0014746A">
        <w:rPr>
          <w:rFonts w:eastAsia="Times New Roman"/>
          <w:bCs/>
          <w:szCs w:val="20"/>
        </w:rPr>
        <w:t>No data available</w:t>
      </w:r>
      <w:r w:rsidR="001116B5" w:rsidRPr="00047A22">
        <w:rPr>
          <w:rFonts w:eastAsia="Times New Roman"/>
          <w:bCs/>
          <w:szCs w:val="20"/>
        </w:rPr>
        <w:t>.</w:t>
      </w:r>
    </w:p>
    <w:p w14:paraId="5D7762AB" w14:textId="77777777" w:rsidR="006821C7" w:rsidRPr="00047A22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Fire/Explosion Information:</w:t>
      </w:r>
      <w:r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szCs w:val="20"/>
        </w:rPr>
        <w:t>See Section 5, “Fire Fighting Measures”.</w:t>
      </w:r>
    </w:p>
    <w:p w14:paraId="481112FC" w14:textId="0C92C1CE" w:rsidR="005A257B" w:rsidRPr="00047A22" w:rsidRDefault="005A257B" w:rsidP="001967DA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Hazardous Decomposition:</w:t>
      </w:r>
      <w:r w:rsidRPr="00047A22">
        <w:rPr>
          <w:rFonts w:eastAsia="Times New Roman"/>
          <w:bCs/>
          <w:szCs w:val="20"/>
        </w:rPr>
        <w:t xml:space="preserve">  </w:t>
      </w:r>
      <w:r w:rsidR="0014746A">
        <w:rPr>
          <w:rFonts w:eastAsia="Times New Roman"/>
          <w:bCs/>
          <w:szCs w:val="20"/>
        </w:rPr>
        <w:t>No data available</w:t>
      </w:r>
      <w:r w:rsidR="00B74126" w:rsidRPr="00047A22">
        <w:rPr>
          <w:rFonts w:eastAsia="Times New Roman"/>
          <w:bCs/>
          <w:szCs w:val="20"/>
        </w:rPr>
        <w:t>.</w:t>
      </w:r>
    </w:p>
    <w:tbl>
      <w:tblPr>
        <w:tblStyle w:val="TableGrid3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047A22" w14:paraId="3C761943" w14:textId="77777777" w:rsidTr="00E37C34">
        <w:tc>
          <w:tcPr>
            <w:tcW w:w="2592" w:type="dxa"/>
            <w:vAlign w:val="center"/>
          </w:tcPr>
          <w:p w14:paraId="521237B8" w14:textId="77777777" w:rsidR="005A257B" w:rsidRPr="00047A22" w:rsidRDefault="005A257B" w:rsidP="00CF7B42">
            <w:pPr>
              <w:widowControl/>
              <w:ind w:right="-187"/>
              <w:rPr>
                <w:b/>
                <w:szCs w:val="20"/>
              </w:rPr>
            </w:pPr>
            <w:r w:rsidRPr="00047A22">
              <w:rPr>
                <w:rFonts w:eastAsia="Times New Roman"/>
                <w:b/>
                <w:bCs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FF07672" w14:textId="77777777" w:rsidR="005A257B" w:rsidRPr="00047A22" w:rsidRDefault="005A257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66FCBCC4" w14:textId="77777777" w:rsidR="005A257B" w:rsidRPr="00047A22" w:rsidRDefault="005A257B">
            <w:pPr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8E2A4BE" w14:textId="77777777" w:rsidR="005A257B" w:rsidRPr="00047A22" w:rsidRDefault="005A257B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79D6B1F6" w14:textId="77777777" w:rsidR="005A257B" w:rsidRPr="00047A22" w:rsidRDefault="005A257B">
            <w:pPr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40066399" w14:textId="2D60C25A" w:rsidR="00CE49F5" w:rsidRDefault="00CE49F5" w:rsidP="00CF7B42">
      <w:pPr>
        <w:widowControl/>
        <w:jc w:val="left"/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257B" w:rsidRPr="00047A22" w14:paraId="4A37C19D" w14:textId="77777777" w:rsidTr="00A574BE">
        <w:trPr>
          <w:trHeight w:hRule="exact" w:val="360"/>
        </w:trPr>
        <w:tc>
          <w:tcPr>
            <w:tcW w:w="9360" w:type="dxa"/>
            <w:vAlign w:val="center"/>
          </w:tcPr>
          <w:p w14:paraId="276E36C4" w14:textId="3B725659" w:rsidR="005A257B" w:rsidRPr="00047A22" w:rsidRDefault="005A257B" w:rsidP="001967DA">
            <w:pPr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11. T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OXICOLOGICAL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54802BE1" w14:textId="77777777" w:rsidR="00A574BE" w:rsidRPr="00047A22" w:rsidRDefault="00A574BE" w:rsidP="001967DA">
      <w:pPr>
        <w:widowControl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047A22" w14:paraId="1BF0E05E" w14:textId="77777777" w:rsidTr="004E7C12">
        <w:tc>
          <w:tcPr>
            <w:tcW w:w="2016" w:type="dxa"/>
            <w:vAlign w:val="center"/>
          </w:tcPr>
          <w:p w14:paraId="580B77A7" w14:textId="77777777" w:rsidR="00EB5E4A" w:rsidRPr="00047A22" w:rsidRDefault="00EB5E4A" w:rsidP="001967DA">
            <w:pPr>
              <w:widowControl/>
              <w:ind w:left="-108"/>
              <w:rPr>
                <w:b/>
                <w:szCs w:val="20"/>
              </w:rPr>
            </w:pPr>
            <w:r w:rsidRPr="00047A22">
              <w:rPr>
                <w:rFonts w:eastAsia="Times New Roman"/>
                <w:b/>
                <w:bCs/>
                <w:szCs w:val="20"/>
              </w:rPr>
              <w:t xml:space="preserve">Route of </w:t>
            </w:r>
            <w:r w:rsidR="00957B26" w:rsidRPr="00047A22">
              <w:rPr>
                <w:rFonts w:eastAsia="Times New Roman"/>
                <w:b/>
                <w:bCs/>
                <w:szCs w:val="20"/>
              </w:rPr>
              <w:t>Exposure</w:t>
            </w:r>
            <w:r w:rsidRPr="00047A22">
              <w:rPr>
                <w:rFonts w:eastAsia="Times New Roman"/>
                <w:b/>
                <w:bCs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AFA36C8" w14:textId="77777777" w:rsidR="00EB5E4A" w:rsidRPr="00047A22" w:rsidRDefault="006C412A" w:rsidP="001967DA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7C146CD2" w14:textId="77777777" w:rsidR="00EB5E4A" w:rsidRPr="00047A22" w:rsidRDefault="00EB5E4A" w:rsidP="001967DA">
            <w:pPr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Inhalation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69FB025" w14:textId="77777777" w:rsidR="00EB5E4A" w:rsidRPr="00047A22" w:rsidRDefault="00F05827" w:rsidP="001967DA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7355F06" w14:textId="77777777" w:rsidR="00EB5E4A" w:rsidRPr="00047A22" w:rsidRDefault="00EB5E4A" w:rsidP="001967DA">
            <w:pPr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Skin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58B2C04" w14:textId="77777777" w:rsidR="00EB5E4A" w:rsidRPr="00047A22" w:rsidRDefault="00EB5E4A" w:rsidP="001967DA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07247032" w14:textId="77777777" w:rsidR="00EB5E4A" w:rsidRPr="00047A22" w:rsidRDefault="00EB5E4A" w:rsidP="001967DA">
            <w:pPr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Ingestion</w:t>
            </w:r>
          </w:p>
        </w:tc>
      </w:tr>
    </w:tbl>
    <w:p w14:paraId="397B0913" w14:textId="2D6F665F" w:rsidR="000E3AA3" w:rsidRPr="004F3925" w:rsidRDefault="000E3AA3" w:rsidP="00CF7B42">
      <w:pPr>
        <w:widowControl/>
        <w:spacing w:before="120"/>
        <w:rPr>
          <w:rFonts w:eastAsia="Times New Roman"/>
          <w:bCs/>
          <w:szCs w:val="20"/>
        </w:rPr>
      </w:pPr>
      <w:r w:rsidRPr="004F3925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Pr="004F3925">
        <w:rPr>
          <w:rFonts w:eastAsia="Times New Roman"/>
          <w:bCs/>
          <w:szCs w:val="20"/>
        </w:rPr>
        <w:t xml:space="preserve">  May aggravate respiratory disorders</w:t>
      </w:r>
      <w:r w:rsidR="00C1716A">
        <w:rPr>
          <w:rFonts w:eastAsia="Times New Roman"/>
          <w:bCs/>
          <w:szCs w:val="20"/>
        </w:rPr>
        <w:t xml:space="preserve"> and irritate the skin and eyes</w:t>
      </w:r>
      <w:r w:rsidRPr="004F3925">
        <w:rPr>
          <w:rFonts w:eastAsia="Times New Roman"/>
          <w:bCs/>
          <w:szCs w:val="20"/>
        </w:rPr>
        <w:t xml:space="preserve">.  </w:t>
      </w:r>
    </w:p>
    <w:p w14:paraId="4018018F" w14:textId="77777777" w:rsidR="000E3AA3" w:rsidRPr="000632DE" w:rsidRDefault="000E3AA3">
      <w:pPr>
        <w:widowControl/>
        <w:spacing w:before="120"/>
        <w:rPr>
          <w:rFonts w:eastAsia="Times New Roman"/>
          <w:b/>
          <w:bCs/>
          <w:szCs w:val="20"/>
        </w:rPr>
      </w:pPr>
      <w:r w:rsidRPr="000632DE">
        <w:rPr>
          <w:rFonts w:eastAsia="Times New Roman"/>
          <w:b/>
          <w:bCs/>
          <w:szCs w:val="20"/>
        </w:rPr>
        <w:t>Potential Health Effects (Acute, Chronic, and Delayed)</w:t>
      </w:r>
    </w:p>
    <w:p w14:paraId="740094C0" w14:textId="02DFD8C4" w:rsidR="000E3AA3" w:rsidRPr="000632DE" w:rsidRDefault="000E3AA3">
      <w:pPr>
        <w:widowControl/>
        <w:autoSpaceDE w:val="0"/>
        <w:autoSpaceDN w:val="0"/>
        <w:adjustRightInd w:val="0"/>
        <w:spacing w:before="120"/>
        <w:ind w:left="360"/>
        <w:rPr>
          <w:szCs w:val="20"/>
        </w:rPr>
      </w:pPr>
      <w:r w:rsidRPr="000632DE">
        <w:rPr>
          <w:b/>
          <w:szCs w:val="20"/>
        </w:rPr>
        <w:t>Inhalation:</w:t>
      </w:r>
      <w:r w:rsidRPr="000632DE">
        <w:rPr>
          <w:szCs w:val="20"/>
        </w:rPr>
        <w:t xml:space="preserve">  </w:t>
      </w:r>
      <w:r w:rsidR="00053504" w:rsidRPr="000632DE">
        <w:rPr>
          <w:szCs w:val="20"/>
        </w:rPr>
        <w:t xml:space="preserve">Acute exposure may result in </w:t>
      </w:r>
      <w:r w:rsidR="009C2E09">
        <w:rPr>
          <w:szCs w:val="20"/>
        </w:rPr>
        <w:t>respiratory tract</w:t>
      </w:r>
      <w:r w:rsidR="009C2E09" w:rsidRPr="000632DE">
        <w:rPr>
          <w:szCs w:val="20"/>
        </w:rPr>
        <w:t xml:space="preserve"> </w:t>
      </w:r>
      <w:r w:rsidR="00053504" w:rsidRPr="000632DE">
        <w:rPr>
          <w:szCs w:val="20"/>
        </w:rPr>
        <w:t>irritation</w:t>
      </w:r>
      <w:r w:rsidRPr="000632DE">
        <w:rPr>
          <w:szCs w:val="20"/>
        </w:rPr>
        <w:t>.</w:t>
      </w:r>
      <w:r w:rsidR="00053504" w:rsidRPr="000632DE">
        <w:rPr>
          <w:szCs w:val="20"/>
        </w:rPr>
        <w:t xml:space="preserve">  </w:t>
      </w:r>
      <w:r w:rsidR="009F22D5">
        <w:rPr>
          <w:szCs w:val="20"/>
        </w:rPr>
        <w:t>No data listed for chronic exposure.</w:t>
      </w:r>
    </w:p>
    <w:p w14:paraId="555786BB" w14:textId="608B911F" w:rsidR="000E3AA3" w:rsidRPr="000632DE" w:rsidRDefault="000E3AA3" w:rsidP="001967DA">
      <w:pPr>
        <w:widowControl/>
        <w:tabs>
          <w:tab w:val="left" w:pos="360"/>
        </w:tabs>
        <w:spacing w:before="60" w:after="60"/>
        <w:ind w:left="360"/>
      </w:pPr>
      <w:r w:rsidRPr="000632DE">
        <w:rPr>
          <w:b/>
        </w:rPr>
        <w:t>Skin Contact:</w:t>
      </w:r>
      <w:r w:rsidRPr="000632DE">
        <w:t xml:space="preserve">  </w:t>
      </w:r>
      <w:r w:rsidR="000632DE" w:rsidRPr="000632DE">
        <w:t xml:space="preserve">Acute exposure may </w:t>
      </w:r>
      <w:r w:rsidRPr="000632DE">
        <w:t>cause irritation.</w:t>
      </w:r>
      <w:r w:rsidR="000632DE" w:rsidRPr="000632DE">
        <w:t xml:space="preserve">  </w:t>
      </w:r>
      <w:r w:rsidR="009F22D5">
        <w:t>No data listed for chronic exposure.</w:t>
      </w:r>
    </w:p>
    <w:p w14:paraId="19D88CE0" w14:textId="12408F18" w:rsidR="000E3AA3" w:rsidRPr="004D79C9" w:rsidRDefault="000E3AA3" w:rsidP="00CF7B42">
      <w:pPr>
        <w:widowControl/>
        <w:tabs>
          <w:tab w:val="left" w:pos="360"/>
        </w:tabs>
        <w:spacing w:before="60" w:after="60"/>
        <w:ind w:left="360"/>
        <w:rPr>
          <w:highlight w:val="yellow"/>
        </w:rPr>
      </w:pPr>
      <w:r w:rsidRPr="000632DE">
        <w:rPr>
          <w:b/>
        </w:rPr>
        <w:t>Eye Contact:</w:t>
      </w:r>
      <w:r w:rsidRPr="000632DE">
        <w:t xml:space="preserve">  May cause</w:t>
      </w:r>
      <w:r w:rsidR="00497C68">
        <w:t xml:space="preserve"> </w:t>
      </w:r>
      <w:r w:rsidRPr="000632DE">
        <w:t>irritation</w:t>
      </w:r>
      <w:r w:rsidR="00497C68">
        <w:t>.</w:t>
      </w:r>
      <w:r w:rsidR="00243FDA">
        <w:t xml:space="preserve">  </w:t>
      </w:r>
      <w:r w:rsidR="002550F6">
        <w:t>No data listed for chronic exposure.</w:t>
      </w:r>
    </w:p>
    <w:p w14:paraId="23A13828" w14:textId="0C45DEEC" w:rsidR="000E3AA3" w:rsidRPr="007B6322" w:rsidRDefault="000E3AA3">
      <w:pPr>
        <w:widowControl/>
        <w:tabs>
          <w:tab w:val="left" w:pos="360"/>
        </w:tabs>
        <w:spacing w:before="60" w:after="60"/>
        <w:ind w:left="360"/>
      </w:pPr>
      <w:r w:rsidRPr="000632DE">
        <w:rPr>
          <w:b/>
        </w:rPr>
        <w:t>Ingestion:</w:t>
      </w:r>
      <w:r w:rsidRPr="000632DE">
        <w:t xml:space="preserve">  </w:t>
      </w:r>
      <w:r w:rsidR="009F22D5">
        <w:t xml:space="preserve">No data listed for </w:t>
      </w:r>
      <w:r w:rsidR="009C2E09">
        <w:t xml:space="preserve">acute or </w:t>
      </w:r>
      <w:r w:rsidR="009F22D5">
        <w:t>chronic exposure.</w:t>
      </w:r>
    </w:p>
    <w:p w14:paraId="7AF414A5" w14:textId="77777777" w:rsidR="000E3AA3" w:rsidRPr="004A4A12" w:rsidRDefault="000E3AA3" w:rsidP="001967DA">
      <w:pPr>
        <w:widowControl/>
        <w:spacing w:before="120"/>
        <w:rPr>
          <w:rFonts w:eastAsia="Times New Roman"/>
          <w:bCs/>
          <w:szCs w:val="20"/>
        </w:rPr>
      </w:pPr>
      <w:r w:rsidRPr="004A4A12">
        <w:rPr>
          <w:rFonts w:eastAsia="Times New Roman"/>
          <w:b/>
          <w:bCs/>
          <w:szCs w:val="20"/>
        </w:rPr>
        <w:t>Numerical Measures of Toxicity</w:t>
      </w:r>
    </w:p>
    <w:p w14:paraId="0C7F36DB" w14:textId="78C1DF39" w:rsidR="001D4B38" w:rsidRDefault="000E3AA3" w:rsidP="001967DA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A4A12">
        <w:rPr>
          <w:rFonts w:eastAsia="Times New Roman"/>
          <w:b/>
          <w:bCs/>
          <w:szCs w:val="20"/>
        </w:rPr>
        <w:t xml:space="preserve">Acute </w:t>
      </w:r>
      <w:r w:rsidR="007272C4" w:rsidRPr="00E92BB3">
        <w:rPr>
          <w:rFonts w:eastAsia="Times New Roman"/>
          <w:b/>
          <w:bCs/>
          <w:szCs w:val="20"/>
        </w:rPr>
        <w:t>T</w:t>
      </w:r>
      <w:r w:rsidRPr="00E92BB3">
        <w:rPr>
          <w:rFonts w:eastAsia="Times New Roman"/>
          <w:b/>
          <w:bCs/>
          <w:szCs w:val="20"/>
        </w:rPr>
        <w:t>oxicity:</w:t>
      </w:r>
      <w:r w:rsidRPr="00E92BB3">
        <w:rPr>
          <w:rFonts w:eastAsia="Times New Roman"/>
          <w:bCs/>
          <w:szCs w:val="20"/>
        </w:rPr>
        <w:t xml:space="preserve">  </w:t>
      </w:r>
      <w:r w:rsidR="001A0914" w:rsidRPr="00E92BB3">
        <w:rPr>
          <w:rFonts w:eastAsia="Times New Roman"/>
          <w:bCs/>
          <w:szCs w:val="20"/>
        </w:rPr>
        <w:t>No</w:t>
      </w:r>
      <w:r w:rsidR="00192817" w:rsidRPr="00E92BB3">
        <w:rPr>
          <w:rFonts w:eastAsia="Times New Roman"/>
          <w:bCs/>
          <w:szCs w:val="20"/>
        </w:rPr>
        <w:t>t classified</w:t>
      </w:r>
      <w:r w:rsidR="00C30809">
        <w:rPr>
          <w:rFonts w:eastAsia="Times New Roman"/>
          <w:bCs/>
          <w:szCs w:val="20"/>
        </w:rPr>
        <w:t>; no data available.</w:t>
      </w:r>
    </w:p>
    <w:p w14:paraId="0E68A863" w14:textId="187F13D0" w:rsidR="00C1716A" w:rsidRPr="00C1716A" w:rsidRDefault="000E3AA3" w:rsidP="00C1716A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4A4A12">
        <w:rPr>
          <w:rFonts w:eastAsia="Times New Roman"/>
          <w:b/>
          <w:bCs/>
          <w:szCs w:val="20"/>
        </w:rPr>
        <w:t xml:space="preserve">Skin </w:t>
      </w:r>
      <w:r w:rsidR="007272C4">
        <w:rPr>
          <w:rFonts w:eastAsia="Times New Roman"/>
          <w:b/>
          <w:bCs/>
          <w:szCs w:val="20"/>
        </w:rPr>
        <w:t>C</w:t>
      </w:r>
      <w:r w:rsidRPr="004A4A12">
        <w:rPr>
          <w:rFonts w:eastAsia="Times New Roman"/>
          <w:b/>
          <w:bCs/>
          <w:szCs w:val="20"/>
        </w:rPr>
        <w:t>orrosion/</w:t>
      </w:r>
      <w:r w:rsidR="007272C4">
        <w:rPr>
          <w:rFonts w:eastAsia="Times New Roman"/>
          <w:b/>
          <w:bCs/>
          <w:szCs w:val="20"/>
        </w:rPr>
        <w:t>I</w:t>
      </w:r>
      <w:r w:rsidRPr="004A4A12">
        <w:rPr>
          <w:rFonts w:eastAsia="Times New Roman"/>
          <w:b/>
          <w:bCs/>
          <w:szCs w:val="20"/>
        </w:rPr>
        <w:t>rritation:</w:t>
      </w:r>
      <w:r w:rsidRPr="004A4A12">
        <w:rPr>
          <w:rFonts w:eastAsia="Times New Roman"/>
          <w:bCs/>
          <w:szCs w:val="20"/>
        </w:rPr>
        <w:t xml:space="preserve">  </w:t>
      </w:r>
      <w:r w:rsidR="00C1716A" w:rsidRPr="00C1716A">
        <w:rPr>
          <w:rFonts w:eastAsia="Times New Roman"/>
          <w:bCs/>
          <w:szCs w:val="20"/>
        </w:rPr>
        <w:t>Category 2</w:t>
      </w:r>
      <w:r w:rsidR="00C1716A">
        <w:rPr>
          <w:rFonts w:eastAsia="Times New Roman"/>
          <w:bCs/>
          <w:szCs w:val="20"/>
        </w:rPr>
        <w:t>; causes skin irritation.</w:t>
      </w:r>
    </w:p>
    <w:p w14:paraId="12BAD45E" w14:textId="6056E329" w:rsidR="00E37C34" w:rsidRPr="004A4A12" w:rsidRDefault="00E37C34" w:rsidP="001967DA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4A4A12">
        <w:rPr>
          <w:rFonts w:eastAsia="Times New Roman"/>
          <w:b/>
          <w:bCs/>
          <w:szCs w:val="20"/>
        </w:rPr>
        <w:t xml:space="preserve">Serious </w:t>
      </w:r>
      <w:r w:rsidR="007272C4">
        <w:rPr>
          <w:rFonts w:eastAsia="Times New Roman"/>
          <w:b/>
          <w:bCs/>
          <w:szCs w:val="20"/>
        </w:rPr>
        <w:t>E</w:t>
      </w:r>
      <w:r w:rsidRPr="004A4A12">
        <w:rPr>
          <w:rFonts w:eastAsia="Times New Roman"/>
          <w:b/>
          <w:bCs/>
          <w:szCs w:val="20"/>
        </w:rPr>
        <w:t xml:space="preserve">ye </w:t>
      </w:r>
      <w:r w:rsidR="007272C4">
        <w:rPr>
          <w:rFonts w:eastAsia="Times New Roman"/>
          <w:b/>
          <w:bCs/>
          <w:szCs w:val="20"/>
        </w:rPr>
        <w:t>D</w:t>
      </w:r>
      <w:r w:rsidRPr="004A4A12">
        <w:rPr>
          <w:rFonts w:eastAsia="Times New Roman"/>
          <w:b/>
          <w:bCs/>
          <w:szCs w:val="20"/>
        </w:rPr>
        <w:t>amage/</w:t>
      </w:r>
      <w:r w:rsidR="007272C4">
        <w:rPr>
          <w:rFonts w:eastAsia="Times New Roman"/>
          <w:b/>
          <w:bCs/>
          <w:szCs w:val="20"/>
        </w:rPr>
        <w:t>I</w:t>
      </w:r>
      <w:r w:rsidRPr="004A4A12">
        <w:rPr>
          <w:rFonts w:eastAsia="Times New Roman"/>
          <w:b/>
          <w:bCs/>
          <w:szCs w:val="20"/>
        </w:rPr>
        <w:t>rritation:</w:t>
      </w:r>
      <w:r w:rsidRPr="004A4A12">
        <w:rPr>
          <w:rFonts w:eastAsia="Times New Roman"/>
          <w:bCs/>
          <w:szCs w:val="20"/>
        </w:rPr>
        <w:t xml:space="preserve">  </w:t>
      </w:r>
      <w:r w:rsidR="00C1716A" w:rsidRPr="00C1716A">
        <w:rPr>
          <w:rFonts w:eastAsia="Times New Roman"/>
          <w:bCs/>
          <w:szCs w:val="20"/>
        </w:rPr>
        <w:t>Category 2A</w:t>
      </w:r>
      <w:r w:rsidR="00C1716A">
        <w:rPr>
          <w:rFonts w:eastAsia="Times New Roman"/>
          <w:bCs/>
          <w:szCs w:val="20"/>
        </w:rPr>
        <w:t>; causes eye irritation.</w:t>
      </w:r>
    </w:p>
    <w:p w14:paraId="05EADB60" w14:textId="33C31F42" w:rsidR="005B1EDD" w:rsidRDefault="00E37C34" w:rsidP="00CF7B42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4A4A12">
        <w:rPr>
          <w:rFonts w:eastAsia="Times New Roman"/>
          <w:b/>
          <w:bCs/>
          <w:szCs w:val="20"/>
        </w:rPr>
        <w:t xml:space="preserve">Respiratory </w:t>
      </w:r>
      <w:r w:rsidR="007272C4">
        <w:rPr>
          <w:rFonts w:eastAsia="Times New Roman"/>
          <w:b/>
          <w:bCs/>
          <w:szCs w:val="20"/>
        </w:rPr>
        <w:t>S</w:t>
      </w:r>
      <w:r w:rsidR="007272C4" w:rsidRPr="004A4A12">
        <w:rPr>
          <w:rFonts w:eastAsia="Times New Roman"/>
          <w:b/>
          <w:bCs/>
          <w:szCs w:val="20"/>
        </w:rPr>
        <w:t>ensitization</w:t>
      </w:r>
      <w:r w:rsidRPr="004A4A12">
        <w:rPr>
          <w:rFonts w:eastAsia="Times New Roman"/>
          <w:b/>
          <w:bCs/>
          <w:szCs w:val="20"/>
        </w:rPr>
        <w:t>:</w:t>
      </w:r>
      <w:r w:rsidRPr="004A4A12">
        <w:rPr>
          <w:rFonts w:eastAsia="Times New Roman"/>
          <w:bCs/>
          <w:szCs w:val="20"/>
        </w:rPr>
        <w:t xml:space="preserve">  </w:t>
      </w:r>
      <w:r w:rsidR="005B1EDD">
        <w:rPr>
          <w:rFonts w:eastAsia="Times New Roman"/>
          <w:bCs/>
          <w:szCs w:val="20"/>
        </w:rPr>
        <w:t>Not classified</w:t>
      </w:r>
      <w:r w:rsidR="00C1716A" w:rsidRPr="00C1716A">
        <w:rPr>
          <w:rFonts w:eastAsia="Times New Roman"/>
          <w:bCs/>
          <w:szCs w:val="20"/>
        </w:rPr>
        <w:t>; no data available</w:t>
      </w:r>
      <w:r w:rsidR="005B1EDD">
        <w:rPr>
          <w:rFonts w:eastAsia="Times New Roman"/>
          <w:bCs/>
          <w:szCs w:val="20"/>
        </w:rPr>
        <w:t>.</w:t>
      </w:r>
    </w:p>
    <w:p w14:paraId="3ECD2F12" w14:textId="1DE4CDD2" w:rsidR="00E37C34" w:rsidRDefault="00E37C34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A66D9">
        <w:rPr>
          <w:rFonts w:eastAsia="Times New Roman"/>
          <w:b/>
          <w:bCs/>
          <w:szCs w:val="20"/>
        </w:rPr>
        <w:t xml:space="preserve">Skin </w:t>
      </w:r>
      <w:r w:rsidR="007272C4">
        <w:rPr>
          <w:rFonts w:eastAsia="Times New Roman"/>
          <w:b/>
          <w:bCs/>
          <w:szCs w:val="20"/>
        </w:rPr>
        <w:t>S</w:t>
      </w:r>
      <w:r w:rsidRPr="005A66D9">
        <w:rPr>
          <w:rFonts w:eastAsia="Times New Roman"/>
          <w:b/>
          <w:bCs/>
          <w:szCs w:val="20"/>
        </w:rPr>
        <w:t>ensitization:</w:t>
      </w:r>
      <w:r w:rsidRPr="005A66D9">
        <w:rPr>
          <w:rFonts w:eastAsia="Times New Roman"/>
          <w:bCs/>
          <w:szCs w:val="20"/>
        </w:rPr>
        <w:t xml:space="preserve"> </w:t>
      </w:r>
      <w:r w:rsidR="00BA52F9">
        <w:rPr>
          <w:rFonts w:eastAsia="Times New Roman"/>
          <w:bCs/>
          <w:szCs w:val="20"/>
        </w:rPr>
        <w:t xml:space="preserve"> </w:t>
      </w:r>
      <w:r w:rsidR="001F57E7">
        <w:rPr>
          <w:rFonts w:eastAsia="Times New Roman"/>
          <w:bCs/>
          <w:szCs w:val="20"/>
        </w:rPr>
        <w:t>Not classified</w:t>
      </w:r>
      <w:r w:rsidR="00C1716A" w:rsidRPr="00C1716A">
        <w:rPr>
          <w:rFonts w:eastAsia="Times New Roman"/>
          <w:bCs/>
          <w:szCs w:val="20"/>
        </w:rPr>
        <w:t>; no data available</w:t>
      </w:r>
      <w:r w:rsidR="001F57E7">
        <w:rPr>
          <w:rFonts w:eastAsia="Times New Roman"/>
          <w:bCs/>
          <w:szCs w:val="20"/>
        </w:rPr>
        <w:t>.</w:t>
      </w:r>
    </w:p>
    <w:p w14:paraId="19FFE1CB" w14:textId="7D9621EB" w:rsidR="00E37C34" w:rsidRPr="004A4A12" w:rsidRDefault="00E37C34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4A4A12">
        <w:rPr>
          <w:rFonts w:eastAsia="Times New Roman"/>
          <w:b/>
          <w:bCs/>
          <w:szCs w:val="20"/>
        </w:rPr>
        <w:t>Germ Cell Mutagenicity:</w:t>
      </w:r>
      <w:r w:rsidRPr="004A4A12">
        <w:rPr>
          <w:rFonts w:eastAsia="Times New Roman"/>
          <w:bCs/>
          <w:szCs w:val="20"/>
        </w:rPr>
        <w:t xml:space="preserve">  </w:t>
      </w:r>
      <w:r w:rsidR="005B1EDD">
        <w:rPr>
          <w:rFonts w:eastAsia="Times New Roman"/>
          <w:bCs/>
          <w:szCs w:val="20"/>
        </w:rPr>
        <w:t>Not classified</w:t>
      </w:r>
      <w:r w:rsidR="00C1716A" w:rsidRPr="00C1716A">
        <w:rPr>
          <w:rFonts w:eastAsia="Times New Roman"/>
          <w:bCs/>
          <w:szCs w:val="20"/>
        </w:rPr>
        <w:t>; no data available</w:t>
      </w:r>
      <w:r w:rsidR="005B1EDD">
        <w:rPr>
          <w:rFonts w:eastAsia="Times New Roman"/>
          <w:bCs/>
          <w:szCs w:val="20"/>
        </w:rPr>
        <w:t>.</w:t>
      </w:r>
    </w:p>
    <w:p w14:paraId="477634B3" w14:textId="763BECC8" w:rsidR="00B45E05" w:rsidRPr="005A66D9" w:rsidRDefault="00B45E05" w:rsidP="001967DA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5A66D9">
        <w:rPr>
          <w:rFonts w:eastAsia="Times New Roman"/>
          <w:b/>
          <w:bCs/>
          <w:szCs w:val="20"/>
        </w:rPr>
        <w:t>Carcinogenicity:</w:t>
      </w:r>
      <w:r w:rsidRPr="005A66D9">
        <w:rPr>
          <w:rFonts w:eastAsia="Times New Roman"/>
          <w:bCs/>
          <w:szCs w:val="20"/>
        </w:rPr>
        <w:t xml:space="preserve">  </w:t>
      </w:r>
      <w:r w:rsidR="001F57E7">
        <w:rPr>
          <w:rFonts w:eastAsia="Times New Roman"/>
          <w:bCs/>
          <w:szCs w:val="20"/>
        </w:rPr>
        <w:t>Not classified.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76"/>
        <w:gridCol w:w="1440"/>
        <w:gridCol w:w="576"/>
        <w:gridCol w:w="720"/>
      </w:tblGrid>
      <w:tr w:rsidR="00B45E05" w:rsidRPr="007B6322" w14:paraId="110B494D" w14:textId="77777777" w:rsidTr="001967DA">
        <w:tc>
          <w:tcPr>
            <w:tcW w:w="4500" w:type="dxa"/>
          </w:tcPr>
          <w:p w14:paraId="1CD0833B" w14:textId="77777777" w:rsidR="00B45E05" w:rsidRPr="007B6322" w:rsidRDefault="00B45E05" w:rsidP="00CF7B42">
            <w:pPr>
              <w:widowControl/>
              <w:spacing w:before="120"/>
              <w:ind w:left="252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132F7B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7B6322">
              <w:rPr>
                <w:rFonts w:eastAsia="Times New Roman"/>
                <w:b/>
                <w:bCs/>
                <w:szCs w:val="20"/>
              </w:rPr>
              <w:t>i</w:t>
            </w:r>
            <w:r w:rsidRPr="007B6322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7B6322">
              <w:rPr>
                <w:rFonts w:eastAsia="Times New Roman"/>
                <w:b/>
                <w:bCs/>
                <w:szCs w:val="20"/>
              </w:rPr>
              <w:t>ed</w:t>
            </w:r>
            <w:r w:rsidRPr="007B6322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7B6322">
              <w:rPr>
                <w:rFonts w:eastAsia="Times New Roman"/>
                <w:b/>
                <w:bCs/>
                <w:szCs w:val="20"/>
              </w:rPr>
              <w:t>s</w:t>
            </w:r>
            <w:r w:rsidRPr="007B6322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7B6322">
              <w:rPr>
                <w:rFonts w:eastAsia="Times New Roman"/>
                <w:b/>
                <w:bCs/>
                <w:szCs w:val="20"/>
              </w:rPr>
              <w:t>a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7B6322">
              <w:rPr>
                <w:rFonts w:eastAsia="Times New Roman"/>
                <w:b/>
                <w:bCs/>
                <w:szCs w:val="20"/>
              </w:rPr>
              <w:t>C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7B6322">
              <w:rPr>
                <w:rFonts w:eastAsia="Times New Roman"/>
                <w:b/>
                <w:bCs/>
                <w:szCs w:val="20"/>
              </w:rPr>
              <w:t>rcin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7B6322">
              <w:rPr>
                <w:rFonts w:eastAsia="Times New Roman"/>
                <w:b/>
                <w:bCs/>
                <w:szCs w:val="20"/>
              </w:rPr>
              <w:t>en/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7B6322">
              <w:rPr>
                <w:rFonts w:eastAsia="Times New Roman"/>
                <w:b/>
                <w:bCs/>
                <w:szCs w:val="20"/>
              </w:rPr>
              <w:t>en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7B6322">
              <w:rPr>
                <w:rFonts w:eastAsia="Times New Roman"/>
                <w:b/>
                <w:bCs/>
                <w:szCs w:val="20"/>
              </w:rPr>
              <w:t>i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7B6322">
              <w:rPr>
                <w:rFonts w:eastAsia="Times New Roman"/>
                <w:b/>
                <w:bCs/>
                <w:szCs w:val="20"/>
              </w:rPr>
              <w:t>l</w:t>
            </w:r>
            <w:r w:rsidRPr="007B6322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7B6322">
              <w:rPr>
                <w:rFonts w:eastAsia="Times New Roman"/>
                <w:b/>
                <w:bCs/>
                <w:szCs w:val="20"/>
              </w:rPr>
              <w:t>C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7B6322">
              <w:rPr>
                <w:rFonts w:eastAsia="Times New Roman"/>
                <w:b/>
                <w:bCs/>
                <w:szCs w:val="20"/>
              </w:rPr>
              <w:t>rcin</w:t>
            </w:r>
            <w:r w:rsidRPr="007B6322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7B6322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06473DDD" w14:textId="73F7AA5E" w:rsidR="00B45E05" w:rsidRPr="007B6322" w:rsidRDefault="00B45E05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61CE913" w14:textId="77777777" w:rsidR="00B45E05" w:rsidRPr="007B6322" w:rsidRDefault="00B45E05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7B6322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4E267B08" w14:textId="750673EC" w:rsidR="00B45E05" w:rsidRPr="007B6322" w:rsidRDefault="001F57E7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354AC8EF" w14:textId="77777777" w:rsidR="00B45E05" w:rsidRPr="007B6322" w:rsidRDefault="00B45E05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7B6322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155C98C6" w14:textId="07F3A86B" w:rsidR="00F072E3" w:rsidRDefault="00C30809" w:rsidP="001967DA">
      <w:pPr>
        <w:widowControl/>
        <w:tabs>
          <w:tab w:val="left" w:pos="1080"/>
        </w:tabs>
        <w:spacing w:after="120"/>
        <w:ind w:left="720"/>
        <w:rPr>
          <w:szCs w:val="20"/>
        </w:rPr>
      </w:pPr>
      <w:r>
        <w:rPr>
          <w:szCs w:val="20"/>
        </w:rPr>
        <w:t>VMA</w:t>
      </w:r>
      <w:r w:rsidR="00142C09">
        <w:rPr>
          <w:szCs w:val="20"/>
        </w:rPr>
        <w:t xml:space="preserve"> </w:t>
      </w:r>
      <w:r w:rsidR="00497C68">
        <w:rPr>
          <w:szCs w:val="20"/>
        </w:rPr>
        <w:t>is</w:t>
      </w:r>
      <w:r w:rsidR="00142C09">
        <w:rPr>
          <w:szCs w:val="20"/>
        </w:rPr>
        <w:t xml:space="preserve"> </w:t>
      </w:r>
      <w:r>
        <w:rPr>
          <w:szCs w:val="20"/>
        </w:rPr>
        <w:t xml:space="preserve">not </w:t>
      </w:r>
      <w:r w:rsidR="005133E0" w:rsidRPr="004A4A12">
        <w:rPr>
          <w:szCs w:val="20"/>
        </w:rPr>
        <w:t xml:space="preserve">listed by </w:t>
      </w:r>
      <w:r w:rsidR="00084177">
        <w:rPr>
          <w:szCs w:val="20"/>
        </w:rPr>
        <w:t>IARC</w:t>
      </w:r>
      <w:r>
        <w:rPr>
          <w:szCs w:val="20"/>
        </w:rPr>
        <w:t xml:space="preserve">, </w:t>
      </w:r>
      <w:r w:rsidR="005133E0" w:rsidRPr="004A4A12">
        <w:rPr>
          <w:szCs w:val="20"/>
        </w:rPr>
        <w:t>OSHA</w:t>
      </w:r>
      <w:r w:rsidR="00084177">
        <w:rPr>
          <w:szCs w:val="20"/>
        </w:rPr>
        <w:t xml:space="preserve"> or</w:t>
      </w:r>
      <w:r w:rsidR="005133E0" w:rsidRPr="004A4A12">
        <w:rPr>
          <w:szCs w:val="20"/>
        </w:rPr>
        <w:t xml:space="preserve"> NTP as a carcinogen/potential carcinogen</w:t>
      </w:r>
      <w:r w:rsidR="00084177">
        <w:rPr>
          <w:szCs w:val="20"/>
        </w:rPr>
        <w:t xml:space="preserve">. </w:t>
      </w:r>
    </w:p>
    <w:p w14:paraId="6252A708" w14:textId="161BF752" w:rsidR="007934DE" w:rsidRDefault="00E37C34" w:rsidP="00CF7B42">
      <w:pPr>
        <w:widowControl/>
        <w:spacing w:before="120"/>
        <w:ind w:left="360"/>
        <w:jc w:val="left"/>
        <w:rPr>
          <w:szCs w:val="20"/>
        </w:rPr>
      </w:pPr>
      <w:r w:rsidRPr="000912A2">
        <w:rPr>
          <w:rFonts w:eastAsia="Times New Roman"/>
          <w:b/>
          <w:bCs/>
          <w:szCs w:val="20"/>
        </w:rPr>
        <w:t>Reproductive Toxicity:</w:t>
      </w:r>
      <w:r w:rsidRPr="000912A2">
        <w:rPr>
          <w:rFonts w:eastAsia="Times New Roman"/>
          <w:bCs/>
          <w:szCs w:val="20"/>
        </w:rPr>
        <w:t xml:space="preserve">  </w:t>
      </w:r>
      <w:r w:rsidR="00132F7B" w:rsidRPr="00047A22">
        <w:rPr>
          <w:rFonts w:eastAsia="Times New Roman"/>
          <w:bCs/>
          <w:szCs w:val="20"/>
        </w:rPr>
        <w:t>N</w:t>
      </w:r>
      <w:r w:rsidR="007934DE">
        <w:rPr>
          <w:rFonts w:eastAsia="Times New Roman"/>
          <w:bCs/>
          <w:szCs w:val="20"/>
        </w:rPr>
        <w:t>ot classified.</w:t>
      </w:r>
    </w:p>
    <w:p w14:paraId="48B25659" w14:textId="0055737D" w:rsidR="00E37C34" w:rsidRPr="000912A2" w:rsidRDefault="00E37C34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912A2">
        <w:rPr>
          <w:rFonts w:eastAsia="Times New Roman"/>
          <w:b/>
          <w:bCs/>
          <w:szCs w:val="20"/>
        </w:rPr>
        <w:t>Specific Target Organ Toxicity, Single Exposure</w:t>
      </w:r>
      <w:r w:rsidR="00C30809">
        <w:rPr>
          <w:rFonts w:eastAsia="Times New Roman"/>
          <w:b/>
          <w:bCs/>
          <w:szCs w:val="20"/>
        </w:rPr>
        <w:t xml:space="preserve"> (Inhalation)</w:t>
      </w:r>
      <w:r w:rsidRPr="000912A2">
        <w:rPr>
          <w:rFonts w:eastAsia="Times New Roman"/>
          <w:b/>
          <w:bCs/>
          <w:szCs w:val="20"/>
        </w:rPr>
        <w:t>:</w:t>
      </w:r>
      <w:r w:rsidRPr="000912A2">
        <w:rPr>
          <w:rFonts w:eastAsia="Times New Roman"/>
          <w:bCs/>
          <w:szCs w:val="20"/>
        </w:rPr>
        <w:t xml:space="preserve">  </w:t>
      </w:r>
      <w:r w:rsidR="00C30809">
        <w:rPr>
          <w:rFonts w:eastAsia="Times New Roman"/>
          <w:bCs/>
          <w:szCs w:val="20"/>
        </w:rPr>
        <w:t>Category 3, may cause respiratory irrit</w:t>
      </w:r>
      <w:r w:rsidR="00C1716A">
        <w:rPr>
          <w:rFonts w:eastAsia="Times New Roman"/>
          <w:bCs/>
          <w:szCs w:val="20"/>
        </w:rPr>
        <w:t>ation</w:t>
      </w:r>
      <w:r w:rsidR="00132F7B" w:rsidRPr="00047A22">
        <w:rPr>
          <w:rFonts w:eastAsia="Times New Roman"/>
          <w:bCs/>
          <w:szCs w:val="20"/>
        </w:rPr>
        <w:t>.</w:t>
      </w:r>
    </w:p>
    <w:p w14:paraId="0F9C8763" w14:textId="4DF19D7D" w:rsidR="00C44638" w:rsidRPr="007B6322" w:rsidRDefault="00C44638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132F7B">
        <w:rPr>
          <w:rFonts w:eastAsia="Times New Roman"/>
          <w:b/>
          <w:bCs/>
          <w:szCs w:val="20"/>
        </w:rPr>
        <w:t>Specific Target Organ Toxicity, Repeated Exposure:</w:t>
      </w:r>
      <w:r w:rsidRPr="007B6322">
        <w:rPr>
          <w:rFonts w:eastAsia="Times New Roman"/>
          <w:bCs/>
          <w:szCs w:val="20"/>
        </w:rPr>
        <w:t xml:space="preserve"> </w:t>
      </w:r>
      <w:r w:rsidR="007F4D36">
        <w:rPr>
          <w:rFonts w:eastAsia="Times New Roman"/>
          <w:bCs/>
          <w:szCs w:val="20"/>
        </w:rPr>
        <w:t xml:space="preserve"> </w:t>
      </w:r>
      <w:r w:rsidR="007F4D36" w:rsidRPr="00047A22">
        <w:rPr>
          <w:rFonts w:eastAsia="Times New Roman"/>
          <w:bCs/>
          <w:szCs w:val="20"/>
        </w:rPr>
        <w:t>No data available.</w:t>
      </w:r>
    </w:p>
    <w:p w14:paraId="68CD9A9F" w14:textId="5E1FF384" w:rsidR="004521E9" w:rsidRPr="00047A22" w:rsidRDefault="00E37C34">
      <w:pPr>
        <w:widowControl/>
        <w:spacing w:before="120" w:after="120"/>
        <w:ind w:left="360"/>
        <w:rPr>
          <w:rFonts w:eastAsia="Times New Roman"/>
          <w:szCs w:val="20"/>
        </w:rPr>
      </w:pPr>
      <w:r w:rsidRPr="007B6322">
        <w:rPr>
          <w:rFonts w:eastAsia="Times New Roman"/>
          <w:b/>
          <w:bCs/>
          <w:szCs w:val="20"/>
        </w:rPr>
        <w:t xml:space="preserve">Aspiration </w:t>
      </w:r>
      <w:r w:rsidR="00084177">
        <w:rPr>
          <w:rFonts w:eastAsia="Times New Roman"/>
          <w:b/>
          <w:bCs/>
          <w:szCs w:val="20"/>
        </w:rPr>
        <w:t>H</w:t>
      </w:r>
      <w:r w:rsidR="00084177" w:rsidRPr="007B6322">
        <w:rPr>
          <w:rFonts w:eastAsia="Times New Roman"/>
          <w:b/>
          <w:bCs/>
          <w:szCs w:val="20"/>
        </w:rPr>
        <w:t>azard</w:t>
      </w:r>
      <w:r w:rsidRPr="007B6322">
        <w:rPr>
          <w:rFonts w:eastAsia="Times New Roman"/>
          <w:b/>
          <w:bCs/>
          <w:szCs w:val="20"/>
        </w:rPr>
        <w:t>:</w:t>
      </w:r>
      <w:r w:rsidRPr="007B6322">
        <w:rPr>
          <w:rFonts w:eastAsia="Times New Roman"/>
          <w:bCs/>
          <w:szCs w:val="20"/>
        </w:rPr>
        <w:t xml:space="preserve"> </w:t>
      </w:r>
      <w:r w:rsidRPr="007B6322">
        <w:t xml:space="preserve"> Not applicable</w:t>
      </w:r>
      <w:r w:rsidRPr="007B6322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47A22" w14:paraId="6686431C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2B1B555" w14:textId="77777777" w:rsidR="004521E9" w:rsidRPr="00047A22" w:rsidRDefault="004521E9" w:rsidP="001967DA">
            <w:pPr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12. E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COLOGICAL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47C98314" w14:textId="287C3E85" w:rsidR="004521E9" w:rsidRDefault="004521E9" w:rsidP="001967DA">
      <w:pPr>
        <w:widowControl/>
        <w:spacing w:before="120"/>
        <w:rPr>
          <w:rFonts w:eastAsia="Times New Roman"/>
          <w:bCs/>
          <w:szCs w:val="20"/>
        </w:rPr>
      </w:pPr>
      <w:proofErr w:type="spellStart"/>
      <w:r w:rsidRPr="00047A22">
        <w:rPr>
          <w:rFonts w:eastAsia="Times New Roman"/>
          <w:b/>
          <w:bCs/>
          <w:szCs w:val="20"/>
        </w:rPr>
        <w:t>Ecotoxicity</w:t>
      </w:r>
      <w:proofErr w:type="spellEnd"/>
      <w:r w:rsidRPr="00047A22">
        <w:rPr>
          <w:rFonts w:eastAsia="Times New Roman"/>
          <w:b/>
          <w:bCs/>
          <w:szCs w:val="20"/>
        </w:rPr>
        <w:t xml:space="preserve"> Data:</w:t>
      </w:r>
      <w:r w:rsidR="00005D5A" w:rsidRPr="00047A22">
        <w:rPr>
          <w:rFonts w:eastAsia="Times New Roman"/>
          <w:bCs/>
          <w:szCs w:val="20"/>
        </w:rPr>
        <w:t xml:space="preserve">  No data available</w:t>
      </w:r>
      <w:r w:rsidR="007D6D9F" w:rsidRPr="00047A22">
        <w:rPr>
          <w:rFonts w:eastAsia="Times New Roman"/>
          <w:bCs/>
          <w:szCs w:val="20"/>
        </w:rPr>
        <w:t>.</w:t>
      </w:r>
    </w:p>
    <w:p w14:paraId="18B6846A" w14:textId="77777777" w:rsidR="004521E9" w:rsidRPr="00047A22" w:rsidRDefault="004521E9" w:rsidP="001967DA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Persistence and Degradability:</w:t>
      </w:r>
      <w:r w:rsidR="00D3347C" w:rsidRPr="00047A22">
        <w:rPr>
          <w:rFonts w:eastAsia="Times New Roman"/>
          <w:bCs/>
          <w:szCs w:val="20"/>
        </w:rPr>
        <w:t xml:space="preserve">  No data available.</w:t>
      </w:r>
    </w:p>
    <w:p w14:paraId="481E6B0F" w14:textId="3458B93F" w:rsidR="007C4C46" w:rsidRPr="00047A22" w:rsidRDefault="004521E9" w:rsidP="00CF7B42">
      <w:pPr>
        <w:widowControl/>
        <w:spacing w:before="120"/>
        <w:rPr>
          <w:rFonts w:eastAsia="Times New Roman"/>
          <w:bCs/>
          <w:szCs w:val="20"/>
        </w:rPr>
      </w:pPr>
      <w:proofErr w:type="spellStart"/>
      <w:r w:rsidRPr="00047A22">
        <w:rPr>
          <w:rFonts w:eastAsia="Times New Roman"/>
          <w:b/>
          <w:bCs/>
          <w:szCs w:val="20"/>
        </w:rPr>
        <w:t>Bioaccumulative</w:t>
      </w:r>
      <w:proofErr w:type="spellEnd"/>
      <w:r w:rsidRPr="00047A22">
        <w:rPr>
          <w:rFonts w:eastAsia="Times New Roman"/>
          <w:b/>
          <w:bCs/>
          <w:szCs w:val="20"/>
        </w:rPr>
        <w:t xml:space="preserve"> Potential:</w:t>
      </w:r>
      <w:r w:rsidR="00D3347C" w:rsidRPr="00047A22">
        <w:rPr>
          <w:rFonts w:eastAsia="Times New Roman"/>
          <w:bCs/>
          <w:szCs w:val="20"/>
        </w:rPr>
        <w:t xml:space="preserve"> </w:t>
      </w:r>
      <w:r w:rsidR="00A911CD" w:rsidRPr="00047A22">
        <w:rPr>
          <w:rFonts w:eastAsia="Times New Roman"/>
          <w:bCs/>
          <w:szCs w:val="20"/>
        </w:rPr>
        <w:t xml:space="preserve"> </w:t>
      </w:r>
      <w:r w:rsidR="00D3347C" w:rsidRPr="00047A22">
        <w:rPr>
          <w:rFonts w:eastAsia="Times New Roman"/>
          <w:bCs/>
          <w:szCs w:val="20"/>
        </w:rPr>
        <w:t>No data available.</w:t>
      </w:r>
    </w:p>
    <w:p w14:paraId="55859971" w14:textId="77777777" w:rsidR="004521E9" w:rsidRPr="00047A22" w:rsidRDefault="004521E9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Mobility in Soil:</w:t>
      </w:r>
      <w:r w:rsidR="00D3347C" w:rsidRPr="00047A22">
        <w:rPr>
          <w:rFonts w:eastAsia="Times New Roman"/>
          <w:bCs/>
          <w:szCs w:val="20"/>
        </w:rPr>
        <w:t xml:space="preserve">  No data available.</w:t>
      </w:r>
    </w:p>
    <w:p w14:paraId="015C6B15" w14:textId="77777777" w:rsidR="004521E9" w:rsidRPr="00047A22" w:rsidRDefault="004521E9">
      <w:pPr>
        <w:widowControl/>
        <w:spacing w:before="120" w:after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Other Adverse effects:</w:t>
      </w:r>
      <w:r w:rsidRPr="00047A22">
        <w:rPr>
          <w:rFonts w:eastAsia="Times New Roman"/>
          <w:bCs/>
          <w:szCs w:val="20"/>
        </w:rPr>
        <w:t xml:space="preserve">  </w:t>
      </w:r>
      <w:r w:rsidR="00D3347C" w:rsidRPr="00047A22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47A22" w14:paraId="6A3065A5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5184AEBD" w14:textId="77777777" w:rsidR="004521E9" w:rsidRPr="00047A22" w:rsidRDefault="004521E9" w:rsidP="005F4C83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13. D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ISPOSAL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ONSIDERATIONS</w:t>
            </w:r>
          </w:p>
        </w:tc>
      </w:tr>
    </w:tbl>
    <w:p w14:paraId="5DB86034" w14:textId="424CC610" w:rsidR="00D536DB" w:rsidRPr="00047A22" w:rsidRDefault="004521E9" w:rsidP="005F4C83">
      <w:pPr>
        <w:keepNext/>
        <w:widowControl/>
        <w:spacing w:before="120" w:after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Waste Disposal:  </w:t>
      </w:r>
      <w:r w:rsidR="009568A3" w:rsidRPr="00047A22">
        <w:rPr>
          <w:rFonts w:eastAsia="Times New Roman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47A22" w14:paraId="582D99E3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054F8F00" w14:textId="77777777" w:rsidR="004521E9" w:rsidRPr="00047A22" w:rsidRDefault="004521E9" w:rsidP="001967DA">
            <w:pPr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14. T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RANSPORTATION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4333E4F8" w14:textId="378BCAC4" w:rsidR="00A24875" w:rsidRDefault="004521E9" w:rsidP="001F38C9">
      <w:pPr>
        <w:widowControl/>
        <w:spacing w:before="120" w:after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U.S. DOT and IATA:</w:t>
      </w:r>
      <w:r w:rsidRPr="00047A22">
        <w:rPr>
          <w:rFonts w:eastAsia="Times New Roman"/>
          <w:bCs/>
          <w:szCs w:val="20"/>
        </w:rPr>
        <w:t xml:space="preserve">  </w:t>
      </w:r>
      <w:r w:rsidR="00005D5A" w:rsidRPr="00047A22">
        <w:rPr>
          <w:rFonts w:eastAsia="Times New Roman"/>
          <w:bCs/>
          <w:szCs w:val="20"/>
        </w:rPr>
        <w:t>Not regulated by DOT or IATA</w:t>
      </w:r>
      <w:r w:rsidR="00015F8E" w:rsidRPr="00047A22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047A22" w14:paraId="7D9A29EA" w14:textId="77777777" w:rsidTr="005F4C83">
        <w:trPr>
          <w:trHeight w:hRule="exact" w:val="397"/>
        </w:trPr>
        <w:tc>
          <w:tcPr>
            <w:tcW w:w="9576" w:type="dxa"/>
            <w:vAlign w:val="center"/>
          </w:tcPr>
          <w:p w14:paraId="7E64D707" w14:textId="77777777" w:rsidR="003D5857" w:rsidRPr="00047A22" w:rsidRDefault="003D5857" w:rsidP="001967DA">
            <w:pPr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15. R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EGULATORY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1E46F84F" w14:textId="77777777" w:rsidR="00D536DB" w:rsidRPr="00047A22" w:rsidRDefault="00D536DB" w:rsidP="001967DA">
      <w:pPr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U.S. Regulations:</w:t>
      </w:r>
    </w:p>
    <w:p w14:paraId="23B0C3BF" w14:textId="40934725" w:rsidR="00D536DB" w:rsidRDefault="00D536DB" w:rsidP="00CF7B42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bCs/>
          <w:szCs w:val="20"/>
        </w:rPr>
      </w:pPr>
      <w:r w:rsidRPr="00047A22">
        <w:rPr>
          <w:rFonts w:eastAsia="Times New Roman"/>
          <w:szCs w:val="20"/>
        </w:rPr>
        <w:t xml:space="preserve">CERCLA Sections 102a/103 (40 CFR 302.4):  </w:t>
      </w:r>
      <w:r w:rsidR="00982E09">
        <w:rPr>
          <w:rFonts w:eastAsia="Times New Roman"/>
          <w:szCs w:val="20"/>
        </w:rPr>
        <w:t>Not regulated.</w:t>
      </w:r>
    </w:p>
    <w:p w14:paraId="4F523015" w14:textId="77777777" w:rsidR="00005D5A" w:rsidRPr="00047A22" w:rsidRDefault="00D536DB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 xml:space="preserve">SARA Title III Section 302 (40 CFR 355.30):  </w:t>
      </w:r>
      <w:r w:rsidR="00005D5A" w:rsidRPr="00047A22">
        <w:rPr>
          <w:rFonts w:eastAsia="Times New Roman"/>
          <w:bCs/>
          <w:szCs w:val="20"/>
        </w:rPr>
        <w:t>Not regulated.</w:t>
      </w:r>
    </w:p>
    <w:p w14:paraId="1F0B6A3A" w14:textId="77777777" w:rsidR="00005D5A" w:rsidRPr="00047A22" w:rsidRDefault="00D536DB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 xml:space="preserve">SARA Title III Section 304 (40 CFR 355.40):  </w:t>
      </w:r>
      <w:r w:rsidR="00005D5A" w:rsidRPr="00047A22">
        <w:rPr>
          <w:rFonts w:eastAsia="Times New Roman"/>
          <w:bCs/>
          <w:szCs w:val="20"/>
        </w:rPr>
        <w:t>Not regulated.</w:t>
      </w:r>
    </w:p>
    <w:p w14:paraId="75A9C3BB" w14:textId="0184A3EF" w:rsidR="004F3925" w:rsidRDefault="00D536DB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bCs/>
          <w:szCs w:val="20"/>
        </w:rPr>
      </w:pPr>
      <w:r w:rsidRPr="00047A22">
        <w:rPr>
          <w:rFonts w:eastAsia="Times New Roman"/>
          <w:szCs w:val="20"/>
        </w:rPr>
        <w:t xml:space="preserve">SARA Title III Section 313 (40 CFR 372.65):  </w:t>
      </w:r>
      <w:r w:rsidR="00982E09">
        <w:rPr>
          <w:rFonts w:eastAsia="Times New Roman"/>
          <w:bCs/>
          <w:szCs w:val="20"/>
        </w:rPr>
        <w:t>Not regulated</w:t>
      </w:r>
      <w:r w:rsidR="004F3925">
        <w:rPr>
          <w:rFonts w:eastAsia="Times New Roman"/>
          <w:bCs/>
          <w:szCs w:val="20"/>
        </w:rPr>
        <w:t>.</w:t>
      </w:r>
    </w:p>
    <w:p w14:paraId="0261B5C0" w14:textId="77777777" w:rsidR="00005D5A" w:rsidRPr="00047A22" w:rsidRDefault="00D536DB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 xml:space="preserve">OSHA Process Safety (29 CFR 1910.119):  </w:t>
      </w:r>
      <w:r w:rsidR="00005D5A" w:rsidRPr="00047A22">
        <w:rPr>
          <w:rFonts w:eastAsia="Times New Roman"/>
          <w:bCs/>
          <w:szCs w:val="20"/>
        </w:rPr>
        <w:t>Not regulated.</w:t>
      </w:r>
    </w:p>
    <w:p w14:paraId="79863ABF" w14:textId="77777777" w:rsidR="00D536DB" w:rsidRPr="00047A22" w:rsidRDefault="00D536DB" w:rsidP="001967DA">
      <w:pPr>
        <w:widowControl/>
        <w:overflowPunct w:val="0"/>
        <w:autoSpaceDE w:val="0"/>
        <w:autoSpaceDN w:val="0"/>
        <w:adjustRightInd w:val="0"/>
        <w:spacing w:before="60" w:after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SARA Title III Sections 311/312 Hazardous Categories (40 CFR 370.21):</w:t>
      </w:r>
    </w:p>
    <w:p w14:paraId="2D88B3D7" w14:textId="63B0D4C1" w:rsidR="00D536DB" w:rsidRPr="00047A22" w:rsidRDefault="00D536DB" w:rsidP="001967DA">
      <w:pPr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ACUTE HEALTH:</w:t>
      </w:r>
      <w:r w:rsidRPr="00047A22">
        <w:rPr>
          <w:rFonts w:eastAsia="Times New Roman"/>
          <w:szCs w:val="20"/>
        </w:rPr>
        <w:tab/>
      </w:r>
      <w:r w:rsidR="00C30809">
        <w:rPr>
          <w:rFonts w:eastAsia="Times New Roman"/>
          <w:szCs w:val="20"/>
        </w:rPr>
        <w:t>Yes</w:t>
      </w:r>
    </w:p>
    <w:p w14:paraId="706812A6" w14:textId="4B126C61" w:rsidR="00D536DB" w:rsidRPr="00047A22" w:rsidRDefault="00D536DB" w:rsidP="001967DA">
      <w:pPr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CHRONIC HEALTH:</w:t>
      </w:r>
      <w:r w:rsidRPr="00047A22">
        <w:rPr>
          <w:rFonts w:eastAsia="Times New Roman"/>
          <w:szCs w:val="20"/>
        </w:rPr>
        <w:tab/>
      </w:r>
      <w:r w:rsidR="001F57E7" w:rsidRPr="00047A22">
        <w:rPr>
          <w:rFonts w:eastAsia="Times New Roman"/>
          <w:szCs w:val="20"/>
        </w:rPr>
        <w:t>No</w:t>
      </w:r>
    </w:p>
    <w:p w14:paraId="63A05873" w14:textId="7A9A0598" w:rsidR="00D536DB" w:rsidRPr="00047A22" w:rsidRDefault="00D536DB" w:rsidP="001967DA">
      <w:pPr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FIRE:</w:t>
      </w:r>
      <w:r w:rsidRPr="00047A22">
        <w:rPr>
          <w:rFonts w:eastAsia="Times New Roman"/>
          <w:szCs w:val="20"/>
        </w:rPr>
        <w:tab/>
      </w:r>
      <w:r w:rsidR="00982E09">
        <w:rPr>
          <w:rFonts w:eastAsia="Times New Roman"/>
          <w:szCs w:val="20"/>
        </w:rPr>
        <w:t>No</w:t>
      </w:r>
    </w:p>
    <w:p w14:paraId="196E0E38" w14:textId="7AB1A3E7" w:rsidR="00D536DB" w:rsidRPr="00047A22" w:rsidRDefault="00D536DB" w:rsidP="001967DA">
      <w:pPr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REACTIVE:</w:t>
      </w:r>
      <w:r w:rsidRPr="00047A22">
        <w:rPr>
          <w:rFonts w:eastAsia="Times New Roman"/>
          <w:szCs w:val="20"/>
        </w:rPr>
        <w:tab/>
        <w:t>No</w:t>
      </w:r>
    </w:p>
    <w:p w14:paraId="2E243709" w14:textId="0BE9E143" w:rsidR="00D536DB" w:rsidRPr="00047A22" w:rsidRDefault="00D536DB" w:rsidP="001967DA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PRESSURE:</w:t>
      </w:r>
      <w:r w:rsidRPr="00047A22">
        <w:rPr>
          <w:rFonts w:eastAsia="Times New Roman"/>
          <w:szCs w:val="20"/>
        </w:rPr>
        <w:tab/>
      </w:r>
      <w:r w:rsidR="00BB14A2" w:rsidRPr="00047A22">
        <w:rPr>
          <w:rFonts w:eastAsia="Times New Roman"/>
          <w:szCs w:val="20"/>
        </w:rPr>
        <w:t>No</w:t>
      </w:r>
    </w:p>
    <w:p w14:paraId="6E48791C" w14:textId="77777777" w:rsidR="000E3AA3" w:rsidRPr="00047A22" w:rsidRDefault="000E3AA3" w:rsidP="00CF7B42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State Regulations:</w:t>
      </w:r>
    </w:p>
    <w:p w14:paraId="6D5B24AD" w14:textId="61076182" w:rsidR="000E3AA3" w:rsidRPr="00047A22" w:rsidRDefault="000E3AA3" w:rsidP="001967DA">
      <w:pPr>
        <w:widowControl/>
        <w:spacing w:before="60"/>
        <w:ind w:left="720"/>
        <w:rPr>
          <w:rFonts w:eastAsia="Times New Roman"/>
          <w:szCs w:val="20"/>
        </w:rPr>
      </w:pPr>
      <w:r>
        <w:rPr>
          <w:rFonts w:eastAsia="Times New Roman"/>
          <w:bCs/>
          <w:szCs w:val="20"/>
        </w:rPr>
        <w:t xml:space="preserve">California Proposition 65:  </w:t>
      </w:r>
      <w:r w:rsidR="001F57E7">
        <w:rPr>
          <w:rFonts w:eastAsia="Times New Roman"/>
          <w:bCs/>
          <w:szCs w:val="20"/>
        </w:rPr>
        <w:t xml:space="preserve">Not </w:t>
      </w:r>
      <w:r w:rsidR="001F57E7" w:rsidRPr="00047A22">
        <w:rPr>
          <w:rFonts w:eastAsia="Times New Roman"/>
          <w:bCs/>
          <w:szCs w:val="20"/>
        </w:rPr>
        <w:t>listed.</w:t>
      </w:r>
    </w:p>
    <w:p w14:paraId="0AE2C328" w14:textId="14AB8F00" w:rsidR="0084122E" w:rsidRPr="00047A22" w:rsidRDefault="000E3AA3" w:rsidP="00CF7B42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U.S. TSCA Inventory:</w:t>
      </w:r>
      <w:r w:rsidRPr="00047A22">
        <w:rPr>
          <w:rFonts w:eastAsia="Times New Roman"/>
          <w:bCs/>
          <w:szCs w:val="20"/>
        </w:rPr>
        <w:t xml:space="preserve">  </w:t>
      </w:r>
      <w:r w:rsidR="004A17FF">
        <w:rPr>
          <w:rFonts w:eastAsia="Times New Roman"/>
          <w:bCs/>
          <w:szCs w:val="20"/>
        </w:rPr>
        <w:t>L</w:t>
      </w:r>
      <w:r w:rsidR="005627D9">
        <w:rPr>
          <w:rFonts w:eastAsia="Times New Roman"/>
          <w:bCs/>
          <w:szCs w:val="20"/>
        </w:rPr>
        <w:t>isted</w:t>
      </w:r>
      <w:r w:rsidRPr="00047A22">
        <w:rPr>
          <w:rFonts w:eastAsia="Times New Roman"/>
          <w:bCs/>
          <w:szCs w:val="20"/>
        </w:rPr>
        <w:t>.</w:t>
      </w:r>
    </w:p>
    <w:p w14:paraId="38657E11" w14:textId="63B7B4FF" w:rsidR="0084122E" w:rsidRPr="00047A22" w:rsidRDefault="0084122E">
      <w:pPr>
        <w:widowControl/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TSCA 12(b), Export Notification:</w:t>
      </w:r>
      <w:r w:rsidRPr="00047A22">
        <w:rPr>
          <w:rFonts w:eastAsia="Times New Roman"/>
          <w:bCs/>
          <w:szCs w:val="20"/>
        </w:rPr>
        <w:t xml:space="preserve">  </w:t>
      </w:r>
      <w:r w:rsidR="006101F2">
        <w:rPr>
          <w:rFonts w:eastAsia="Times New Roman"/>
          <w:bCs/>
          <w:szCs w:val="20"/>
        </w:rPr>
        <w:t>N</w:t>
      </w:r>
      <w:r w:rsidR="000E3AA3">
        <w:rPr>
          <w:rFonts w:eastAsia="Times New Roman"/>
          <w:bCs/>
          <w:szCs w:val="20"/>
        </w:rPr>
        <w:t xml:space="preserve">ot </w:t>
      </w:r>
      <w:r w:rsidR="000E3AA3" w:rsidRPr="00047A22">
        <w:rPr>
          <w:rFonts w:eastAsia="Times New Roman"/>
          <w:bCs/>
          <w:szCs w:val="20"/>
        </w:rPr>
        <w:t>listed.</w:t>
      </w:r>
    </w:p>
    <w:p w14:paraId="31405EF5" w14:textId="43BD1C45" w:rsidR="001F57E7" w:rsidRDefault="003D5857">
      <w:pPr>
        <w:widowControl/>
        <w:spacing w:before="120" w:after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C</w:t>
      </w:r>
      <w:r w:rsidR="00AA6AC2" w:rsidRPr="00047A22">
        <w:rPr>
          <w:rFonts w:eastAsia="Times New Roman"/>
          <w:b/>
          <w:bCs/>
          <w:szCs w:val="20"/>
        </w:rPr>
        <w:t xml:space="preserve">anadian </w:t>
      </w:r>
      <w:r w:rsidRPr="00047A22">
        <w:rPr>
          <w:rFonts w:eastAsia="Times New Roman"/>
          <w:b/>
          <w:bCs/>
          <w:szCs w:val="20"/>
        </w:rPr>
        <w:t>R</w:t>
      </w:r>
      <w:r w:rsidR="00AA6AC2" w:rsidRPr="00047A22">
        <w:rPr>
          <w:rFonts w:eastAsia="Times New Roman"/>
          <w:b/>
          <w:bCs/>
          <w:szCs w:val="20"/>
        </w:rPr>
        <w:t>egulations</w:t>
      </w:r>
      <w:r w:rsidR="00622BAB" w:rsidRPr="00047A22">
        <w:rPr>
          <w:rFonts w:eastAsia="Times New Roman"/>
          <w:b/>
          <w:bCs/>
          <w:szCs w:val="20"/>
        </w:rPr>
        <w:t>:</w:t>
      </w:r>
      <w:r w:rsidR="00B51317" w:rsidRPr="00047A22">
        <w:rPr>
          <w:rFonts w:eastAsia="Times New Roman"/>
          <w:szCs w:val="20"/>
        </w:rPr>
        <w:t xml:space="preserve">  </w:t>
      </w:r>
      <w:r w:rsidRPr="00047A22">
        <w:rPr>
          <w:rFonts w:eastAsia="Times New Roman"/>
          <w:szCs w:val="20"/>
        </w:rPr>
        <w:t>WHMIS Information</w:t>
      </w:r>
      <w:r w:rsidR="00B51317" w:rsidRPr="00047A22">
        <w:rPr>
          <w:rFonts w:eastAsia="Times New Roman"/>
          <w:szCs w:val="20"/>
        </w:rPr>
        <w:t xml:space="preserve"> is n</w:t>
      </w:r>
      <w:r w:rsidRPr="00047A22">
        <w:rPr>
          <w:rFonts w:eastAsia="Times New Roman"/>
          <w:szCs w:val="20"/>
        </w:rPr>
        <w:t>ot provided for this material.</w:t>
      </w:r>
    </w:p>
    <w:p w14:paraId="628EBDBD" w14:textId="680FF005" w:rsidR="0014746A" w:rsidRDefault="0014746A">
      <w:pPr>
        <w:widowControl/>
        <w:jc w:val="left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047A22" w14:paraId="031EA2B2" w14:textId="77777777" w:rsidTr="002B1C91">
        <w:trPr>
          <w:trHeight w:hRule="exact" w:val="360"/>
        </w:trPr>
        <w:tc>
          <w:tcPr>
            <w:tcW w:w="9360" w:type="dxa"/>
            <w:vAlign w:val="center"/>
          </w:tcPr>
          <w:p w14:paraId="0A192EA2" w14:textId="7C42FF12" w:rsidR="0067534E" w:rsidRPr="00047A22" w:rsidRDefault="0067534E" w:rsidP="001967DA">
            <w:pPr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16. O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THER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49542FB9" w14:textId="63DF918E" w:rsidR="00622AE4" w:rsidRPr="00047A22" w:rsidRDefault="00622AE4" w:rsidP="001967DA">
      <w:pPr>
        <w:widowControl/>
        <w:tabs>
          <w:tab w:val="left" w:pos="1260"/>
        </w:tabs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Issue Date:</w:t>
      </w:r>
      <w:r w:rsidR="00B51317" w:rsidRPr="00047A22">
        <w:rPr>
          <w:rFonts w:eastAsia="Times New Roman"/>
          <w:bCs/>
          <w:szCs w:val="20"/>
        </w:rPr>
        <w:tab/>
      </w:r>
      <w:r w:rsidR="006B034B">
        <w:rPr>
          <w:rFonts w:eastAsia="Times New Roman"/>
          <w:bCs/>
          <w:szCs w:val="20"/>
        </w:rPr>
        <w:t>22 </w:t>
      </w:r>
      <w:r w:rsidR="00B8694A">
        <w:rPr>
          <w:rFonts w:eastAsia="Times New Roman"/>
          <w:bCs/>
          <w:szCs w:val="20"/>
        </w:rPr>
        <w:t>June</w:t>
      </w:r>
      <w:r w:rsidR="001F57E7">
        <w:rPr>
          <w:rFonts w:eastAsia="Times New Roman"/>
          <w:bCs/>
          <w:szCs w:val="20"/>
        </w:rPr>
        <w:t> 2015</w:t>
      </w:r>
    </w:p>
    <w:p w14:paraId="7011D508" w14:textId="28CD7E8B" w:rsidR="00F02D7E" w:rsidRDefault="00622AE4" w:rsidP="001967DA">
      <w:pPr>
        <w:widowControl/>
        <w:tabs>
          <w:tab w:val="left" w:pos="1260"/>
        </w:tabs>
        <w:spacing w:before="120" w:after="120"/>
        <w:ind w:left="1260" w:hanging="1260"/>
        <w:rPr>
          <w:rFonts w:eastAsia="Times New Roman"/>
          <w:bCs/>
          <w:szCs w:val="20"/>
        </w:rPr>
      </w:pPr>
      <w:r w:rsidRPr="007B6322">
        <w:rPr>
          <w:rFonts w:eastAsia="Times New Roman"/>
          <w:b/>
          <w:bCs/>
          <w:szCs w:val="20"/>
        </w:rPr>
        <w:t>Sources:</w:t>
      </w:r>
      <w:r w:rsidR="00537670" w:rsidRPr="007B6322">
        <w:rPr>
          <w:rFonts w:eastAsia="Times New Roman"/>
          <w:bCs/>
          <w:szCs w:val="20"/>
        </w:rPr>
        <w:tab/>
      </w:r>
      <w:r w:rsidR="009110B2" w:rsidRPr="009110B2">
        <w:rPr>
          <w:rFonts w:eastAsia="Times New Roman"/>
          <w:bCs/>
          <w:szCs w:val="20"/>
        </w:rPr>
        <w:t>European Chemical Agency</w:t>
      </w:r>
      <w:r w:rsidR="009110B2">
        <w:rPr>
          <w:rFonts w:eastAsia="Times New Roman"/>
          <w:bCs/>
          <w:szCs w:val="20"/>
        </w:rPr>
        <w:t xml:space="preserve"> (ECHA)</w:t>
      </w:r>
      <w:r w:rsidR="009110B2" w:rsidRPr="009110B2">
        <w:rPr>
          <w:rFonts w:eastAsia="Times New Roman"/>
          <w:bCs/>
          <w:szCs w:val="20"/>
        </w:rPr>
        <w:t xml:space="preserve">, Registered substances, </w:t>
      </w:r>
      <w:r w:rsidR="009110B2" w:rsidRPr="00427CA7">
        <w:rPr>
          <w:rFonts w:eastAsia="Times New Roman"/>
          <w:bCs/>
          <w:i/>
          <w:szCs w:val="20"/>
        </w:rPr>
        <w:t>4-hydroxy-3-methoxymandelic acid</w:t>
      </w:r>
      <w:r w:rsidR="009110B2">
        <w:rPr>
          <w:rFonts w:eastAsia="Times New Roman"/>
          <w:bCs/>
          <w:i/>
          <w:szCs w:val="20"/>
        </w:rPr>
        <w:t>, CAS No.55-10-7</w:t>
      </w:r>
      <w:r w:rsidR="009110B2" w:rsidRPr="009110B2">
        <w:rPr>
          <w:rFonts w:eastAsia="Times New Roman"/>
          <w:bCs/>
          <w:i/>
          <w:szCs w:val="20"/>
        </w:rPr>
        <w:t xml:space="preserve">, </w:t>
      </w:r>
      <w:r w:rsidR="009110B2" w:rsidRPr="009110B2">
        <w:rPr>
          <w:rFonts w:eastAsia="Times New Roman"/>
          <w:bCs/>
          <w:szCs w:val="20"/>
        </w:rPr>
        <w:t xml:space="preserve">available at </w:t>
      </w:r>
      <w:hyperlink r:id="rId12" w:history="1">
        <w:r w:rsidR="009110B2" w:rsidRPr="001F38C9">
          <w:rPr>
            <w:rStyle w:val="Hyperlink"/>
            <w:rFonts w:eastAsia="Times New Roman"/>
            <w:bCs/>
            <w:color w:val="auto"/>
            <w:szCs w:val="20"/>
            <w:u w:val="none"/>
          </w:rPr>
          <w:t>http://echa.europa.eu/information-on-chemicals</w:t>
        </w:r>
      </w:hyperlink>
      <w:r w:rsidR="009110B2" w:rsidRPr="009110B2">
        <w:rPr>
          <w:rFonts w:eastAsia="Times New Roman"/>
          <w:bCs/>
          <w:szCs w:val="20"/>
        </w:rPr>
        <w:t xml:space="preserve"> (accessed </w:t>
      </w:r>
      <w:r w:rsidR="009110B2">
        <w:rPr>
          <w:rFonts w:eastAsia="Times New Roman"/>
          <w:bCs/>
          <w:szCs w:val="20"/>
        </w:rPr>
        <w:t>Jun 2015</w:t>
      </w:r>
      <w:r w:rsidR="009110B2" w:rsidRPr="009110B2">
        <w:rPr>
          <w:rFonts w:eastAsia="Times New Roman"/>
          <w:bCs/>
          <w:szCs w:val="20"/>
        </w:rPr>
        <w:t>)</w:t>
      </w:r>
      <w:r w:rsidR="00CA7D2F" w:rsidRPr="007B6322">
        <w:rPr>
          <w:rFonts w:eastAsia="Times New Roman"/>
          <w:bCs/>
          <w:szCs w:val="20"/>
        </w:rPr>
        <w:t>.</w:t>
      </w:r>
    </w:p>
    <w:p w14:paraId="5129036A" w14:textId="1F7FE710" w:rsidR="00191AAF" w:rsidRDefault="00427CA7" w:rsidP="001967DA">
      <w:pPr>
        <w:widowControl/>
        <w:tabs>
          <w:tab w:val="left" w:pos="1260"/>
        </w:tabs>
        <w:spacing w:before="120" w:after="120"/>
        <w:ind w:left="1260" w:hanging="12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ab/>
      </w:r>
      <w:r w:rsidR="00191AAF">
        <w:rPr>
          <w:rFonts w:eastAsia="Times New Roman"/>
          <w:bCs/>
          <w:szCs w:val="20"/>
        </w:rPr>
        <w:t xml:space="preserve">Human Metabolome Database (HMDB), </w:t>
      </w:r>
      <w:proofErr w:type="spellStart"/>
      <w:r w:rsidR="00191AAF" w:rsidRPr="00191AAF">
        <w:rPr>
          <w:rFonts w:eastAsia="Times New Roman"/>
          <w:bCs/>
          <w:i/>
          <w:szCs w:val="20"/>
        </w:rPr>
        <w:t>Vanillylmandelic</w:t>
      </w:r>
      <w:proofErr w:type="spellEnd"/>
      <w:r w:rsidR="00191AAF" w:rsidRPr="00191AAF">
        <w:rPr>
          <w:rFonts w:eastAsia="Times New Roman"/>
          <w:bCs/>
          <w:i/>
          <w:szCs w:val="20"/>
        </w:rPr>
        <w:t xml:space="preserve"> acid</w:t>
      </w:r>
      <w:r w:rsidR="00191AAF">
        <w:rPr>
          <w:rFonts w:eastAsia="Times New Roman"/>
          <w:bCs/>
          <w:szCs w:val="20"/>
        </w:rPr>
        <w:t xml:space="preserve">, </w:t>
      </w:r>
      <w:r w:rsidR="00191AAF" w:rsidRPr="005F4C83">
        <w:rPr>
          <w:rFonts w:eastAsia="Times New Roman"/>
          <w:bCs/>
          <w:i/>
          <w:szCs w:val="20"/>
        </w:rPr>
        <w:t>CAS No. 55-10-7</w:t>
      </w:r>
      <w:r w:rsidR="00191AAF">
        <w:rPr>
          <w:rFonts w:eastAsia="Times New Roman"/>
          <w:bCs/>
          <w:szCs w:val="20"/>
        </w:rPr>
        <w:t xml:space="preserve">, available at </w:t>
      </w:r>
      <w:hyperlink r:id="rId13" w:history="1">
        <w:r w:rsidR="00191AAF" w:rsidRPr="00191AAF">
          <w:rPr>
            <w:rStyle w:val="Hyperlink"/>
            <w:rFonts w:eastAsia="Times New Roman"/>
            <w:bCs/>
            <w:color w:val="auto"/>
            <w:szCs w:val="20"/>
            <w:u w:val="none"/>
          </w:rPr>
          <w:t>http://www.hmdb.ca/metabolites/HMDB00291</w:t>
        </w:r>
      </w:hyperlink>
      <w:r w:rsidR="00191AAF">
        <w:rPr>
          <w:rFonts w:eastAsia="Times New Roman"/>
          <w:bCs/>
          <w:szCs w:val="20"/>
        </w:rPr>
        <w:t xml:space="preserve"> (accessed Jun 2015).</w:t>
      </w:r>
    </w:p>
    <w:p w14:paraId="34D4494E" w14:textId="5E3D506F" w:rsidR="00B471E1" w:rsidRPr="00427CA7" w:rsidRDefault="00191AAF" w:rsidP="001967DA">
      <w:pPr>
        <w:widowControl/>
        <w:tabs>
          <w:tab w:val="left" w:pos="1260"/>
        </w:tabs>
        <w:spacing w:before="120" w:after="120"/>
        <w:ind w:left="1260" w:hanging="12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ab/>
      </w:r>
      <w:r w:rsidR="00427CA7">
        <w:rPr>
          <w:rFonts w:eastAsia="Times New Roman"/>
          <w:bCs/>
          <w:szCs w:val="20"/>
        </w:rPr>
        <w:t xml:space="preserve">Vendor SDS, </w:t>
      </w:r>
      <w:r w:rsidR="00427CA7" w:rsidRPr="00427CA7">
        <w:rPr>
          <w:rFonts w:eastAsia="Times New Roman"/>
          <w:bCs/>
          <w:i/>
          <w:szCs w:val="20"/>
        </w:rPr>
        <w:t>4-hydroxy-3-methoxymandelic acid</w:t>
      </w:r>
      <w:r w:rsidR="00427CA7">
        <w:rPr>
          <w:rFonts w:eastAsia="Times New Roman"/>
          <w:bCs/>
          <w:szCs w:val="20"/>
        </w:rPr>
        <w:t>, 03 July 2014.</w:t>
      </w:r>
    </w:p>
    <w:p w14:paraId="4F0CF94C" w14:textId="77777777" w:rsidR="00B471E1" w:rsidRDefault="00B471E1" w:rsidP="001967DA">
      <w:pPr>
        <w:widowControl/>
        <w:tabs>
          <w:tab w:val="left" w:pos="1260"/>
        </w:tabs>
        <w:spacing w:before="120" w:after="120"/>
        <w:ind w:left="1260" w:hanging="1260"/>
        <w:rPr>
          <w:rFonts w:eastAsia="Times New Roman"/>
          <w:bCs/>
          <w:szCs w:val="20"/>
        </w:rPr>
      </w:pPr>
    </w:p>
    <w:p w14:paraId="687E1296" w14:textId="65DB88B3" w:rsidR="00296E4D" w:rsidRPr="00047A22" w:rsidRDefault="002732BD" w:rsidP="00CF7B42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  <w:r w:rsidRPr="00047A22">
        <w:rPr>
          <w:b/>
          <w:szCs w:val="20"/>
        </w:rPr>
        <w:t>Key of Acronyms:</w:t>
      </w:r>
    </w:p>
    <w:tbl>
      <w:tblPr>
        <w:tblStyle w:val="TableGrid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013A6F" w:rsidRPr="00047A22" w14:paraId="13458FAF" w14:textId="77777777" w:rsidTr="0089356A">
        <w:trPr>
          <w:trHeight w:val="197"/>
        </w:trPr>
        <w:tc>
          <w:tcPr>
            <w:tcW w:w="1024" w:type="dxa"/>
          </w:tcPr>
          <w:p w14:paraId="479BE693" w14:textId="77777777" w:rsidR="00013A6F" w:rsidRPr="00047A22" w:rsidRDefault="00013A6F" w:rsidP="001967DA">
            <w:pPr>
              <w:widowControl/>
              <w:ind w:right="-86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42E96653" w14:textId="77777777" w:rsidR="00013A6F" w:rsidRPr="00047A22" w:rsidRDefault="00013A6F" w:rsidP="001967DA">
            <w:pPr>
              <w:widowControl/>
              <w:ind w:right="-86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0F075E97" w14:textId="77777777" w:rsidR="00013A6F" w:rsidRPr="00047A22" w:rsidRDefault="00013A6F" w:rsidP="001967DA">
            <w:pPr>
              <w:widowControl/>
              <w:ind w:right="-86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28C47191" w14:textId="77777777" w:rsidR="00013A6F" w:rsidRPr="00047A22" w:rsidRDefault="00013A6F" w:rsidP="001967DA">
            <w:pPr>
              <w:widowControl/>
              <w:ind w:right="-86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Nuclear Regulatory Commission</w:t>
            </w:r>
          </w:p>
        </w:tc>
      </w:tr>
      <w:tr w:rsidR="00013A6F" w:rsidRPr="00047A22" w14:paraId="425E823D" w14:textId="77777777" w:rsidTr="0089356A">
        <w:trPr>
          <w:trHeight w:val="144"/>
        </w:trPr>
        <w:tc>
          <w:tcPr>
            <w:tcW w:w="1024" w:type="dxa"/>
          </w:tcPr>
          <w:p w14:paraId="6EA5F567" w14:textId="77777777" w:rsidR="00013A6F" w:rsidRPr="00047A22" w:rsidRDefault="00013A6F" w:rsidP="001967DA">
            <w:pPr>
              <w:widowControl/>
              <w:ind w:right="-86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6FC45F89" w14:textId="77777777" w:rsidR="00013A6F" w:rsidRPr="00047A22" w:rsidRDefault="00013A6F" w:rsidP="001967DA">
            <w:pPr>
              <w:widowControl/>
              <w:ind w:right="-86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5B91F2FE" w14:textId="77777777" w:rsidR="00013A6F" w:rsidRPr="00047A22" w:rsidRDefault="00013A6F" w:rsidP="001967DA">
            <w:pPr>
              <w:widowControl/>
              <w:ind w:right="-86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NTP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923ED97" w14:textId="77777777" w:rsidR="00013A6F" w:rsidRPr="00047A22" w:rsidRDefault="00013A6F" w:rsidP="001967DA">
            <w:pPr>
              <w:widowControl/>
              <w:ind w:right="-86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National Toxicology Program</w:t>
            </w:r>
          </w:p>
        </w:tc>
      </w:tr>
      <w:tr w:rsidR="00013A6F" w:rsidRPr="00047A22" w14:paraId="734A8397" w14:textId="77777777" w:rsidTr="0089356A">
        <w:trPr>
          <w:trHeight w:val="144"/>
        </w:trPr>
        <w:tc>
          <w:tcPr>
            <w:tcW w:w="1024" w:type="dxa"/>
          </w:tcPr>
          <w:p w14:paraId="3EB72378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CAS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2D88D1C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Chemical Abstracts Service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8AA2ED6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OSHA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3D37C0B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Occupational Safety and Health Administration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1D93D26A" w14:textId="77777777" w:rsidTr="0089356A">
        <w:trPr>
          <w:trHeight w:val="144"/>
        </w:trPr>
        <w:tc>
          <w:tcPr>
            <w:tcW w:w="1024" w:type="dxa"/>
          </w:tcPr>
          <w:p w14:paraId="0CA730A5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CERCLA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501D5EE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Comprehensive Environmental Response, Compensation, and Liability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278B07A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PEL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B1707D1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Permissible Exposure Limit</w:t>
            </w:r>
          </w:p>
        </w:tc>
      </w:tr>
      <w:tr w:rsidR="00013A6F" w:rsidRPr="00047A22" w14:paraId="11F288F0" w14:textId="77777777" w:rsidTr="0089356A">
        <w:trPr>
          <w:trHeight w:val="144"/>
        </w:trPr>
        <w:tc>
          <w:tcPr>
            <w:tcW w:w="1024" w:type="dxa"/>
          </w:tcPr>
          <w:p w14:paraId="4AFBFF27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CFR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078626B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Code of Federal Regulations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564883F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RCRA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CCBCFDF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Resource Conservation and Recovery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5618987E" w14:textId="77777777" w:rsidTr="0089356A">
        <w:trPr>
          <w:trHeight w:val="144"/>
        </w:trPr>
        <w:tc>
          <w:tcPr>
            <w:tcW w:w="1024" w:type="dxa"/>
          </w:tcPr>
          <w:p w14:paraId="207C1A62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DOT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40CE81C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Department of Transportation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E315118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500ADCF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Recommended Exposure Limit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4A05A6A7" w14:textId="77777777" w:rsidTr="0089356A">
        <w:trPr>
          <w:trHeight w:val="144"/>
        </w:trPr>
        <w:tc>
          <w:tcPr>
            <w:tcW w:w="1024" w:type="dxa"/>
          </w:tcPr>
          <w:p w14:paraId="089EFFC1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56C64AC1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102EBE6F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6C4C6683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Reference Material</w:t>
            </w:r>
          </w:p>
        </w:tc>
      </w:tr>
      <w:tr w:rsidR="00013A6F" w:rsidRPr="00047A22" w14:paraId="1E97BCE0" w14:textId="77777777" w:rsidTr="0089356A">
        <w:trPr>
          <w:trHeight w:val="144"/>
        </w:trPr>
        <w:tc>
          <w:tcPr>
            <w:tcW w:w="1024" w:type="dxa"/>
          </w:tcPr>
          <w:p w14:paraId="55D72045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38FDDB79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European Inventory of Existing Commercial Chemical Substances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DD973B7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RQ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A392D9E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Reportable Quantity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228DFDA4" w14:textId="77777777" w:rsidTr="0089356A">
        <w:trPr>
          <w:trHeight w:val="144"/>
        </w:trPr>
        <w:tc>
          <w:tcPr>
            <w:tcW w:w="1024" w:type="dxa"/>
          </w:tcPr>
          <w:p w14:paraId="3E3592E0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EPCRA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8506961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Emergency Planning and Community Right-to-Know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FE76516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5B1DD555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013A6F" w:rsidRPr="00047A22" w14:paraId="0B540FF6" w14:textId="77777777" w:rsidTr="0089356A">
        <w:trPr>
          <w:trHeight w:val="144"/>
        </w:trPr>
        <w:tc>
          <w:tcPr>
            <w:tcW w:w="1024" w:type="dxa"/>
          </w:tcPr>
          <w:p w14:paraId="3C48354D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IARC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93191B5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International Agency for Research on Cancer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DAF9237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SARA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890A12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Superfund Amendments and Reauthorization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011FC489" w14:textId="77777777" w:rsidTr="0089356A">
        <w:trPr>
          <w:trHeight w:val="144"/>
        </w:trPr>
        <w:tc>
          <w:tcPr>
            <w:tcW w:w="1024" w:type="dxa"/>
          </w:tcPr>
          <w:p w14:paraId="32F5056B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IATA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CDDA46C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International Air Transportation Agency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DF9B92C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SCBA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041A33A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Self</w:t>
            </w:r>
            <w:r w:rsidRPr="00047A22">
              <w:rPr>
                <w:sz w:val="16"/>
                <w:szCs w:val="16"/>
              </w:rPr>
              <w:noBreakHyphen/>
              <w:t>Contained Breathing Apparatus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7D9804B5" w14:textId="77777777" w:rsidTr="0089356A">
        <w:trPr>
          <w:trHeight w:val="144"/>
        </w:trPr>
        <w:tc>
          <w:tcPr>
            <w:tcW w:w="1024" w:type="dxa"/>
          </w:tcPr>
          <w:p w14:paraId="3AC374CA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IDLH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7644BFD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Immediately Dangerous to Life and Health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DC40FB6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SRM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59B9B0C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Standard Reference Material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64C1D30E" w14:textId="77777777" w:rsidTr="0089356A">
        <w:trPr>
          <w:trHeight w:val="144"/>
        </w:trPr>
        <w:tc>
          <w:tcPr>
            <w:tcW w:w="1024" w:type="dxa"/>
          </w:tcPr>
          <w:p w14:paraId="4BF97C6E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3D27585C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Lethal Concentration, 50 %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9759771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STEL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F3F919C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Short Term Exposure Limit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73E023D2" w14:textId="77777777" w:rsidTr="0089356A">
        <w:trPr>
          <w:trHeight w:val="144"/>
        </w:trPr>
        <w:tc>
          <w:tcPr>
            <w:tcW w:w="1024" w:type="dxa"/>
          </w:tcPr>
          <w:p w14:paraId="7ACAA190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4AA51D94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3B6C91CE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TLV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F2259E9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Threshold Limit Value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7A3917C7" w14:textId="77777777" w:rsidTr="0089356A">
        <w:trPr>
          <w:trHeight w:val="144"/>
        </w:trPr>
        <w:tc>
          <w:tcPr>
            <w:tcW w:w="1024" w:type="dxa"/>
          </w:tcPr>
          <w:p w14:paraId="78CB29DE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5123026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Lower Explosive Limit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5CDD714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TPQ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4C0F9BA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Threshold Planning Quantity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3C62845C" w14:textId="77777777" w:rsidTr="0089356A">
        <w:trPr>
          <w:trHeight w:val="144"/>
        </w:trPr>
        <w:tc>
          <w:tcPr>
            <w:tcW w:w="1024" w:type="dxa"/>
          </w:tcPr>
          <w:p w14:paraId="7B522ADF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MSDS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A439756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Material Safety Data Sheet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E118E7E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TSCA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2943FDA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Toxic Substances Control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759A8356" w14:textId="77777777" w:rsidTr="0089356A">
        <w:trPr>
          <w:trHeight w:val="144"/>
        </w:trPr>
        <w:tc>
          <w:tcPr>
            <w:tcW w:w="1024" w:type="dxa"/>
          </w:tcPr>
          <w:p w14:paraId="2A7C8222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NFPA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5991B7C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National Fire Protection Association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DC02250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TWA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EF12EBB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Time Weighted Average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43CB7A24" w14:textId="77777777" w:rsidTr="0089356A">
        <w:trPr>
          <w:trHeight w:val="144"/>
        </w:trPr>
        <w:tc>
          <w:tcPr>
            <w:tcW w:w="1024" w:type="dxa"/>
          </w:tcPr>
          <w:p w14:paraId="43AD7E6A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NIOSH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1D7923B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National Institute for Occupational Safety and Health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611C695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UEL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2FC4ABA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Upper Explosive Limit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4E4450A4" w14:textId="77777777" w:rsidTr="0089356A">
        <w:trPr>
          <w:trHeight w:val="144"/>
        </w:trPr>
        <w:tc>
          <w:tcPr>
            <w:tcW w:w="1024" w:type="dxa"/>
          </w:tcPr>
          <w:p w14:paraId="7019963C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20A56FDD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05C132B4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5FC2C675" w14:textId="77777777" w:rsidR="00013A6F" w:rsidRPr="00047A22" w:rsidRDefault="00013A6F" w:rsidP="001967DA">
            <w:pPr>
              <w:widowControl/>
              <w:ind w:right="-90"/>
              <w:jc w:val="left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74C58609" w14:textId="52D295BE" w:rsidR="00CE49F5" w:rsidRDefault="00CE49F5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1977BF03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21E78A18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4AA97071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614B81F4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28C564DA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37BAD8A9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1616A097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7D1B887C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244FEFC4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29ADE947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0FDB0FAE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61F5333E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16BBB1BC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0575EA9B" w14:textId="77777777" w:rsidR="0014746A" w:rsidRDefault="0014746A" w:rsidP="00CF7B42">
      <w:pPr>
        <w:widowControl/>
        <w:spacing w:before="120"/>
        <w:rPr>
          <w:rFonts w:eastAsia="Times New Roman"/>
          <w:b/>
          <w:bCs/>
          <w:szCs w:val="20"/>
        </w:rPr>
      </w:pPr>
    </w:p>
    <w:p w14:paraId="13F0AC05" w14:textId="77777777" w:rsidR="00537670" w:rsidRPr="00047A22" w:rsidRDefault="00BF5DD9">
      <w:pPr>
        <w:widowControl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Disclaimer:</w:t>
      </w:r>
      <w:r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szCs w:val="20"/>
        </w:rPr>
        <w:t>Physical and chemical data contained in this SDS are provided only for use in assessing the hazardous nature of the material.  The SDS was prepared carefully, using current references; however, NIST does not certify the data in the SDS.</w:t>
      </w:r>
      <w:r w:rsidR="00537670" w:rsidRPr="00047A22">
        <w:rPr>
          <w:rFonts w:eastAsia="Times New Roman"/>
          <w:szCs w:val="20"/>
        </w:rPr>
        <w:t xml:space="preserve"> </w:t>
      </w:r>
      <w:r w:rsidR="00CC0B44" w:rsidRPr="00047A22">
        <w:rPr>
          <w:rFonts w:eastAsia="Times New Roman"/>
          <w:szCs w:val="20"/>
        </w:rPr>
        <w:t xml:space="preserve"> </w:t>
      </w:r>
      <w:r w:rsidRPr="00047A22">
        <w:rPr>
          <w:rFonts w:eastAsia="Times New Roman"/>
          <w:szCs w:val="20"/>
        </w:rPr>
        <w:t xml:space="preserve">The certified values for this material are given in the NIST </w:t>
      </w:r>
      <w:r w:rsidR="00235963" w:rsidRPr="00047A22">
        <w:rPr>
          <w:rFonts w:eastAsia="Times New Roman"/>
          <w:szCs w:val="20"/>
        </w:rPr>
        <w:t>Certificate of Analysis</w:t>
      </w:r>
      <w:r w:rsidRPr="00047A22">
        <w:rPr>
          <w:rFonts w:eastAsia="Times New Roman"/>
          <w:szCs w:val="20"/>
        </w:rPr>
        <w:t>.</w:t>
      </w:r>
    </w:p>
    <w:p w14:paraId="1304021A" w14:textId="77777777" w:rsidR="00E24579" w:rsidRPr="00B51317" w:rsidRDefault="001948EA">
      <w:pPr>
        <w:widowControl/>
        <w:spacing w:before="120"/>
        <w:rPr>
          <w:rFonts w:eastAsia="Times New Roman"/>
          <w:szCs w:val="20"/>
        </w:rPr>
      </w:pPr>
      <w:r w:rsidRPr="00047A22">
        <w:rPr>
          <w:iCs/>
          <w:szCs w:val="20"/>
        </w:rPr>
        <w:t xml:space="preserve">Users of this SRM should ensure that the SDS in their possession is current. </w:t>
      </w:r>
      <w:r w:rsidR="00622909" w:rsidRPr="00047A22">
        <w:rPr>
          <w:iCs/>
          <w:szCs w:val="20"/>
        </w:rPr>
        <w:t xml:space="preserve"> </w:t>
      </w:r>
      <w:r w:rsidRPr="00047A22">
        <w:rPr>
          <w:iCs/>
          <w:szCs w:val="20"/>
        </w:rPr>
        <w:t>This can be accomplished by contacting the SRM Program: telephone (301) 975-2200; fax (301) 948-3730; e-mail srm</w:t>
      </w:r>
      <w:r w:rsidR="00A148AB" w:rsidRPr="00047A22">
        <w:rPr>
          <w:iCs/>
          <w:szCs w:val="20"/>
        </w:rPr>
        <w:t>msds</w:t>
      </w:r>
      <w:r w:rsidRPr="00047A22">
        <w:rPr>
          <w:iCs/>
          <w:szCs w:val="20"/>
        </w:rPr>
        <w:t>@nist.gov; or via the Internet at http://www.nist.gov/srm.</w:t>
      </w:r>
    </w:p>
    <w:sectPr w:rsidR="00E24579" w:rsidRPr="00B51317" w:rsidSect="000F5325">
      <w:footerReference w:type="default" r:id="rId14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1F609" w14:textId="77777777" w:rsidR="007934DE" w:rsidRDefault="007934DE" w:rsidP="00E24579">
      <w:r>
        <w:separator/>
      </w:r>
    </w:p>
  </w:endnote>
  <w:endnote w:type="continuationSeparator" w:id="0">
    <w:p w14:paraId="5D45620B" w14:textId="77777777" w:rsidR="007934DE" w:rsidRDefault="007934DE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DBE72" w14:textId="38011656" w:rsidR="007934DE" w:rsidRPr="005315D6" w:rsidRDefault="007934DE" w:rsidP="005315D6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>
      <w:rPr>
        <w:szCs w:val="20"/>
      </w:rPr>
      <w:t> </w:t>
    </w:r>
    <w:r w:rsidR="002A669F">
      <w:rPr>
        <w:szCs w:val="20"/>
      </w:rPr>
      <w:t>925</w:t>
    </w:r>
    <w:r w:rsidRPr="00371ED3">
      <w:rPr>
        <w:szCs w:val="20"/>
      </w:rPr>
      <w:tab/>
    </w:r>
    <w:r w:rsidRPr="005315D6">
      <w:rPr>
        <w:szCs w:val="20"/>
      </w:rPr>
      <w:tab/>
      <w:t xml:space="preserve">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 </w:instrText>
    </w:r>
    <w:r>
      <w:rPr>
        <w:rStyle w:val="PageNumber"/>
        <w:szCs w:val="20"/>
      </w:rPr>
      <w:fldChar w:fldCharType="separate"/>
    </w:r>
    <w:r w:rsidR="00285B3B">
      <w:rPr>
        <w:rStyle w:val="PageNumber"/>
        <w:noProof/>
        <w:szCs w:val="20"/>
      </w:rPr>
      <w:t>3</w:t>
    </w:r>
    <w:r>
      <w:rPr>
        <w:rStyle w:val="PageNumber"/>
        <w:szCs w:val="20"/>
      </w:rPr>
      <w:fldChar w:fldCharType="end"/>
    </w:r>
    <w:r w:rsidRPr="005315D6">
      <w:rPr>
        <w:rStyle w:val="PageNumber"/>
        <w:szCs w:val="20"/>
      </w:rPr>
      <w:t xml:space="preserve"> of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  \* MERGEFORMAT </w:instrText>
    </w:r>
    <w:r>
      <w:rPr>
        <w:rStyle w:val="PageNumber"/>
        <w:szCs w:val="20"/>
      </w:rPr>
      <w:fldChar w:fldCharType="separate"/>
    </w:r>
    <w:r w:rsidR="00285B3B">
      <w:rPr>
        <w:rStyle w:val="PageNumber"/>
        <w:noProof/>
        <w:szCs w:val="20"/>
      </w:rPr>
      <w:t>6</w:t>
    </w:r>
    <w:r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B93B5" w14:textId="77777777" w:rsidR="007934DE" w:rsidRDefault="007934DE" w:rsidP="00E24579">
      <w:r>
        <w:separator/>
      </w:r>
    </w:p>
  </w:footnote>
  <w:footnote w:type="continuationSeparator" w:id="0">
    <w:p w14:paraId="2EF0A88A" w14:textId="77777777" w:rsidR="007934DE" w:rsidRDefault="007934DE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56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33CA"/>
    <w:rsid w:val="000051F3"/>
    <w:rsid w:val="00005D5A"/>
    <w:rsid w:val="000062AB"/>
    <w:rsid w:val="00011CAC"/>
    <w:rsid w:val="000127AB"/>
    <w:rsid w:val="00013A6F"/>
    <w:rsid w:val="00015F8E"/>
    <w:rsid w:val="00025571"/>
    <w:rsid w:val="00030DFA"/>
    <w:rsid w:val="000338D3"/>
    <w:rsid w:val="00035C38"/>
    <w:rsid w:val="00037080"/>
    <w:rsid w:val="00040067"/>
    <w:rsid w:val="000425F7"/>
    <w:rsid w:val="0004607A"/>
    <w:rsid w:val="00047A22"/>
    <w:rsid w:val="0005067D"/>
    <w:rsid w:val="00051FB5"/>
    <w:rsid w:val="00052A14"/>
    <w:rsid w:val="00053504"/>
    <w:rsid w:val="00054A71"/>
    <w:rsid w:val="000618FC"/>
    <w:rsid w:val="000632DE"/>
    <w:rsid w:val="0006359D"/>
    <w:rsid w:val="00064FA6"/>
    <w:rsid w:val="00065074"/>
    <w:rsid w:val="00073E43"/>
    <w:rsid w:val="00075BDC"/>
    <w:rsid w:val="0007601E"/>
    <w:rsid w:val="0008033C"/>
    <w:rsid w:val="00081FFA"/>
    <w:rsid w:val="00084177"/>
    <w:rsid w:val="00085816"/>
    <w:rsid w:val="000863D5"/>
    <w:rsid w:val="00091077"/>
    <w:rsid w:val="000912A2"/>
    <w:rsid w:val="00094BF8"/>
    <w:rsid w:val="00095044"/>
    <w:rsid w:val="000B65E7"/>
    <w:rsid w:val="000B79EB"/>
    <w:rsid w:val="000C0534"/>
    <w:rsid w:val="000C2885"/>
    <w:rsid w:val="000C69D1"/>
    <w:rsid w:val="000D31BB"/>
    <w:rsid w:val="000D50EE"/>
    <w:rsid w:val="000E147E"/>
    <w:rsid w:val="000E1EBF"/>
    <w:rsid w:val="000E3AA3"/>
    <w:rsid w:val="000E3B6D"/>
    <w:rsid w:val="000E615A"/>
    <w:rsid w:val="000F1959"/>
    <w:rsid w:val="000F255D"/>
    <w:rsid w:val="000F2E6C"/>
    <w:rsid w:val="000F5325"/>
    <w:rsid w:val="00103BD6"/>
    <w:rsid w:val="001116B5"/>
    <w:rsid w:val="00112C69"/>
    <w:rsid w:val="001248AA"/>
    <w:rsid w:val="00125FD4"/>
    <w:rsid w:val="00130CC0"/>
    <w:rsid w:val="00132F7B"/>
    <w:rsid w:val="001336A5"/>
    <w:rsid w:val="00142C09"/>
    <w:rsid w:val="0014371C"/>
    <w:rsid w:val="00144362"/>
    <w:rsid w:val="00144ADE"/>
    <w:rsid w:val="00145AD5"/>
    <w:rsid w:val="0014746A"/>
    <w:rsid w:val="0014771E"/>
    <w:rsid w:val="00150BAB"/>
    <w:rsid w:val="00152B7B"/>
    <w:rsid w:val="00152EB4"/>
    <w:rsid w:val="001542E0"/>
    <w:rsid w:val="0015519D"/>
    <w:rsid w:val="0015564E"/>
    <w:rsid w:val="00162D23"/>
    <w:rsid w:val="0016457B"/>
    <w:rsid w:val="00167AFD"/>
    <w:rsid w:val="00170F65"/>
    <w:rsid w:val="00172026"/>
    <w:rsid w:val="00175EFF"/>
    <w:rsid w:val="00176501"/>
    <w:rsid w:val="0018233E"/>
    <w:rsid w:val="00182BFE"/>
    <w:rsid w:val="001862E9"/>
    <w:rsid w:val="00191AAF"/>
    <w:rsid w:val="00192817"/>
    <w:rsid w:val="001930E9"/>
    <w:rsid w:val="00193FA9"/>
    <w:rsid w:val="001948EA"/>
    <w:rsid w:val="00194A53"/>
    <w:rsid w:val="00195830"/>
    <w:rsid w:val="00196274"/>
    <w:rsid w:val="0019668F"/>
    <w:rsid w:val="001967DA"/>
    <w:rsid w:val="001A0914"/>
    <w:rsid w:val="001A0EA2"/>
    <w:rsid w:val="001A19D3"/>
    <w:rsid w:val="001B25DA"/>
    <w:rsid w:val="001B6096"/>
    <w:rsid w:val="001B78DF"/>
    <w:rsid w:val="001B7FEA"/>
    <w:rsid w:val="001C4AA7"/>
    <w:rsid w:val="001C4F6D"/>
    <w:rsid w:val="001C5DD6"/>
    <w:rsid w:val="001C652C"/>
    <w:rsid w:val="001D02E7"/>
    <w:rsid w:val="001D0D6B"/>
    <w:rsid w:val="001D168D"/>
    <w:rsid w:val="001D2FAC"/>
    <w:rsid w:val="001D4ADF"/>
    <w:rsid w:val="001D4B38"/>
    <w:rsid w:val="001D7FE4"/>
    <w:rsid w:val="001E1EEB"/>
    <w:rsid w:val="001E68B6"/>
    <w:rsid w:val="001E7441"/>
    <w:rsid w:val="001E7E32"/>
    <w:rsid w:val="001F0B68"/>
    <w:rsid w:val="001F1584"/>
    <w:rsid w:val="001F38C9"/>
    <w:rsid w:val="001F4AA3"/>
    <w:rsid w:val="001F57E7"/>
    <w:rsid w:val="001F7438"/>
    <w:rsid w:val="00203853"/>
    <w:rsid w:val="00203A9F"/>
    <w:rsid w:val="00206AE7"/>
    <w:rsid w:val="00214D34"/>
    <w:rsid w:val="0021577D"/>
    <w:rsid w:val="0021642E"/>
    <w:rsid w:val="002237B1"/>
    <w:rsid w:val="00224515"/>
    <w:rsid w:val="002326AE"/>
    <w:rsid w:val="00232FEE"/>
    <w:rsid w:val="00235963"/>
    <w:rsid w:val="00240294"/>
    <w:rsid w:val="002402F2"/>
    <w:rsid w:val="00241552"/>
    <w:rsid w:val="002416D8"/>
    <w:rsid w:val="00242591"/>
    <w:rsid w:val="00243FDA"/>
    <w:rsid w:val="00245B57"/>
    <w:rsid w:val="00247624"/>
    <w:rsid w:val="002550F6"/>
    <w:rsid w:val="00256548"/>
    <w:rsid w:val="002566D9"/>
    <w:rsid w:val="00257926"/>
    <w:rsid w:val="0026091E"/>
    <w:rsid w:val="00262806"/>
    <w:rsid w:val="00271910"/>
    <w:rsid w:val="002732BD"/>
    <w:rsid w:val="00274EA5"/>
    <w:rsid w:val="002762BE"/>
    <w:rsid w:val="0028318C"/>
    <w:rsid w:val="00285B3B"/>
    <w:rsid w:val="002947D7"/>
    <w:rsid w:val="00295831"/>
    <w:rsid w:val="00296997"/>
    <w:rsid w:val="00296E4D"/>
    <w:rsid w:val="002A0775"/>
    <w:rsid w:val="002A2C5E"/>
    <w:rsid w:val="002A3CAA"/>
    <w:rsid w:val="002A4B2C"/>
    <w:rsid w:val="002A4F9C"/>
    <w:rsid w:val="002A669F"/>
    <w:rsid w:val="002A7379"/>
    <w:rsid w:val="002B090B"/>
    <w:rsid w:val="002B1C91"/>
    <w:rsid w:val="002B2021"/>
    <w:rsid w:val="002B22C8"/>
    <w:rsid w:val="002B3137"/>
    <w:rsid w:val="002B4306"/>
    <w:rsid w:val="002B60F0"/>
    <w:rsid w:val="002C5045"/>
    <w:rsid w:val="002D03D7"/>
    <w:rsid w:val="002D0B7D"/>
    <w:rsid w:val="002D25F6"/>
    <w:rsid w:val="002D63F4"/>
    <w:rsid w:val="002D649F"/>
    <w:rsid w:val="002D6C71"/>
    <w:rsid w:val="002D6DD3"/>
    <w:rsid w:val="002D7144"/>
    <w:rsid w:val="002F28B5"/>
    <w:rsid w:val="002F3AF7"/>
    <w:rsid w:val="002F3E49"/>
    <w:rsid w:val="003010FE"/>
    <w:rsid w:val="003014AF"/>
    <w:rsid w:val="00303CFF"/>
    <w:rsid w:val="003045F2"/>
    <w:rsid w:val="0030612C"/>
    <w:rsid w:val="00306B74"/>
    <w:rsid w:val="003135B6"/>
    <w:rsid w:val="003156B0"/>
    <w:rsid w:val="0031663D"/>
    <w:rsid w:val="00320222"/>
    <w:rsid w:val="00325425"/>
    <w:rsid w:val="00326A67"/>
    <w:rsid w:val="00332F78"/>
    <w:rsid w:val="00335DD7"/>
    <w:rsid w:val="003375EA"/>
    <w:rsid w:val="00341E61"/>
    <w:rsid w:val="00343B25"/>
    <w:rsid w:val="003442B3"/>
    <w:rsid w:val="00345BDB"/>
    <w:rsid w:val="003466CD"/>
    <w:rsid w:val="003502C6"/>
    <w:rsid w:val="00350823"/>
    <w:rsid w:val="00351C12"/>
    <w:rsid w:val="00357DF7"/>
    <w:rsid w:val="00362A1F"/>
    <w:rsid w:val="0036303E"/>
    <w:rsid w:val="003660A5"/>
    <w:rsid w:val="003673D5"/>
    <w:rsid w:val="00371ED3"/>
    <w:rsid w:val="0037222D"/>
    <w:rsid w:val="003727AC"/>
    <w:rsid w:val="003738E1"/>
    <w:rsid w:val="00376B98"/>
    <w:rsid w:val="00381ABB"/>
    <w:rsid w:val="00383F47"/>
    <w:rsid w:val="00392632"/>
    <w:rsid w:val="00393DB5"/>
    <w:rsid w:val="0039599D"/>
    <w:rsid w:val="0039690E"/>
    <w:rsid w:val="003A03D7"/>
    <w:rsid w:val="003A6E72"/>
    <w:rsid w:val="003B2C06"/>
    <w:rsid w:val="003B54FB"/>
    <w:rsid w:val="003C76DF"/>
    <w:rsid w:val="003D5857"/>
    <w:rsid w:val="003D6279"/>
    <w:rsid w:val="003E2700"/>
    <w:rsid w:val="003E5A7F"/>
    <w:rsid w:val="003E6940"/>
    <w:rsid w:val="003E6C67"/>
    <w:rsid w:val="003F126D"/>
    <w:rsid w:val="00400831"/>
    <w:rsid w:val="00401628"/>
    <w:rsid w:val="004021D2"/>
    <w:rsid w:val="00404335"/>
    <w:rsid w:val="00405269"/>
    <w:rsid w:val="00410038"/>
    <w:rsid w:val="00417333"/>
    <w:rsid w:val="00424C7F"/>
    <w:rsid w:val="004250A6"/>
    <w:rsid w:val="00427144"/>
    <w:rsid w:val="00427CA7"/>
    <w:rsid w:val="004303E9"/>
    <w:rsid w:val="0043249C"/>
    <w:rsid w:val="0043380E"/>
    <w:rsid w:val="0044174A"/>
    <w:rsid w:val="0044226E"/>
    <w:rsid w:val="00442D3D"/>
    <w:rsid w:val="00444104"/>
    <w:rsid w:val="004444EF"/>
    <w:rsid w:val="004457B0"/>
    <w:rsid w:val="004463B8"/>
    <w:rsid w:val="004475AA"/>
    <w:rsid w:val="00450AAA"/>
    <w:rsid w:val="00450AD0"/>
    <w:rsid w:val="004521E9"/>
    <w:rsid w:val="004528A1"/>
    <w:rsid w:val="00454319"/>
    <w:rsid w:val="00455695"/>
    <w:rsid w:val="00455841"/>
    <w:rsid w:val="00455A83"/>
    <w:rsid w:val="004563C5"/>
    <w:rsid w:val="004612BC"/>
    <w:rsid w:val="00466137"/>
    <w:rsid w:val="00474DF2"/>
    <w:rsid w:val="00475AE4"/>
    <w:rsid w:val="00476880"/>
    <w:rsid w:val="0048419A"/>
    <w:rsid w:val="00484FCF"/>
    <w:rsid w:val="0048666F"/>
    <w:rsid w:val="00487B5E"/>
    <w:rsid w:val="00493484"/>
    <w:rsid w:val="00497C68"/>
    <w:rsid w:val="004A17FF"/>
    <w:rsid w:val="004A4094"/>
    <w:rsid w:val="004A4A12"/>
    <w:rsid w:val="004A6E3F"/>
    <w:rsid w:val="004C545F"/>
    <w:rsid w:val="004C7146"/>
    <w:rsid w:val="004D12D6"/>
    <w:rsid w:val="004D26B7"/>
    <w:rsid w:val="004D3BFD"/>
    <w:rsid w:val="004D5D98"/>
    <w:rsid w:val="004D65C2"/>
    <w:rsid w:val="004D72DC"/>
    <w:rsid w:val="004D79C9"/>
    <w:rsid w:val="004E06D8"/>
    <w:rsid w:val="004E1F4D"/>
    <w:rsid w:val="004E2993"/>
    <w:rsid w:val="004E51F9"/>
    <w:rsid w:val="004E54F3"/>
    <w:rsid w:val="004E5DB2"/>
    <w:rsid w:val="004E5DCE"/>
    <w:rsid w:val="004E734D"/>
    <w:rsid w:val="004E7C12"/>
    <w:rsid w:val="004E7CC2"/>
    <w:rsid w:val="004F17FA"/>
    <w:rsid w:val="004F1C1D"/>
    <w:rsid w:val="004F1D27"/>
    <w:rsid w:val="004F3925"/>
    <w:rsid w:val="004F3CBA"/>
    <w:rsid w:val="004F46FD"/>
    <w:rsid w:val="004F6B17"/>
    <w:rsid w:val="004F76D5"/>
    <w:rsid w:val="0050110A"/>
    <w:rsid w:val="005044BC"/>
    <w:rsid w:val="00510CBD"/>
    <w:rsid w:val="00512C82"/>
    <w:rsid w:val="005133E0"/>
    <w:rsid w:val="005157AD"/>
    <w:rsid w:val="00517108"/>
    <w:rsid w:val="00521CB4"/>
    <w:rsid w:val="005302E6"/>
    <w:rsid w:val="005315D6"/>
    <w:rsid w:val="005318BF"/>
    <w:rsid w:val="005330FD"/>
    <w:rsid w:val="00533B0B"/>
    <w:rsid w:val="00534548"/>
    <w:rsid w:val="00537670"/>
    <w:rsid w:val="005401AD"/>
    <w:rsid w:val="005413A4"/>
    <w:rsid w:val="0055271F"/>
    <w:rsid w:val="005550E0"/>
    <w:rsid w:val="00556719"/>
    <w:rsid w:val="00557971"/>
    <w:rsid w:val="005627D9"/>
    <w:rsid w:val="00563B87"/>
    <w:rsid w:val="00565AA3"/>
    <w:rsid w:val="0057235F"/>
    <w:rsid w:val="005802DC"/>
    <w:rsid w:val="0058251E"/>
    <w:rsid w:val="005832A5"/>
    <w:rsid w:val="00584A22"/>
    <w:rsid w:val="00584C8B"/>
    <w:rsid w:val="00585970"/>
    <w:rsid w:val="00586DFF"/>
    <w:rsid w:val="00590E21"/>
    <w:rsid w:val="005912CC"/>
    <w:rsid w:val="00592E01"/>
    <w:rsid w:val="005932F5"/>
    <w:rsid w:val="005937F6"/>
    <w:rsid w:val="005A257B"/>
    <w:rsid w:val="005A66D9"/>
    <w:rsid w:val="005A73FE"/>
    <w:rsid w:val="005B0FBD"/>
    <w:rsid w:val="005B1EDD"/>
    <w:rsid w:val="005B6BBB"/>
    <w:rsid w:val="005C5645"/>
    <w:rsid w:val="005C69D5"/>
    <w:rsid w:val="005C7E82"/>
    <w:rsid w:val="005D057C"/>
    <w:rsid w:val="005D0F87"/>
    <w:rsid w:val="005D3029"/>
    <w:rsid w:val="005D3405"/>
    <w:rsid w:val="005D4139"/>
    <w:rsid w:val="005D632D"/>
    <w:rsid w:val="005D6D6A"/>
    <w:rsid w:val="005E0A42"/>
    <w:rsid w:val="005E2B05"/>
    <w:rsid w:val="005E4F60"/>
    <w:rsid w:val="005E7C6F"/>
    <w:rsid w:val="005F0080"/>
    <w:rsid w:val="005F4C83"/>
    <w:rsid w:val="005F656F"/>
    <w:rsid w:val="005F7AEB"/>
    <w:rsid w:val="00600C7C"/>
    <w:rsid w:val="00600DB1"/>
    <w:rsid w:val="006025E1"/>
    <w:rsid w:val="006034A2"/>
    <w:rsid w:val="00603CC6"/>
    <w:rsid w:val="00606535"/>
    <w:rsid w:val="006101F2"/>
    <w:rsid w:val="00611916"/>
    <w:rsid w:val="006133EF"/>
    <w:rsid w:val="00620718"/>
    <w:rsid w:val="00622880"/>
    <w:rsid w:val="00622909"/>
    <w:rsid w:val="00622AE4"/>
    <w:rsid w:val="00622BAB"/>
    <w:rsid w:val="00623C6E"/>
    <w:rsid w:val="00623DCD"/>
    <w:rsid w:val="006251CA"/>
    <w:rsid w:val="006255F3"/>
    <w:rsid w:val="00632690"/>
    <w:rsid w:val="00632742"/>
    <w:rsid w:val="00633925"/>
    <w:rsid w:val="00634E54"/>
    <w:rsid w:val="00642C12"/>
    <w:rsid w:val="00643E10"/>
    <w:rsid w:val="0064486D"/>
    <w:rsid w:val="00645989"/>
    <w:rsid w:val="006528A7"/>
    <w:rsid w:val="006548D9"/>
    <w:rsid w:val="00654C17"/>
    <w:rsid w:val="00655EC3"/>
    <w:rsid w:val="006601FF"/>
    <w:rsid w:val="00661CCC"/>
    <w:rsid w:val="0066247B"/>
    <w:rsid w:val="0066464E"/>
    <w:rsid w:val="00665172"/>
    <w:rsid w:val="006662F0"/>
    <w:rsid w:val="00674D5B"/>
    <w:rsid w:val="0067534E"/>
    <w:rsid w:val="00676966"/>
    <w:rsid w:val="006821C7"/>
    <w:rsid w:val="0068405F"/>
    <w:rsid w:val="00684BAF"/>
    <w:rsid w:val="0069128F"/>
    <w:rsid w:val="00693E96"/>
    <w:rsid w:val="00695328"/>
    <w:rsid w:val="0069666F"/>
    <w:rsid w:val="00696DE6"/>
    <w:rsid w:val="006A07F8"/>
    <w:rsid w:val="006A59B8"/>
    <w:rsid w:val="006A6BA3"/>
    <w:rsid w:val="006A7CE0"/>
    <w:rsid w:val="006B034B"/>
    <w:rsid w:val="006B276B"/>
    <w:rsid w:val="006B637C"/>
    <w:rsid w:val="006B712E"/>
    <w:rsid w:val="006B73F0"/>
    <w:rsid w:val="006C1AA9"/>
    <w:rsid w:val="006C412A"/>
    <w:rsid w:val="006C4598"/>
    <w:rsid w:val="006C5C73"/>
    <w:rsid w:val="006D24D9"/>
    <w:rsid w:val="006E1DD6"/>
    <w:rsid w:val="006E24DE"/>
    <w:rsid w:val="006E5E61"/>
    <w:rsid w:val="006E61C7"/>
    <w:rsid w:val="006E6835"/>
    <w:rsid w:val="006E6BEA"/>
    <w:rsid w:val="006F0F73"/>
    <w:rsid w:val="006F47ED"/>
    <w:rsid w:val="006F541B"/>
    <w:rsid w:val="007036EB"/>
    <w:rsid w:val="00704294"/>
    <w:rsid w:val="00706B67"/>
    <w:rsid w:val="007109A5"/>
    <w:rsid w:val="00710FAA"/>
    <w:rsid w:val="00714D24"/>
    <w:rsid w:val="00715B87"/>
    <w:rsid w:val="00715D6C"/>
    <w:rsid w:val="00716C71"/>
    <w:rsid w:val="00717B98"/>
    <w:rsid w:val="0072264A"/>
    <w:rsid w:val="007237E2"/>
    <w:rsid w:val="00726A9B"/>
    <w:rsid w:val="007272C4"/>
    <w:rsid w:val="00730686"/>
    <w:rsid w:val="0073150A"/>
    <w:rsid w:val="007315EF"/>
    <w:rsid w:val="007333F2"/>
    <w:rsid w:val="00733B44"/>
    <w:rsid w:val="00743478"/>
    <w:rsid w:val="007447E2"/>
    <w:rsid w:val="007502B5"/>
    <w:rsid w:val="007531C9"/>
    <w:rsid w:val="00755C33"/>
    <w:rsid w:val="00756C01"/>
    <w:rsid w:val="007574D4"/>
    <w:rsid w:val="0076440D"/>
    <w:rsid w:val="0076543A"/>
    <w:rsid w:val="007666FB"/>
    <w:rsid w:val="0077129F"/>
    <w:rsid w:val="007725DB"/>
    <w:rsid w:val="00783F68"/>
    <w:rsid w:val="00784040"/>
    <w:rsid w:val="00784675"/>
    <w:rsid w:val="00791CF2"/>
    <w:rsid w:val="00792487"/>
    <w:rsid w:val="007934DE"/>
    <w:rsid w:val="00795D73"/>
    <w:rsid w:val="007975C5"/>
    <w:rsid w:val="00797B9C"/>
    <w:rsid w:val="007A004B"/>
    <w:rsid w:val="007A5D32"/>
    <w:rsid w:val="007B169F"/>
    <w:rsid w:val="007B56D0"/>
    <w:rsid w:val="007B6322"/>
    <w:rsid w:val="007C4C46"/>
    <w:rsid w:val="007C6AF5"/>
    <w:rsid w:val="007C78E5"/>
    <w:rsid w:val="007C7F6E"/>
    <w:rsid w:val="007D4A25"/>
    <w:rsid w:val="007D5E66"/>
    <w:rsid w:val="007D6B33"/>
    <w:rsid w:val="007D6D9F"/>
    <w:rsid w:val="007D78BB"/>
    <w:rsid w:val="007E107C"/>
    <w:rsid w:val="007E335A"/>
    <w:rsid w:val="007E6EDD"/>
    <w:rsid w:val="007F2DFB"/>
    <w:rsid w:val="007F4D36"/>
    <w:rsid w:val="007F5046"/>
    <w:rsid w:val="007F5C40"/>
    <w:rsid w:val="007F660E"/>
    <w:rsid w:val="008016CD"/>
    <w:rsid w:val="00804CE5"/>
    <w:rsid w:val="00814DE3"/>
    <w:rsid w:val="008154F9"/>
    <w:rsid w:val="00817765"/>
    <w:rsid w:val="00821095"/>
    <w:rsid w:val="00830172"/>
    <w:rsid w:val="0083064E"/>
    <w:rsid w:val="00831DDA"/>
    <w:rsid w:val="00832054"/>
    <w:rsid w:val="00834BA4"/>
    <w:rsid w:val="00834E4C"/>
    <w:rsid w:val="008354ED"/>
    <w:rsid w:val="00836B33"/>
    <w:rsid w:val="0084122E"/>
    <w:rsid w:val="00844575"/>
    <w:rsid w:val="00851D06"/>
    <w:rsid w:val="00860FBC"/>
    <w:rsid w:val="0086365C"/>
    <w:rsid w:val="00864677"/>
    <w:rsid w:val="008660ED"/>
    <w:rsid w:val="008665F3"/>
    <w:rsid w:val="008707BD"/>
    <w:rsid w:val="008751A2"/>
    <w:rsid w:val="00877B64"/>
    <w:rsid w:val="00881C3C"/>
    <w:rsid w:val="00886C5A"/>
    <w:rsid w:val="0088735A"/>
    <w:rsid w:val="00887486"/>
    <w:rsid w:val="00891034"/>
    <w:rsid w:val="008925FA"/>
    <w:rsid w:val="00892672"/>
    <w:rsid w:val="0089356A"/>
    <w:rsid w:val="00893F73"/>
    <w:rsid w:val="008A05DA"/>
    <w:rsid w:val="008A060D"/>
    <w:rsid w:val="008A179D"/>
    <w:rsid w:val="008A5160"/>
    <w:rsid w:val="008B0C90"/>
    <w:rsid w:val="008B70F0"/>
    <w:rsid w:val="008B7934"/>
    <w:rsid w:val="008C1AC3"/>
    <w:rsid w:val="008C684F"/>
    <w:rsid w:val="008C7A93"/>
    <w:rsid w:val="008D16C4"/>
    <w:rsid w:val="008E0386"/>
    <w:rsid w:val="008E1A8B"/>
    <w:rsid w:val="008E1B26"/>
    <w:rsid w:val="008E3EC6"/>
    <w:rsid w:val="008F2CCE"/>
    <w:rsid w:val="008F646B"/>
    <w:rsid w:val="008F7B1B"/>
    <w:rsid w:val="00902F44"/>
    <w:rsid w:val="009037A7"/>
    <w:rsid w:val="0090699C"/>
    <w:rsid w:val="00910EA2"/>
    <w:rsid w:val="009110B2"/>
    <w:rsid w:val="00911A75"/>
    <w:rsid w:val="00915750"/>
    <w:rsid w:val="00915962"/>
    <w:rsid w:val="009175D1"/>
    <w:rsid w:val="00931BB0"/>
    <w:rsid w:val="00932FC9"/>
    <w:rsid w:val="00935858"/>
    <w:rsid w:val="00941DFD"/>
    <w:rsid w:val="00942928"/>
    <w:rsid w:val="00942D37"/>
    <w:rsid w:val="00953140"/>
    <w:rsid w:val="00953EFC"/>
    <w:rsid w:val="009568A3"/>
    <w:rsid w:val="00957A04"/>
    <w:rsid w:val="00957B26"/>
    <w:rsid w:val="00961E67"/>
    <w:rsid w:val="00971EDC"/>
    <w:rsid w:val="00973086"/>
    <w:rsid w:val="009745A7"/>
    <w:rsid w:val="00977539"/>
    <w:rsid w:val="00981AAE"/>
    <w:rsid w:val="00982E09"/>
    <w:rsid w:val="0098347B"/>
    <w:rsid w:val="0099457B"/>
    <w:rsid w:val="0099505F"/>
    <w:rsid w:val="009A1791"/>
    <w:rsid w:val="009B2AED"/>
    <w:rsid w:val="009B7881"/>
    <w:rsid w:val="009C1029"/>
    <w:rsid w:val="009C2E09"/>
    <w:rsid w:val="009C799D"/>
    <w:rsid w:val="009D2951"/>
    <w:rsid w:val="009D2B8E"/>
    <w:rsid w:val="009D5B47"/>
    <w:rsid w:val="009D61C5"/>
    <w:rsid w:val="009E0D2E"/>
    <w:rsid w:val="009E33CE"/>
    <w:rsid w:val="009E36C6"/>
    <w:rsid w:val="009E5BA8"/>
    <w:rsid w:val="009F18A8"/>
    <w:rsid w:val="009F22D5"/>
    <w:rsid w:val="009F23EF"/>
    <w:rsid w:val="009F3C46"/>
    <w:rsid w:val="009F49E7"/>
    <w:rsid w:val="009F5230"/>
    <w:rsid w:val="009F6B0C"/>
    <w:rsid w:val="00A00A2B"/>
    <w:rsid w:val="00A01339"/>
    <w:rsid w:val="00A0266C"/>
    <w:rsid w:val="00A02D37"/>
    <w:rsid w:val="00A13A72"/>
    <w:rsid w:val="00A148AB"/>
    <w:rsid w:val="00A14B09"/>
    <w:rsid w:val="00A203EB"/>
    <w:rsid w:val="00A2056E"/>
    <w:rsid w:val="00A2207A"/>
    <w:rsid w:val="00A24875"/>
    <w:rsid w:val="00A26292"/>
    <w:rsid w:val="00A26DBF"/>
    <w:rsid w:val="00A31FA1"/>
    <w:rsid w:val="00A33E0F"/>
    <w:rsid w:val="00A42093"/>
    <w:rsid w:val="00A422B4"/>
    <w:rsid w:val="00A422B6"/>
    <w:rsid w:val="00A426AF"/>
    <w:rsid w:val="00A45A14"/>
    <w:rsid w:val="00A47B0A"/>
    <w:rsid w:val="00A50A78"/>
    <w:rsid w:val="00A5395F"/>
    <w:rsid w:val="00A54F76"/>
    <w:rsid w:val="00A55324"/>
    <w:rsid w:val="00A56380"/>
    <w:rsid w:val="00A574BE"/>
    <w:rsid w:val="00A61303"/>
    <w:rsid w:val="00A61AAA"/>
    <w:rsid w:val="00A61CD8"/>
    <w:rsid w:val="00A63E3E"/>
    <w:rsid w:val="00A6748B"/>
    <w:rsid w:val="00A722AF"/>
    <w:rsid w:val="00A73159"/>
    <w:rsid w:val="00A74D4C"/>
    <w:rsid w:val="00A90E1E"/>
    <w:rsid w:val="00A911CD"/>
    <w:rsid w:val="00A91680"/>
    <w:rsid w:val="00A92BE5"/>
    <w:rsid w:val="00A93FFD"/>
    <w:rsid w:val="00A940B2"/>
    <w:rsid w:val="00A9523D"/>
    <w:rsid w:val="00AA5789"/>
    <w:rsid w:val="00AA6AC2"/>
    <w:rsid w:val="00AB4A6C"/>
    <w:rsid w:val="00AB552F"/>
    <w:rsid w:val="00AC1826"/>
    <w:rsid w:val="00AC23EF"/>
    <w:rsid w:val="00AD02F1"/>
    <w:rsid w:val="00AD050B"/>
    <w:rsid w:val="00AD6D0A"/>
    <w:rsid w:val="00AD718C"/>
    <w:rsid w:val="00AF488F"/>
    <w:rsid w:val="00AF5DED"/>
    <w:rsid w:val="00AF7E1C"/>
    <w:rsid w:val="00B0155D"/>
    <w:rsid w:val="00B02FBF"/>
    <w:rsid w:val="00B124D7"/>
    <w:rsid w:val="00B137A2"/>
    <w:rsid w:val="00B1513E"/>
    <w:rsid w:val="00B15A12"/>
    <w:rsid w:val="00B16840"/>
    <w:rsid w:val="00B173FB"/>
    <w:rsid w:val="00B17557"/>
    <w:rsid w:val="00B177FF"/>
    <w:rsid w:val="00B26213"/>
    <w:rsid w:val="00B3185E"/>
    <w:rsid w:val="00B33652"/>
    <w:rsid w:val="00B42124"/>
    <w:rsid w:val="00B43205"/>
    <w:rsid w:val="00B448C3"/>
    <w:rsid w:val="00B45C19"/>
    <w:rsid w:val="00B45C80"/>
    <w:rsid w:val="00B45E05"/>
    <w:rsid w:val="00B4602F"/>
    <w:rsid w:val="00B463B0"/>
    <w:rsid w:val="00B471E1"/>
    <w:rsid w:val="00B47433"/>
    <w:rsid w:val="00B5083F"/>
    <w:rsid w:val="00B51317"/>
    <w:rsid w:val="00B546AD"/>
    <w:rsid w:val="00B54925"/>
    <w:rsid w:val="00B54B62"/>
    <w:rsid w:val="00B55CD5"/>
    <w:rsid w:val="00B56A4E"/>
    <w:rsid w:val="00B63E8C"/>
    <w:rsid w:val="00B74126"/>
    <w:rsid w:val="00B824E8"/>
    <w:rsid w:val="00B82E15"/>
    <w:rsid w:val="00B8694A"/>
    <w:rsid w:val="00B8718F"/>
    <w:rsid w:val="00B874FA"/>
    <w:rsid w:val="00B87CE3"/>
    <w:rsid w:val="00B87E57"/>
    <w:rsid w:val="00B91B33"/>
    <w:rsid w:val="00B97847"/>
    <w:rsid w:val="00B97E3A"/>
    <w:rsid w:val="00BA0559"/>
    <w:rsid w:val="00BA14CF"/>
    <w:rsid w:val="00BA52F9"/>
    <w:rsid w:val="00BA67FC"/>
    <w:rsid w:val="00BB0995"/>
    <w:rsid w:val="00BB14A2"/>
    <w:rsid w:val="00BB55E8"/>
    <w:rsid w:val="00BC5C79"/>
    <w:rsid w:val="00BD0059"/>
    <w:rsid w:val="00BD1486"/>
    <w:rsid w:val="00BE09C9"/>
    <w:rsid w:val="00BE33F7"/>
    <w:rsid w:val="00BE6893"/>
    <w:rsid w:val="00BF0592"/>
    <w:rsid w:val="00BF0B62"/>
    <w:rsid w:val="00BF1769"/>
    <w:rsid w:val="00BF230B"/>
    <w:rsid w:val="00BF5DD9"/>
    <w:rsid w:val="00BF5FB6"/>
    <w:rsid w:val="00BF6022"/>
    <w:rsid w:val="00BF653E"/>
    <w:rsid w:val="00BF72CB"/>
    <w:rsid w:val="00BF7869"/>
    <w:rsid w:val="00BF7D48"/>
    <w:rsid w:val="00C00D32"/>
    <w:rsid w:val="00C0190D"/>
    <w:rsid w:val="00C10B4B"/>
    <w:rsid w:val="00C10BCF"/>
    <w:rsid w:val="00C10E6A"/>
    <w:rsid w:val="00C131D0"/>
    <w:rsid w:val="00C1343A"/>
    <w:rsid w:val="00C1391B"/>
    <w:rsid w:val="00C13DBB"/>
    <w:rsid w:val="00C142BE"/>
    <w:rsid w:val="00C1716A"/>
    <w:rsid w:val="00C17A6E"/>
    <w:rsid w:val="00C2036C"/>
    <w:rsid w:val="00C206D5"/>
    <w:rsid w:val="00C253FE"/>
    <w:rsid w:val="00C277A8"/>
    <w:rsid w:val="00C27D84"/>
    <w:rsid w:val="00C30809"/>
    <w:rsid w:val="00C30FD3"/>
    <w:rsid w:val="00C329FA"/>
    <w:rsid w:val="00C3427C"/>
    <w:rsid w:val="00C36E46"/>
    <w:rsid w:val="00C40E05"/>
    <w:rsid w:val="00C42DE1"/>
    <w:rsid w:val="00C44638"/>
    <w:rsid w:val="00C45391"/>
    <w:rsid w:val="00C508A0"/>
    <w:rsid w:val="00C56112"/>
    <w:rsid w:val="00C63267"/>
    <w:rsid w:val="00C661E3"/>
    <w:rsid w:val="00C66C97"/>
    <w:rsid w:val="00C723CD"/>
    <w:rsid w:val="00C771F1"/>
    <w:rsid w:val="00C813F5"/>
    <w:rsid w:val="00C83E59"/>
    <w:rsid w:val="00C84E3B"/>
    <w:rsid w:val="00C87866"/>
    <w:rsid w:val="00C87FA4"/>
    <w:rsid w:val="00C91840"/>
    <w:rsid w:val="00C92B69"/>
    <w:rsid w:val="00CA0D43"/>
    <w:rsid w:val="00CA2D25"/>
    <w:rsid w:val="00CA42D2"/>
    <w:rsid w:val="00CA7B57"/>
    <w:rsid w:val="00CA7D2F"/>
    <w:rsid w:val="00CB0063"/>
    <w:rsid w:val="00CB4087"/>
    <w:rsid w:val="00CC0B44"/>
    <w:rsid w:val="00CC4E80"/>
    <w:rsid w:val="00CC65BE"/>
    <w:rsid w:val="00CC6C33"/>
    <w:rsid w:val="00CC792F"/>
    <w:rsid w:val="00CC7B84"/>
    <w:rsid w:val="00CD0336"/>
    <w:rsid w:val="00CD0FFB"/>
    <w:rsid w:val="00CD42EB"/>
    <w:rsid w:val="00CE0AF7"/>
    <w:rsid w:val="00CE49F5"/>
    <w:rsid w:val="00CF19F0"/>
    <w:rsid w:val="00CF3208"/>
    <w:rsid w:val="00CF5A57"/>
    <w:rsid w:val="00CF6BA4"/>
    <w:rsid w:val="00CF712B"/>
    <w:rsid w:val="00CF7B42"/>
    <w:rsid w:val="00D01D42"/>
    <w:rsid w:val="00D01FF3"/>
    <w:rsid w:val="00D03028"/>
    <w:rsid w:val="00D03D0A"/>
    <w:rsid w:val="00D1179F"/>
    <w:rsid w:val="00D20D95"/>
    <w:rsid w:val="00D2216F"/>
    <w:rsid w:val="00D2295A"/>
    <w:rsid w:val="00D23B04"/>
    <w:rsid w:val="00D25DBF"/>
    <w:rsid w:val="00D3347C"/>
    <w:rsid w:val="00D34188"/>
    <w:rsid w:val="00D37DC8"/>
    <w:rsid w:val="00D409AB"/>
    <w:rsid w:val="00D42A67"/>
    <w:rsid w:val="00D52618"/>
    <w:rsid w:val="00D536DB"/>
    <w:rsid w:val="00D53EF5"/>
    <w:rsid w:val="00D55B8D"/>
    <w:rsid w:val="00D60A36"/>
    <w:rsid w:val="00D61695"/>
    <w:rsid w:val="00D70C8B"/>
    <w:rsid w:val="00D7120B"/>
    <w:rsid w:val="00D73BA0"/>
    <w:rsid w:val="00D754E5"/>
    <w:rsid w:val="00D77265"/>
    <w:rsid w:val="00D80A37"/>
    <w:rsid w:val="00D816E0"/>
    <w:rsid w:val="00D849BF"/>
    <w:rsid w:val="00D85E12"/>
    <w:rsid w:val="00D86CFF"/>
    <w:rsid w:val="00D901B5"/>
    <w:rsid w:val="00D90F89"/>
    <w:rsid w:val="00D95DAA"/>
    <w:rsid w:val="00DA13B8"/>
    <w:rsid w:val="00DA4142"/>
    <w:rsid w:val="00DA4ACF"/>
    <w:rsid w:val="00DA5A17"/>
    <w:rsid w:val="00DB53D1"/>
    <w:rsid w:val="00DB683D"/>
    <w:rsid w:val="00DB72C0"/>
    <w:rsid w:val="00DB756D"/>
    <w:rsid w:val="00DC0227"/>
    <w:rsid w:val="00DC1232"/>
    <w:rsid w:val="00DC197D"/>
    <w:rsid w:val="00DC3629"/>
    <w:rsid w:val="00DC38A1"/>
    <w:rsid w:val="00DC6B5D"/>
    <w:rsid w:val="00DD2C36"/>
    <w:rsid w:val="00DD38F6"/>
    <w:rsid w:val="00DD575A"/>
    <w:rsid w:val="00DD5D65"/>
    <w:rsid w:val="00DE2CB0"/>
    <w:rsid w:val="00DE31FD"/>
    <w:rsid w:val="00DE4AE3"/>
    <w:rsid w:val="00DE64B4"/>
    <w:rsid w:val="00DF05FF"/>
    <w:rsid w:val="00DF2CEE"/>
    <w:rsid w:val="00DF36B1"/>
    <w:rsid w:val="00DF36DB"/>
    <w:rsid w:val="00E014A4"/>
    <w:rsid w:val="00E01681"/>
    <w:rsid w:val="00E02297"/>
    <w:rsid w:val="00E02561"/>
    <w:rsid w:val="00E05DE5"/>
    <w:rsid w:val="00E06A19"/>
    <w:rsid w:val="00E1552D"/>
    <w:rsid w:val="00E1672A"/>
    <w:rsid w:val="00E169D2"/>
    <w:rsid w:val="00E1791E"/>
    <w:rsid w:val="00E22F60"/>
    <w:rsid w:val="00E2314F"/>
    <w:rsid w:val="00E24579"/>
    <w:rsid w:val="00E256F1"/>
    <w:rsid w:val="00E26E52"/>
    <w:rsid w:val="00E31138"/>
    <w:rsid w:val="00E32159"/>
    <w:rsid w:val="00E32766"/>
    <w:rsid w:val="00E351D1"/>
    <w:rsid w:val="00E37538"/>
    <w:rsid w:val="00E37C34"/>
    <w:rsid w:val="00E41B6E"/>
    <w:rsid w:val="00E440AC"/>
    <w:rsid w:val="00E46B34"/>
    <w:rsid w:val="00E523E6"/>
    <w:rsid w:val="00E568A0"/>
    <w:rsid w:val="00E620ED"/>
    <w:rsid w:val="00E7130C"/>
    <w:rsid w:val="00E72877"/>
    <w:rsid w:val="00E74A42"/>
    <w:rsid w:val="00E81058"/>
    <w:rsid w:val="00E81A02"/>
    <w:rsid w:val="00E81BD0"/>
    <w:rsid w:val="00E82901"/>
    <w:rsid w:val="00E84BFE"/>
    <w:rsid w:val="00E870D8"/>
    <w:rsid w:val="00E87111"/>
    <w:rsid w:val="00E90458"/>
    <w:rsid w:val="00E91344"/>
    <w:rsid w:val="00E92BB3"/>
    <w:rsid w:val="00E93DD1"/>
    <w:rsid w:val="00E9505B"/>
    <w:rsid w:val="00E95589"/>
    <w:rsid w:val="00EA0DE2"/>
    <w:rsid w:val="00EA2B11"/>
    <w:rsid w:val="00EA4470"/>
    <w:rsid w:val="00EA513C"/>
    <w:rsid w:val="00EB216E"/>
    <w:rsid w:val="00EB5E4A"/>
    <w:rsid w:val="00EB6A2A"/>
    <w:rsid w:val="00EB7190"/>
    <w:rsid w:val="00EB78CB"/>
    <w:rsid w:val="00EC2C72"/>
    <w:rsid w:val="00ED1307"/>
    <w:rsid w:val="00ED5B65"/>
    <w:rsid w:val="00EE1BE2"/>
    <w:rsid w:val="00EE1F37"/>
    <w:rsid w:val="00EF0F7C"/>
    <w:rsid w:val="00EF3786"/>
    <w:rsid w:val="00EF4006"/>
    <w:rsid w:val="00EF761A"/>
    <w:rsid w:val="00F02D7E"/>
    <w:rsid w:val="00F0571F"/>
    <w:rsid w:val="00F057E8"/>
    <w:rsid w:val="00F05827"/>
    <w:rsid w:val="00F060FD"/>
    <w:rsid w:val="00F072E3"/>
    <w:rsid w:val="00F1581A"/>
    <w:rsid w:val="00F1590F"/>
    <w:rsid w:val="00F15DCE"/>
    <w:rsid w:val="00F16C1A"/>
    <w:rsid w:val="00F22A70"/>
    <w:rsid w:val="00F2490E"/>
    <w:rsid w:val="00F24DD2"/>
    <w:rsid w:val="00F24DF7"/>
    <w:rsid w:val="00F31B16"/>
    <w:rsid w:val="00F3381A"/>
    <w:rsid w:val="00F34AC7"/>
    <w:rsid w:val="00F4046F"/>
    <w:rsid w:val="00F4079E"/>
    <w:rsid w:val="00F552CE"/>
    <w:rsid w:val="00F6032E"/>
    <w:rsid w:val="00F63663"/>
    <w:rsid w:val="00F64170"/>
    <w:rsid w:val="00F655EB"/>
    <w:rsid w:val="00F656A2"/>
    <w:rsid w:val="00F67CCA"/>
    <w:rsid w:val="00F70339"/>
    <w:rsid w:val="00F72A9C"/>
    <w:rsid w:val="00F73025"/>
    <w:rsid w:val="00F74AF4"/>
    <w:rsid w:val="00F7593E"/>
    <w:rsid w:val="00F808EE"/>
    <w:rsid w:val="00F83B01"/>
    <w:rsid w:val="00F8513D"/>
    <w:rsid w:val="00F92DAA"/>
    <w:rsid w:val="00FA1478"/>
    <w:rsid w:val="00FA5DC8"/>
    <w:rsid w:val="00FA5DD1"/>
    <w:rsid w:val="00FA746E"/>
    <w:rsid w:val="00FB1952"/>
    <w:rsid w:val="00FB7719"/>
    <w:rsid w:val="00FC00DD"/>
    <w:rsid w:val="00FC201D"/>
    <w:rsid w:val="00FC2053"/>
    <w:rsid w:val="00FC3C8B"/>
    <w:rsid w:val="00FC5A98"/>
    <w:rsid w:val="00FC75E9"/>
    <w:rsid w:val="00FC7D09"/>
    <w:rsid w:val="00FD12D5"/>
    <w:rsid w:val="00FD4B73"/>
    <w:rsid w:val="00FD5524"/>
    <w:rsid w:val="00FD59F4"/>
    <w:rsid w:val="00FD6E3E"/>
    <w:rsid w:val="00FD7A14"/>
    <w:rsid w:val="00FE06CB"/>
    <w:rsid w:val="00FE152A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3"/>
    <o:shapelayout v:ext="edit">
      <o:idmap v:ext="edit" data="1"/>
    </o:shapelayout>
  </w:shapeDefaults>
  <w:decimalSymbol w:val="."/>
  <w:listSeparator w:val=","/>
  <w14:docId w14:val="5254E6FE"/>
  <w15:docId w15:val="{28B714A7-2C96-4873-B516-100CE64D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35F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013A6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F24DF7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mdb.ca/metabolites/HMDB002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cha.europa.eu/information-on-chemica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E6858-22EF-4C21-8405-C58D0F6B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1842</Words>
  <Characters>11667</Characters>
  <Application>Microsoft Office Word</Application>
  <DocSecurity>0</DocSecurity>
  <Lines>402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13154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subject/>
  <dc:creator>SRMP</dc:creator>
  <cp:keywords/>
  <dc:description/>
  <cp:lastModifiedBy>Shuggars, Thomas P.</cp:lastModifiedBy>
  <cp:revision>6</cp:revision>
  <cp:lastPrinted>2015-06-18T12:28:00Z</cp:lastPrinted>
  <dcterms:created xsi:type="dcterms:W3CDTF">2015-06-22T13:17:00Z</dcterms:created>
  <dcterms:modified xsi:type="dcterms:W3CDTF">2015-06-22T13:21:00Z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