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777" w:rsidRDefault="001938FC" w:rsidP="00077F52">
      <w:pPr>
        <w:pStyle w:val="Title"/>
        <w:rPr>
          <w:rFonts w:ascii="Linotext" w:hAnsi="Linotext"/>
        </w:rPr>
      </w:pPr>
      <w:r>
        <w:rPr>
          <w:rFonts w:ascii="Linotext" w:hAnsi="Linotext"/>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5pt;width:96pt;height:63.75pt;z-index:-251658752" o:allowincell="f" fillcolor="window">
            <v:imagedata r:id="rId8" o:title=""/>
          </v:shape>
          <o:OLEObject Type="Embed" ProgID="Word.Document.8" ShapeID="_x0000_s1031" DrawAspect="Content" ObjectID="_1513055717" r:id="rId9">
            <o:FieldCodes>\s</o:FieldCodes>
          </o:OLEObject>
        </w:object>
      </w:r>
      <w:r w:rsidR="00720777">
        <w:rPr>
          <w:rFonts w:ascii="Linotext" w:hAnsi="Linotext"/>
        </w:rPr>
        <w:t>National Institute of Standards &amp; Technology</w:t>
      </w:r>
    </w:p>
    <w:p w:rsidR="00720777" w:rsidRDefault="00720777" w:rsidP="00077F52">
      <w:pPr>
        <w:widowControl w:val="0"/>
        <w:jc w:val="center"/>
        <w:rPr>
          <w:rFonts w:ascii="Linotext" w:hAnsi="Linotext"/>
        </w:rPr>
      </w:pPr>
    </w:p>
    <w:p w:rsidR="00720777" w:rsidRDefault="00720777" w:rsidP="00077F52">
      <w:pPr>
        <w:pStyle w:val="Subtitle"/>
        <w:rPr>
          <w:rFonts w:ascii="Linotext" w:hAnsi="Linotext"/>
        </w:rPr>
      </w:pPr>
      <w:r>
        <w:rPr>
          <w:rFonts w:ascii="Linotext" w:hAnsi="Linotext"/>
        </w:rPr>
        <w:t>Certificate of Analysis</w:t>
      </w:r>
    </w:p>
    <w:p w:rsidR="002A4ADA" w:rsidRDefault="002A4ADA">
      <w:pPr>
        <w:pStyle w:val="Subtitle"/>
        <w:rPr>
          <w:rFonts w:ascii="Linotext" w:hAnsi="Linotext"/>
          <w:sz w:val="20"/>
        </w:rPr>
      </w:pPr>
    </w:p>
    <w:p w:rsidR="002A4ADA" w:rsidRDefault="00720777">
      <w:pPr>
        <w:tabs>
          <w:tab w:val="center" w:pos="4680"/>
        </w:tabs>
        <w:jc w:val="center"/>
        <w:rPr>
          <w:sz w:val="36"/>
        </w:rPr>
      </w:pPr>
      <w:r>
        <w:rPr>
          <w:sz w:val="36"/>
        </w:rPr>
        <w:t>Standard Reference Material</w:t>
      </w:r>
      <w:r>
        <w:rPr>
          <w:sz w:val="36"/>
          <w:vertAlign w:val="superscript"/>
        </w:rPr>
        <w:t>®</w:t>
      </w:r>
      <w:r w:rsidR="006C4283">
        <w:rPr>
          <w:sz w:val="36"/>
        </w:rPr>
        <w:t> </w:t>
      </w:r>
      <w:r>
        <w:rPr>
          <w:sz w:val="36"/>
        </w:rPr>
        <w:t>2670a</w:t>
      </w:r>
    </w:p>
    <w:p w:rsidR="00593AE5" w:rsidRDefault="00593AE5" w:rsidP="00593AE5">
      <w:pPr>
        <w:jc w:val="center"/>
      </w:pPr>
    </w:p>
    <w:p w:rsidR="00720777" w:rsidRDefault="00720777" w:rsidP="00077F52">
      <w:pPr>
        <w:jc w:val="center"/>
        <w:rPr>
          <w:sz w:val="28"/>
        </w:rPr>
      </w:pPr>
      <w:r>
        <w:rPr>
          <w:sz w:val="28"/>
        </w:rPr>
        <w:t xml:space="preserve">Toxic Elements in </w:t>
      </w:r>
      <w:r w:rsidR="00106F9C">
        <w:rPr>
          <w:sz w:val="28"/>
        </w:rPr>
        <w:t>Freeze</w:t>
      </w:r>
      <w:r w:rsidR="00106F9C">
        <w:rPr>
          <w:sz w:val="28"/>
        </w:rPr>
        <w:noBreakHyphen/>
        <w:t xml:space="preserve">Dried </w:t>
      </w:r>
      <w:r>
        <w:rPr>
          <w:sz w:val="28"/>
        </w:rPr>
        <w:t>Urine</w:t>
      </w:r>
    </w:p>
    <w:p w:rsidR="00720777" w:rsidRDefault="00720777" w:rsidP="00C022EB">
      <w:pPr>
        <w:pStyle w:val="Heading2"/>
        <w:suppressAutoHyphens w:val="0"/>
        <w:rPr>
          <w:rFonts w:ascii="Times New Roman" w:hAnsi="Times New Roman"/>
          <w:spacing w:val="0"/>
          <w:sz w:val="20"/>
        </w:rPr>
      </w:pPr>
    </w:p>
    <w:p w:rsidR="00B452EF" w:rsidRDefault="00720777" w:rsidP="00C022EB">
      <w:pPr>
        <w:jc w:val="both"/>
      </w:pPr>
      <w:r>
        <w:t>This Standard Reference Material</w:t>
      </w:r>
      <w:r w:rsidR="006C4283">
        <w:t> </w:t>
      </w:r>
      <w:r>
        <w:t xml:space="preserve">(SRM) is primarily intended for use in evaluating the accuracy of clinical methods used to determine the </w:t>
      </w:r>
      <w:r w:rsidR="002D4D99">
        <w:t xml:space="preserve">mass </w:t>
      </w:r>
      <w:r>
        <w:t>concentration of toxic metals and other elements in human urine or similar matrices.  It can also be used to validate working or secondary reference materials.  A unit of SRM</w:t>
      </w:r>
      <w:r w:rsidR="006C4283">
        <w:t> </w:t>
      </w:r>
      <w:r>
        <w:t>2670a consists of four bottles of freeze</w:t>
      </w:r>
      <w:r w:rsidR="006C4283">
        <w:noBreakHyphen/>
      </w:r>
      <w:r>
        <w:t xml:space="preserve">dried urine, two bottles </w:t>
      </w:r>
      <w:r w:rsidR="000F2C42">
        <w:t xml:space="preserve">of </w:t>
      </w:r>
      <w:r>
        <w:t xml:space="preserve">each at the low and high levels.  </w:t>
      </w:r>
    </w:p>
    <w:p w:rsidR="00B452EF" w:rsidRDefault="00B452EF" w:rsidP="00C022EB">
      <w:pPr>
        <w:jc w:val="both"/>
      </w:pPr>
    </w:p>
    <w:p w:rsidR="00720777" w:rsidRPr="00D56340" w:rsidRDefault="00720777" w:rsidP="00C022EB">
      <w:pPr>
        <w:jc w:val="both"/>
        <w:rPr>
          <w:spacing w:val="-4"/>
        </w:rPr>
      </w:pPr>
      <w:r>
        <w:t xml:space="preserve">Before use, the urine in each bottle </w:t>
      </w:r>
      <w:r w:rsidR="000F2C42">
        <w:t>must</w:t>
      </w:r>
      <w:r>
        <w:t xml:space="preserve"> be reconstituted with 20.00</w:t>
      </w:r>
      <w:r w:rsidR="006C4283">
        <w:t> </w:t>
      </w:r>
      <w:r>
        <w:t xml:space="preserve">mL of </w:t>
      </w:r>
      <w:r w:rsidR="00FD14EA">
        <w:t>high</w:t>
      </w:r>
      <w:r w:rsidR="006C4283">
        <w:noBreakHyphen/>
      </w:r>
      <w:r>
        <w:t xml:space="preserve">purity deionized water </w:t>
      </w:r>
      <w:r w:rsidRPr="00D56340">
        <w:t xml:space="preserve">(see </w:t>
      </w:r>
      <w:r w:rsidR="00C022EB">
        <w:t>“</w:t>
      </w:r>
      <w:r w:rsidRPr="00D56340">
        <w:rPr>
          <w:iCs/>
        </w:rPr>
        <w:t xml:space="preserve">Instructions for </w:t>
      </w:r>
      <w:r w:rsidR="00876452" w:rsidRPr="00D56340">
        <w:rPr>
          <w:iCs/>
        </w:rPr>
        <w:t xml:space="preserve">Handling, Storage, and </w:t>
      </w:r>
      <w:r w:rsidRPr="00D56340">
        <w:rPr>
          <w:iCs/>
        </w:rPr>
        <w:t>Use</w:t>
      </w:r>
      <w:r w:rsidR="00C022EB">
        <w:rPr>
          <w:iCs/>
        </w:rPr>
        <w:t>”</w:t>
      </w:r>
      <w:r w:rsidRPr="00D56340">
        <w:t>).</w:t>
      </w:r>
      <w:r>
        <w:t xml:space="preserve">  </w:t>
      </w:r>
      <w:r>
        <w:rPr>
          <w:spacing w:val="-4"/>
        </w:rPr>
        <w:t xml:space="preserve">The certified, reference, and information </w:t>
      </w:r>
      <w:r w:rsidR="000F2C42">
        <w:rPr>
          <w:spacing w:val="-4"/>
        </w:rPr>
        <w:t xml:space="preserve">mass </w:t>
      </w:r>
      <w:r>
        <w:rPr>
          <w:spacing w:val="-4"/>
        </w:rPr>
        <w:t>concentration values apply only to properly reconstituted urine at room temperature 20</w:t>
      </w:r>
      <w:r w:rsidR="006C4283">
        <w:rPr>
          <w:spacing w:val="-4"/>
        </w:rPr>
        <w:t> </w:t>
      </w:r>
      <w:r>
        <w:rPr>
          <w:spacing w:val="-4"/>
        </w:rPr>
        <w:sym w:font="Symbol" w:char="F0B0"/>
      </w:r>
      <w:r>
        <w:rPr>
          <w:spacing w:val="-4"/>
        </w:rPr>
        <w:t>C to 25</w:t>
      </w:r>
      <w:r w:rsidR="006C4283">
        <w:rPr>
          <w:spacing w:val="-4"/>
        </w:rPr>
        <w:t> </w:t>
      </w:r>
      <w:r>
        <w:rPr>
          <w:spacing w:val="-4"/>
        </w:rPr>
        <w:sym w:font="Symbol" w:char="F0B0"/>
      </w:r>
      <w:r>
        <w:rPr>
          <w:spacing w:val="-4"/>
        </w:rPr>
        <w:t xml:space="preserve">C, </w:t>
      </w:r>
      <w:r w:rsidR="002A4ADA">
        <w:rPr>
          <w:spacing w:val="-4"/>
        </w:rPr>
        <w:t>(</w:t>
      </w:r>
      <w:r>
        <w:rPr>
          <w:spacing w:val="-4"/>
        </w:rPr>
        <w:t xml:space="preserve">see </w:t>
      </w:r>
      <w:r w:rsidR="000D7768">
        <w:rPr>
          <w:spacing w:val="-4"/>
        </w:rPr>
        <w:t>“</w:t>
      </w:r>
      <w:r w:rsidRPr="00D56340">
        <w:rPr>
          <w:iCs/>
          <w:spacing w:val="-4"/>
        </w:rPr>
        <w:t xml:space="preserve">Instructions for </w:t>
      </w:r>
      <w:r w:rsidR="00300251" w:rsidRPr="00D56340">
        <w:rPr>
          <w:iCs/>
          <w:spacing w:val="-4"/>
        </w:rPr>
        <w:t>H</w:t>
      </w:r>
      <w:r w:rsidR="00876452" w:rsidRPr="00D56340">
        <w:rPr>
          <w:iCs/>
          <w:spacing w:val="-4"/>
        </w:rPr>
        <w:t xml:space="preserve">andling, Storage, and </w:t>
      </w:r>
      <w:r w:rsidRPr="00D56340">
        <w:rPr>
          <w:iCs/>
          <w:spacing w:val="-4"/>
        </w:rPr>
        <w:t>Use</w:t>
      </w:r>
      <w:r w:rsidR="000D7768">
        <w:rPr>
          <w:iCs/>
          <w:spacing w:val="-4"/>
        </w:rPr>
        <w:t>”</w:t>
      </w:r>
      <w:r w:rsidRPr="00D56340">
        <w:rPr>
          <w:spacing w:val="-4"/>
        </w:rPr>
        <w:t>).</w:t>
      </w:r>
    </w:p>
    <w:p w:rsidR="000F38C7" w:rsidRPr="00D56340" w:rsidRDefault="000F38C7" w:rsidP="00C022EB">
      <w:pPr>
        <w:jc w:val="both"/>
      </w:pPr>
    </w:p>
    <w:p w:rsidR="000F38C7" w:rsidRDefault="000F38C7" w:rsidP="00C022EB">
      <w:pPr>
        <w:jc w:val="both"/>
      </w:pPr>
      <w:r>
        <w:rPr>
          <w:b/>
        </w:rPr>
        <w:t xml:space="preserve">Certified </w:t>
      </w:r>
      <w:r w:rsidR="000F2C42">
        <w:rPr>
          <w:b/>
        </w:rPr>
        <w:t xml:space="preserve">Mass </w:t>
      </w:r>
      <w:r>
        <w:rPr>
          <w:b/>
        </w:rPr>
        <w:t>Concentration Values:</w:t>
      </w:r>
      <w:r>
        <w:rPr>
          <w:bCs/>
        </w:rPr>
        <w:t xml:space="preserve">  </w:t>
      </w:r>
      <w:r>
        <w:t>Certified</w:t>
      </w:r>
      <w:r w:rsidR="000F2C42">
        <w:t xml:space="preserve"> mass</w:t>
      </w:r>
      <w:r>
        <w:t xml:space="preserve"> concentration values for 10</w:t>
      </w:r>
      <w:r w:rsidR="00CF529C">
        <w:t> </w:t>
      </w:r>
      <w:r>
        <w:t>elements in the low level and 14</w:t>
      </w:r>
      <w:r w:rsidR="00077F52">
        <w:t> </w:t>
      </w:r>
      <w:r>
        <w:t>elements in the high level of SRM</w:t>
      </w:r>
      <w:r w:rsidR="006C4283">
        <w:t> </w:t>
      </w:r>
      <w:r>
        <w:t>2670a are listed in Table</w:t>
      </w:r>
      <w:r w:rsidR="006C4283">
        <w:t> </w:t>
      </w:r>
      <w:r>
        <w:t xml:space="preserve">1.  A NIST certified value is a value for which NIST has the highest confidence in its accuracy in that all known or suspected sources of bias have been investigated or </w:t>
      </w:r>
      <w:r w:rsidR="000F2C42">
        <w:t>taken into account</w:t>
      </w:r>
      <w:r w:rsidR="00077F52">
        <w:t> </w:t>
      </w:r>
      <w:r w:rsidR="000D7768">
        <w:t>[1]</w:t>
      </w:r>
      <w:r>
        <w:t xml:space="preserve">.  All values are reported </w:t>
      </w:r>
      <w:r w:rsidR="000F2C42">
        <w:t>in units of mass concentration</w:t>
      </w:r>
      <w:r w:rsidR="006C4283">
        <w:t> </w:t>
      </w:r>
      <w:r>
        <w:t xml:space="preserve">[2] </w:t>
      </w:r>
      <w:r w:rsidRPr="00D56340">
        <w:t>(see</w:t>
      </w:r>
      <w:r w:rsidRPr="00D56340">
        <w:rPr>
          <w:spacing w:val="-4"/>
        </w:rPr>
        <w:t xml:space="preserve"> </w:t>
      </w:r>
      <w:r w:rsidR="00C022EB">
        <w:rPr>
          <w:spacing w:val="-4"/>
        </w:rPr>
        <w:t>“</w:t>
      </w:r>
      <w:r w:rsidRPr="00D56340">
        <w:rPr>
          <w:iCs/>
          <w:spacing w:val="-4"/>
        </w:rPr>
        <w:t xml:space="preserve">Instructions for </w:t>
      </w:r>
      <w:r w:rsidR="00D56340" w:rsidRPr="00D56340">
        <w:rPr>
          <w:iCs/>
          <w:spacing w:val="-4"/>
        </w:rPr>
        <w:t>Handling, Storage, and Use</w:t>
      </w:r>
      <w:r w:rsidR="00C022EB">
        <w:rPr>
          <w:iCs/>
          <w:spacing w:val="-4"/>
        </w:rPr>
        <w:t>”</w:t>
      </w:r>
      <w:r w:rsidRPr="00D56340">
        <w:t>)</w:t>
      </w:r>
      <w:r>
        <w:t xml:space="preserve"> and are based on measurements using the entire lyophilized sample mass.</w:t>
      </w:r>
    </w:p>
    <w:p w:rsidR="000F38C7" w:rsidRDefault="000F38C7" w:rsidP="00C022EB">
      <w:pPr>
        <w:jc w:val="both"/>
        <w:rPr>
          <w:sz w:val="16"/>
          <w:szCs w:val="16"/>
        </w:rPr>
      </w:pPr>
    </w:p>
    <w:p w:rsidR="000F38C7" w:rsidRDefault="000F38C7" w:rsidP="00FD1EE7">
      <w:pPr>
        <w:jc w:val="both"/>
      </w:pPr>
      <w:r>
        <w:rPr>
          <w:b/>
        </w:rPr>
        <w:t xml:space="preserve">Reference </w:t>
      </w:r>
      <w:r w:rsidR="002D4D99">
        <w:rPr>
          <w:b/>
        </w:rPr>
        <w:t xml:space="preserve">Mass Concentration </w:t>
      </w:r>
      <w:r>
        <w:rPr>
          <w:b/>
        </w:rPr>
        <w:t>Values:</w:t>
      </w:r>
      <w:r>
        <w:rPr>
          <w:bCs/>
        </w:rPr>
        <w:t xml:space="preserve">  </w:t>
      </w:r>
      <w:r>
        <w:t xml:space="preserve">Reference </w:t>
      </w:r>
      <w:r w:rsidR="002D4D99">
        <w:t xml:space="preserve">mass </w:t>
      </w:r>
      <w:r>
        <w:t xml:space="preserve">concentration values for </w:t>
      </w:r>
      <w:r w:rsidR="002D4D99">
        <w:t xml:space="preserve">seven </w:t>
      </w:r>
      <w:r>
        <w:t xml:space="preserve">elements at the low level and </w:t>
      </w:r>
      <w:r w:rsidR="002D4D99">
        <w:t xml:space="preserve">eight </w:t>
      </w:r>
      <w:r>
        <w:t>elements at the high level are given in Table</w:t>
      </w:r>
      <w:r w:rsidR="006C4283">
        <w:t> </w:t>
      </w:r>
      <w:r>
        <w:t>2</w:t>
      </w:r>
      <w:r w:rsidR="00877FA8">
        <w:t xml:space="preserve"> and Table 3</w:t>
      </w:r>
      <w:r>
        <w:t>.  Reference values are non</w:t>
      </w:r>
      <w:r w:rsidR="00077F52">
        <w:noBreakHyphen/>
      </w:r>
      <w:r>
        <w:t>certified values that are the best estimate of the true value; however, the values do not meet the NIST criteria for certification and are provided with associated uncertainties that may not include all sources of uncertainty</w:t>
      </w:r>
      <w:r w:rsidR="00914631">
        <w:t> </w:t>
      </w:r>
      <w:r w:rsidR="000D7768">
        <w:t>[1]</w:t>
      </w:r>
      <w:r>
        <w:t>.</w:t>
      </w:r>
    </w:p>
    <w:p w:rsidR="003F55CB" w:rsidRDefault="003F55CB" w:rsidP="00FD1EE7">
      <w:pPr>
        <w:jc w:val="both"/>
      </w:pPr>
    </w:p>
    <w:p w:rsidR="003F55CB" w:rsidRPr="003F55CB" w:rsidRDefault="003F55CB" w:rsidP="00FD1EE7">
      <w:pPr>
        <w:jc w:val="both"/>
      </w:pPr>
      <w:r>
        <w:rPr>
          <w:b/>
        </w:rPr>
        <w:t>Information Mass Concentration Values:</w:t>
      </w:r>
      <w:r>
        <w:t xml:space="preserve">  </w:t>
      </w:r>
      <w:r w:rsidR="003A510D" w:rsidRPr="003A510D">
        <w:t xml:space="preserve">Information </w:t>
      </w:r>
      <w:r w:rsidR="003A510D">
        <w:t>mass concentration values for eleven elements are provided in Table</w:t>
      </w:r>
      <w:r w:rsidR="007B0AAC">
        <w:t> </w:t>
      </w:r>
      <w:r w:rsidR="003A510D">
        <w:t xml:space="preserve">4.  A </w:t>
      </w:r>
      <w:r w:rsidR="003A510D" w:rsidRPr="003A510D">
        <w:t xml:space="preserve">NIST </w:t>
      </w:r>
      <w:r w:rsidR="003A510D">
        <w:t>i</w:t>
      </w:r>
      <w:r w:rsidR="003A510D" w:rsidRPr="003A510D">
        <w:t xml:space="preserve">nformation </w:t>
      </w:r>
      <w:r w:rsidR="003A510D">
        <w:t>v</w:t>
      </w:r>
      <w:r w:rsidR="003A510D" w:rsidRPr="003A510D">
        <w:t>alue is a value that will be of interest and use to the SRM user, but insufficient information is available to assess the uncertainty associated with the value</w:t>
      </w:r>
      <w:r w:rsidR="00914631">
        <w:t> </w:t>
      </w:r>
      <w:r w:rsidR="003A510D">
        <w:t>[1]</w:t>
      </w:r>
      <w:r w:rsidR="003A510D" w:rsidRPr="003A510D">
        <w:t xml:space="preserve">. </w:t>
      </w:r>
      <w:r w:rsidR="00A144FA">
        <w:t xml:space="preserve"> </w:t>
      </w:r>
      <w:r w:rsidR="00A144FA" w:rsidRPr="00A144FA">
        <w:rPr>
          <w:bCs/>
        </w:rPr>
        <w:t>Information values cannot be used to establish metrological traceability.</w:t>
      </w:r>
    </w:p>
    <w:p w:rsidR="000F38C7" w:rsidRDefault="000F38C7" w:rsidP="00C022EB">
      <w:pPr>
        <w:jc w:val="both"/>
        <w:rPr>
          <w:sz w:val="16"/>
          <w:szCs w:val="16"/>
        </w:rPr>
      </w:pPr>
    </w:p>
    <w:p w:rsidR="00720777" w:rsidRDefault="00720777" w:rsidP="00FD1EE7">
      <w:pPr>
        <w:jc w:val="both"/>
        <w:rPr>
          <w:b/>
        </w:rPr>
      </w:pPr>
      <w:r>
        <w:rPr>
          <w:b/>
        </w:rPr>
        <w:t>Expiration of Certification:</w:t>
      </w:r>
      <w:r>
        <w:t xml:space="preserve">  The certification of </w:t>
      </w:r>
      <w:r w:rsidR="000F2C42">
        <w:rPr>
          <w:b/>
        </w:rPr>
        <w:t>SRM</w:t>
      </w:r>
      <w:r w:rsidR="006C4283">
        <w:rPr>
          <w:b/>
        </w:rPr>
        <w:t> </w:t>
      </w:r>
      <w:r w:rsidR="000F2C42">
        <w:rPr>
          <w:b/>
        </w:rPr>
        <w:t>2670a</w:t>
      </w:r>
      <w:r>
        <w:t xml:space="preserve"> is valid</w:t>
      </w:r>
      <w:r w:rsidR="00876452">
        <w:t>,</w:t>
      </w:r>
      <w:r>
        <w:t xml:space="preserve"> within the measurement uncertaint</w:t>
      </w:r>
      <w:r w:rsidR="00876452">
        <w:t>y</w:t>
      </w:r>
      <w:r>
        <w:t xml:space="preserve"> specified</w:t>
      </w:r>
      <w:r w:rsidR="00876452">
        <w:t>,</w:t>
      </w:r>
      <w:r>
        <w:t xml:space="preserve"> until </w:t>
      </w:r>
      <w:r>
        <w:rPr>
          <w:b/>
        </w:rPr>
        <w:t>31</w:t>
      </w:r>
      <w:r w:rsidR="006C4283">
        <w:rPr>
          <w:b/>
        </w:rPr>
        <w:t> </w:t>
      </w:r>
      <w:r>
        <w:rPr>
          <w:b/>
        </w:rPr>
        <w:t>December</w:t>
      </w:r>
      <w:r w:rsidR="006C4283">
        <w:rPr>
          <w:b/>
        </w:rPr>
        <w:t> </w:t>
      </w:r>
      <w:r>
        <w:rPr>
          <w:b/>
        </w:rPr>
        <w:t>201</w:t>
      </w:r>
      <w:r w:rsidR="00D65397">
        <w:rPr>
          <w:b/>
        </w:rPr>
        <w:t>9</w:t>
      </w:r>
      <w:r>
        <w:t>, provided the SRM is handled and stored in accordance with instructions given in this certificate (</w:t>
      </w:r>
      <w:r>
        <w:rPr>
          <w:spacing w:val="-4"/>
        </w:rPr>
        <w:t xml:space="preserve">see </w:t>
      </w:r>
      <w:r w:rsidR="00876452" w:rsidRPr="00D56340">
        <w:rPr>
          <w:spacing w:val="-4"/>
        </w:rPr>
        <w:t>“</w:t>
      </w:r>
      <w:r w:rsidRPr="00D56340">
        <w:rPr>
          <w:iCs/>
          <w:spacing w:val="-4"/>
        </w:rPr>
        <w:t xml:space="preserve">Instructions for </w:t>
      </w:r>
      <w:r w:rsidR="00876452" w:rsidRPr="00D56340">
        <w:rPr>
          <w:iCs/>
          <w:spacing w:val="-4"/>
        </w:rPr>
        <w:t xml:space="preserve">Handling, Storage, and </w:t>
      </w:r>
      <w:r w:rsidRPr="00D56340">
        <w:rPr>
          <w:iCs/>
          <w:spacing w:val="-4"/>
        </w:rPr>
        <w:t>Use</w:t>
      </w:r>
      <w:r w:rsidR="00876452" w:rsidRPr="00D56340">
        <w:rPr>
          <w:iCs/>
          <w:spacing w:val="-4"/>
        </w:rPr>
        <w:t>”</w:t>
      </w:r>
      <w:r>
        <w:t xml:space="preserve">).  </w:t>
      </w:r>
      <w:r w:rsidR="00876452">
        <w:t>T</w:t>
      </w:r>
      <w:r>
        <w:t xml:space="preserve">he certification </w:t>
      </w:r>
      <w:r w:rsidR="00876452">
        <w:t>is</w:t>
      </w:r>
      <w:r>
        <w:t xml:space="preserve"> nullified if the SRM is </w:t>
      </w:r>
      <w:r w:rsidR="000F2C42">
        <w:t xml:space="preserve">damaged, </w:t>
      </w:r>
      <w:r>
        <w:t>contaminated</w:t>
      </w:r>
      <w:r w:rsidR="000F2C42">
        <w:t>,</w:t>
      </w:r>
      <w:r>
        <w:t xml:space="preserve"> or</w:t>
      </w:r>
      <w:r w:rsidR="000F2C42">
        <w:t xml:space="preserve"> otherwise</w:t>
      </w:r>
      <w:r>
        <w:t xml:space="preserve"> modified.</w:t>
      </w:r>
    </w:p>
    <w:p w:rsidR="00720777" w:rsidRDefault="00720777" w:rsidP="00FD1EE7">
      <w:pPr>
        <w:jc w:val="both"/>
        <w:rPr>
          <w:rFonts w:ascii="CG Times" w:hAnsi="CG Times"/>
          <w:b/>
          <w:sz w:val="16"/>
          <w:szCs w:val="16"/>
        </w:rPr>
      </w:pPr>
    </w:p>
    <w:p w:rsidR="00720777" w:rsidRDefault="00720777" w:rsidP="00C022EB">
      <w:pPr>
        <w:jc w:val="both"/>
      </w:pPr>
      <w:r>
        <w:rPr>
          <w:b/>
        </w:rPr>
        <w:t>Maintenance of SRM Certification:</w:t>
      </w:r>
      <w:r>
        <w:t xml:space="preserve">  NIST will monitor this SRM over the period of its certification.  If substantive technical changes occur that affect the certification before </w:t>
      </w:r>
      <w:r w:rsidR="002A4ADA">
        <w:t xml:space="preserve">the </w:t>
      </w:r>
      <w:r>
        <w:t>expiration of this certificate, NIST will notify the purchaser.  R</w:t>
      </w:r>
      <w:r w:rsidR="00876452">
        <w:t>egistration (see attached sheet</w:t>
      </w:r>
      <w:r w:rsidR="00C23F4F">
        <w:t xml:space="preserve"> or register online</w:t>
      </w:r>
      <w:r w:rsidR="00876452">
        <w:t>) will facilitate notification</w:t>
      </w:r>
      <w:r>
        <w:t>.</w:t>
      </w:r>
    </w:p>
    <w:p w:rsidR="00720777" w:rsidRDefault="00720777" w:rsidP="00FD1EE7">
      <w:pPr>
        <w:jc w:val="both"/>
        <w:rPr>
          <w:rFonts w:ascii="CG Times" w:hAnsi="CG Times"/>
          <w:b/>
          <w:sz w:val="16"/>
          <w:szCs w:val="16"/>
        </w:rPr>
      </w:pPr>
    </w:p>
    <w:p w:rsidR="000F38C7" w:rsidRPr="00846B78" w:rsidRDefault="000F38C7" w:rsidP="00C022EB">
      <w:pPr>
        <w:autoSpaceDE w:val="0"/>
        <w:autoSpaceDN w:val="0"/>
        <w:adjustRightInd w:val="0"/>
        <w:jc w:val="both"/>
        <w:rPr>
          <w:szCs w:val="24"/>
        </w:rPr>
      </w:pPr>
      <w:r w:rsidRPr="00846B78">
        <w:rPr>
          <w:szCs w:val="24"/>
        </w:rPr>
        <w:t xml:space="preserve">The </w:t>
      </w:r>
      <w:r w:rsidR="00876452" w:rsidRPr="00846B78">
        <w:t>Centers for Disease Control and Prevention (CDC)</w:t>
      </w:r>
      <w:r w:rsidRPr="00846B78">
        <w:rPr>
          <w:szCs w:val="24"/>
        </w:rPr>
        <w:t xml:space="preserve"> provided partial financial support for the development of this SRM under the direction of project officers E.W. Gunter, D.C. Paschal, and R.L. Jones of the National Center for Environmental Health, Division of Laboratory Sciences,</w:t>
      </w:r>
      <w:r w:rsidR="002A4ADA" w:rsidRPr="00846B78">
        <w:rPr>
          <w:szCs w:val="24"/>
        </w:rPr>
        <w:t> </w:t>
      </w:r>
      <w:r w:rsidRPr="00846B78">
        <w:rPr>
          <w:szCs w:val="24"/>
        </w:rPr>
        <w:t>CDC</w:t>
      </w:r>
      <w:r w:rsidR="001E64F7">
        <w:rPr>
          <w:szCs w:val="24"/>
        </w:rPr>
        <w:t xml:space="preserve"> (</w:t>
      </w:r>
      <w:r w:rsidRPr="00846B78">
        <w:rPr>
          <w:szCs w:val="24"/>
        </w:rPr>
        <w:t>Atlanta,</w:t>
      </w:r>
      <w:r w:rsidR="00876452" w:rsidRPr="00846B78">
        <w:rPr>
          <w:szCs w:val="24"/>
        </w:rPr>
        <w:t> </w:t>
      </w:r>
      <w:r w:rsidRPr="00846B78">
        <w:rPr>
          <w:szCs w:val="24"/>
        </w:rPr>
        <w:t>GA</w:t>
      </w:r>
      <w:r w:rsidR="001E64F7">
        <w:rPr>
          <w:szCs w:val="24"/>
        </w:rPr>
        <w:t>)</w:t>
      </w:r>
      <w:r w:rsidRPr="00846B78">
        <w:rPr>
          <w:szCs w:val="24"/>
        </w:rPr>
        <w:t>.</w:t>
      </w:r>
    </w:p>
    <w:p w:rsidR="000F38C7" w:rsidRPr="00846B78" w:rsidRDefault="000F38C7" w:rsidP="00FD1EE7">
      <w:pPr>
        <w:jc w:val="both"/>
        <w:rPr>
          <w:rFonts w:ascii="CG Times" w:hAnsi="CG Times"/>
          <w:b/>
          <w:sz w:val="16"/>
          <w:szCs w:val="16"/>
        </w:rPr>
      </w:pPr>
    </w:p>
    <w:p w:rsidR="008777FF" w:rsidRPr="00846B78" w:rsidRDefault="00C23F4F" w:rsidP="00C022EB">
      <w:pPr>
        <w:pStyle w:val="BodyText"/>
        <w:rPr>
          <w:rFonts w:ascii="Times New Roman" w:hAnsi="Times New Roman"/>
          <w:snapToGrid/>
        </w:rPr>
      </w:pPr>
      <w:r w:rsidRPr="00846B78">
        <w:rPr>
          <w:rFonts w:ascii="Times New Roman" w:hAnsi="Times New Roman"/>
          <w:snapToGrid/>
        </w:rPr>
        <w:t>O</w:t>
      </w:r>
      <w:r w:rsidR="008777FF" w:rsidRPr="00846B78">
        <w:rPr>
          <w:rFonts w:ascii="Times New Roman" w:hAnsi="Times New Roman"/>
          <w:snapToGrid/>
        </w:rPr>
        <w:t xml:space="preserve">verall direction and coordination of the analyses were </w:t>
      </w:r>
      <w:r w:rsidR="000D7768" w:rsidRPr="00846B78">
        <w:rPr>
          <w:rFonts w:ascii="Times New Roman" w:hAnsi="Times New Roman"/>
          <w:snapToGrid/>
        </w:rPr>
        <w:t>performed by</w:t>
      </w:r>
      <w:r w:rsidR="008777FF" w:rsidRPr="00846B78">
        <w:rPr>
          <w:rFonts w:ascii="Times New Roman" w:hAnsi="Times New Roman"/>
          <w:snapToGrid/>
        </w:rPr>
        <w:t xml:space="preserve"> R.D. Vocke, Jr. and G.C. Turk of the NIST </w:t>
      </w:r>
      <w:r w:rsidRPr="00846B78">
        <w:rPr>
          <w:rFonts w:ascii="Times New Roman" w:hAnsi="Times New Roman"/>
          <w:snapToGrid/>
        </w:rPr>
        <w:t>Chemical Sciences Division</w:t>
      </w:r>
      <w:r w:rsidR="008777FF" w:rsidRPr="00846B78">
        <w:rPr>
          <w:rFonts w:ascii="Times New Roman" w:hAnsi="Times New Roman"/>
          <w:snapToGrid/>
        </w:rPr>
        <w:t>.</w:t>
      </w:r>
    </w:p>
    <w:p w:rsidR="008777FF" w:rsidRPr="00846B78" w:rsidRDefault="008777FF" w:rsidP="00C022EB">
      <w:pPr>
        <w:pStyle w:val="BodyText"/>
        <w:rPr>
          <w:rFonts w:ascii="Times New Roman" w:hAnsi="Times New Roman"/>
          <w:snapToGrid/>
        </w:rPr>
      </w:pPr>
    </w:p>
    <w:p w:rsidR="008777FF" w:rsidRDefault="008777FF" w:rsidP="00C022EB">
      <w:pPr>
        <w:jc w:val="both"/>
      </w:pPr>
      <w:r w:rsidRPr="00846B78">
        <w:t>Statistical analysis was provided by C. Hagwood of the NIST Statistical Engineering Division.</w:t>
      </w:r>
    </w:p>
    <w:p w:rsidR="008777FF" w:rsidRDefault="008777FF" w:rsidP="00FD1EE7">
      <w:pPr>
        <w:jc w:val="both"/>
        <w:rPr>
          <w:rFonts w:ascii="CG Times" w:hAnsi="CG Times"/>
          <w:b/>
          <w:sz w:val="16"/>
          <w:szCs w:val="16"/>
        </w:rPr>
      </w:pPr>
    </w:p>
    <w:p w:rsidR="001536C1" w:rsidRDefault="001536C1" w:rsidP="00C022EB">
      <w:pPr>
        <w:tabs>
          <w:tab w:val="right" w:pos="9360"/>
        </w:tabs>
        <w:jc w:val="both"/>
      </w:pPr>
    </w:p>
    <w:p w:rsidR="001536C1" w:rsidRDefault="001536C1" w:rsidP="00C022EB">
      <w:pPr>
        <w:tabs>
          <w:tab w:val="right" w:pos="9360"/>
        </w:tabs>
        <w:jc w:val="both"/>
      </w:pPr>
    </w:p>
    <w:p w:rsidR="00720777" w:rsidRDefault="00720777" w:rsidP="00C022EB">
      <w:pPr>
        <w:tabs>
          <w:tab w:val="right" w:pos="9360"/>
        </w:tabs>
        <w:jc w:val="both"/>
      </w:pPr>
      <w:r>
        <w:tab/>
      </w:r>
      <w:r w:rsidR="003918EC" w:rsidRPr="003918EC">
        <w:t>Carlos A. Gonzalez, Chief</w:t>
      </w:r>
    </w:p>
    <w:p w:rsidR="00720777" w:rsidRDefault="00720777" w:rsidP="00C022EB">
      <w:pPr>
        <w:tabs>
          <w:tab w:val="right" w:pos="9360"/>
          <w:tab w:val="right" w:pos="9540"/>
        </w:tabs>
        <w:jc w:val="both"/>
      </w:pPr>
      <w:r>
        <w:tab/>
      </w:r>
      <w:r w:rsidR="00C23F4F">
        <w:t>Chemical Sciences Division</w:t>
      </w:r>
    </w:p>
    <w:p w:rsidR="00720777" w:rsidRDefault="00720777" w:rsidP="00C022EB">
      <w:pPr>
        <w:tabs>
          <w:tab w:val="right" w:pos="9360"/>
          <w:tab w:val="right" w:pos="9540"/>
        </w:tabs>
        <w:jc w:val="both"/>
        <w:rPr>
          <w:sz w:val="16"/>
        </w:rPr>
      </w:pPr>
    </w:p>
    <w:p w:rsidR="00720777" w:rsidRDefault="00720777" w:rsidP="00C022EB">
      <w:pPr>
        <w:tabs>
          <w:tab w:val="right" w:pos="9360"/>
          <w:tab w:val="right" w:pos="9540"/>
        </w:tabs>
        <w:jc w:val="both"/>
      </w:pPr>
      <w:r>
        <w:t>Gaithersburg,</w:t>
      </w:r>
      <w:r w:rsidR="001E7627">
        <w:t> </w:t>
      </w:r>
      <w:r>
        <w:t>MD</w:t>
      </w:r>
      <w:r w:rsidR="001E7627">
        <w:t> </w:t>
      </w:r>
      <w:r>
        <w:t>20899</w:t>
      </w:r>
      <w:r>
        <w:tab/>
      </w:r>
      <w:r w:rsidR="000F38C7">
        <w:t>Robert</w:t>
      </w:r>
      <w:r w:rsidR="001E7627">
        <w:t> </w:t>
      </w:r>
      <w:r w:rsidR="000F38C7">
        <w:t>L.</w:t>
      </w:r>
      <w:r w:rsidR="001E7627">
        <w:t> </w:t>
      </w:r>
      <w:r w:rsidR="000F38C7">
        <w:t>Watters</w:t>
      </w:r>
      <w:r>
        <w:t>, Jr.,</w:t>
      </w:r>
      <w:r w:rsidR="001E7627">
        <w:t> </w:t>
      </w:r>
      <w:r w:rsidR="003918EC" w:rsidRPr="003918EC">
        <w:t>Director</w:t>
      </w:r>
    </w:p>
    <w:p w:rsidR="008777FF" w:rsidRDefault="00720777" w:rsidP="00C022EB">
      <w:pPr>
        <w:tabs>
          <w:tab w:val="right" w:pos="9360"/>
          <w:tab w:val="right" w:pos="9540"/>
        </w:tabs>
        <w:jc w:val="both"/>
      </w:pPr>
      <w:r>
        <w:t>Certificate Issue Date:</w:t>
      </w:r>
      <w:r w:rsidR="001E7627">
        <w:t>  </w:t>
      </w:r>
      <w:r w:rsidR="0044436B">
        <w:t>31</w:t>
      </w:r>
      <w:r w:rsidR="0044436B">
        <w:t> </w:t>
      </w:r>
      <w:r w:rsidR="00C23F4F">
        <w:t>December</w:t>
      </w:r>
      <w:r w:rsidR="001E7627">
        <w:t> </w:t>
      </w:r>
      <w:r>
        <w:t>20</w:t>
      </w:r>
      <w:r w:rsidR="00D65397">
        <w:t>1</w:t>
      </w:r>
      <w:r w:rsidR="00C23F4F">
        <w:t>5</w:t>
      </w:r>
      <w:r>
        <w:tab/>
      </w:r>
      <w:r w:rsidR="003918EC" w:rsidRPr="003918EC">
        <w:t>Office of Reference Materials</w:t>
      </w:r>
    </w:p>
    <w:p w:rsidR="008A4D20" w:rsidRDefault="00B863A5" w:rsidP="00C022EB">
      <w:pPr>
        <w:pStyle w:val="BlockText"/>
        <w:widowControl/>
        <w:ind w:left="0" w:right="0"/>
        <w:jc w:val="left"/>
        <w:rPr>
          <w:i/>
          <w:sz w:val="16"/>
          <w:szCs w:val="16"/>
        </w:rPr>
      </w:pPr>
      <w:r w:rsidRPr="00B863A5">
        <w:rPr>
          <w:i/>
          <w:sz w:val="16"/>
          <w:szCs w:val="16"/>
        </w:rPr>
        <w:t>Certificate Revision History on Page</w:t>
      </w:r>
      <w:r w:rsidR="002A4ADA">
        <w:rPr>
          <w:i/>
          <w:sz w:val="16"/>
          <w:szCs w:val="16"/>
        </w:rPr>
        <w:t> </w:t>
      </w:r>
      <w:r w:rsidR="00616DC1">
        <w:rPr>
          <w:i/>
          <w:sz w:val="16"/>
          <w:szCs w:val="16"/>
        </w:rPr>
        <w:t>4</w:t>
      </w:r>
      <w:r w:rsidRPr="00B863A5">
        <w:rPr>
          <w:i/>
          <w:sz w:val="16"/>
          <w:szCs w:val="16"/>
        </w:rPr>
        <w:br w:type="page"/>
      </w:r>
    </w:p>
    <w:p w:rsidR="008A4D20" w:rsidRPr="00846B78" w:rsidRDefault="008A4D20" w:rsidP="00C022EB">
      <w:pPr>
        <w:tabs>
          <w:tab w:val="right" w:pos="9360"/>
        </w:tabs>
        <w:jc w:val="both"/>
      </w:pPr>
      <w:r w:rsidRPr="00846B78">
        <w:lastRenderedPageBreak/>
        <w:t>Analytical measurements were performed by C.M. Beck II, T.A. Butler, Ö. </w:t>
      </w:r>
      <w:proofErr w:type="spellStart"/>
      <w:r w:rsidRPr="00846B78">
        <w:t>Ertaş</w:t>
      </w:r>
      <w:proofErr w:type="spellEnd"/>
      <w:r w:rsidRPr="00846B78">
        <w:t>, W.R. Kelly, S.E. Long, E.A. Mackey, J.L. Mann, K.E. Murphy, M.S. </w:t>
      </w:r>
      <w:proofErr w:type="spellStart"/>
      <w:r w:rsidRPr="00846B78">
        <w:t>Rearick</w:t>
      </w:r>
      <w:proofErr w:type="spellEnd"/>
      <w:r w:rsidRPr="00846B78">
        <w:t xml:space="preserve">, R.D. Vocke, Jr., L.J. Wood, and L.L. Yu of the NIST </w:t>
      </w:r>
      <w:r w:rsidR="00C23F4F" w:rsidRPr="00846B78">
        <w:t>Chemical Sciences Division</w:t>
      </w:r>
      <w:r w:rsidRPr="00846B78">
        <w:t>.  R.L. Jones and G. </w:t>
      </w:r>
      <w:proofErr w:type="spellStart"/>
      <w:r w:rsidRPr="00846B78">
        <w:t>Shakirova</w:t>
      </w:r>
      <w:proofErr w:type="spellEnd"/>
      <w:r w:rsidRPr="00846B78">
        <w:t xml:space="preserve"> at the CDC and D.E. Nixon at the Mayo Clinic</w:t>
      </w:r>
      <w:r w:rsidR="001E64F7">
        <w:t xml:space="preserve"> (</w:t>
      </w:r>
      <w:r w:rsidRPr="00846B78">
        <w:t>Rochester, MN</w:t>
      </w:r>
      <w:r w:rsidR="001E64F7">
        <w:t>)</w:t>
      </w:r>
      <w:r w:rsidRPr="00846B78">
        <w:t xml:space="preserve"> performed additional analyses.  </w:t>
      </w:r>
    </w:p>
    <w:p w:rsidR="008A4D20" w:rsidRPr="00846B78" w:rsidRDefault="008A4D20" w:rsidP="00C022EB">
      <w:pPr>
        <w:pStyle w:val="BlockText"/>
        <w:widowControl/>
        <w:ind w:left="0" w:right="0"/>
        <w:jc w:val="left"/>
      </w:pPr>
    </w:p>
    <w:p w:rsidR="003918EC" w:rsidRPr="00097217" w:rsidRDefault="003918EC" w:rsidP="003918EC">
      <w:pPr>
        <w:jc w:val="both"/>
      </w:pPr>
      <w:r w:rsidRPr="00846B78">
        <w:t>Support aspects involved in the issuance of this SRM were coordinated through the NIST Office of Reference Materials.</w:t>
      </w:r>
    </w:p>
    <w:p w:rsidR="008777FF" w:rsidRDefault="008777FF" w:rsidP="00C022EB">
      <w:pPr>
        <w:autoSpaceDE w:val="0"/>
        <w:autoSpaceDN w:val="0"/>
        <w:adjustRightInd w:val="0"/>
        <w:jc w:val="both"/>
        <w:rPr>
          <w:sz w:val="16"/>
          <w:szCs w:val="16"/>
        </w:rPr>
      </w:pPr>
    </w:p>
    <w:p w:rsidR="008777FF" w:rsidRPr="004559F7" w:rsidRDefault="00720777" w:rsidP="00C022EB">
      <w:pPr>
        <w:tabs>
          <w:tab w:val="right" w:pos="9360"/>
          <w:tab w:val="right" w:pos="9540"/>
        </w:tabs>
        <w:jc w:val="both"/>
        <w:rPr>
          <w:b/>
        </w:rPr>
      </w:pPr>
      <w:r w:rsidRPr="004559F7">
        <w:rPr>
          <w:b/>
        </w:rPr>
        <w:t>NOTICE AND WARNINGS TO USERS</w:t>
      </w:r>
    </w:p>
    <w:p w:rsidR="008777FF" w:rsidRDefault="008777FF" w:rsidP="00C022EB">
      <w:pPr>
        <w:tabs>
          <w:tab w:val="right" w:pos="9360"/>
          <w:tab w:val="right" w:pos="9540"/>
        </w:tabs>
        <w:jc w:val="both"/>
      </w:pPr>
    </w:p>
    <w:p w:rsidR="00720777" w:rsidRDefault="008777FF" w:rsidP="00C022EB">
      <w:pPr>
        <w:tabs>
          <w:tab w:val="right" w:pos="9360"/>
          <w:tab w:val="right" w:pos="9540"/>
        </w:tabs>
        <w:jc w:val="both"/>
      </w:pPr>
      <w:r>
        <w:rPr>
          <w:b/>
        </w:rPr>
        <w:t>WARNING:</w:t>
      </w:r>
      <w:r w:rsidRPr="007B0AAC">
        <w:t xml:space="preserve">  </w:t>
      </w:r>
      <w:r w:rsidR="00720777">
        <w:t>SRM</w:t>
      </w:r>
      <w:r w:rsidR="001E7627">
        <w:t> </w:t>
      </w:r>
      <w:r w:rsidR="00720777">
        <w:t xml:space="preserve">2670a IS INTENDED FOR </w:t>
      </w:r>
      <w:r w:rsidR="00C23F4F">
        <w:t>RESEARCH</w:t>
      </w:r>
      <w:r w:rsidR="00720777">
        <w:t xml:space="preserve"> USE. </w:t>
      </w:r>
      <w:r w:rsidR="002A4ADA">
        <w:t xml:space="preserve"> </w:t>
      </w:r>
      <w:r w:rsidR="00720777">
        <w:t xml:space="preserve">THIS IS A HUMAN SOURCE MATERIAL AND SHOULD BE TREATED AS A BIOHAZARDOUS SUBSTANCE CAPABLE OF TRANSMITTING INFECTIOUS DISEASE. </w:t>
      </w:r>
      <w:r w:rsidR="002A4ADA">
        <w:t xml:space="preserve"> </w:t>
      </w:r>
      <w:r w:rsidR="00720777">
        <w:t>THE RECONSTITUTED URINE SHOULD BE HANDLED WITH PRECAUTIONS SUITABLE FOR FRESH URINE.</w:t>
      </w:r>
    </w:p>
    <w:p w:rsidR="00720777" w:rsidRDefault="00720777" w:rsidP="00C022EB">
      <w:pPr>
        <w:jc w:val="both"/>
      </w:pPr>
    </w:p>
    <w:p w:rsidR="008777FF" w:rsidRPr="004559F7" w:rsidRDefault="00720777" w:rsidP="00C022EB">
      <w:pPr>
        <w:pStyle w:val="BodyText2"/>
        <w:widowControl/>
        <w:tabs>
          <w:tab w:val="clear" w:pos="9504"/>
        </w:tabs>
        <w:ind w:right="0"/>
        <w:rPr>
          <w:b/>
          <w:caps/>
        </w:rPr>
      </w:pPr>
      <w:r w:rsidRPr="004559F7">
        <w:rPr>
          <w:b/>
          <w:bCs/>
          <w:caps/>
        </w:rPr>
        <w:t xml:space="preserve">Instructions for </w:t>
      </w:r>
      <w:r w:rsidR="00876452" w:rsidRPr="004559F7">
        <w:rPr>
          <w:b/>
          <w:bCs/>
          <w:caps/>
        </w:rPr>
        <w:t xml:space="preserve">HANDLING, </w:t>
      </w:r>
      <w:r w:rsidR="008777FF" w:rsidRPr="004559F7">
        <w:rPr>
          <w:b/>
          <w:bCs/>
          <w:caps/>
        </w:rPr>
        <w:t>STORAGE</w:t>
      </w:r>
      <w:r w:rsidR="00876452" w:rsidRPr="004559F7">
        <w:rPr>
          <w:b/>
          <w:bCs/>
          <w:caps/>
        </w:rPr>
        <w:t>,</w:t>
      </w:r>
      <w:r w:rsidR="008777FF" w:rsidRPr="004559F7">
        <w:rPr>
          <w:b/>
          <w:bCs/>
          <w:caps/>
        </w:rPr>
        <w:t xml:space="preserve"> AND </w:t>
      </w:r>
      <w:r w:rsidRPr="004559F7">
        <w:rPr>
          <w:b/>
          <w:bCs/>
          <w:caps/>
        </w:rPr>
        <w:t>Use</w:t>
      </w:r>
    </w:p>
    <w:p w:rsidR="008777FF" w:rsidRDefault="008777FF" w:rsidP="00C022EB">
      <w:pPr>
        <w:pStyle w:val="BodyText2"/>
        <w:widowControl/>
        <w:tabs>
          <w:tab w:val="clear" w:pos="9504"/>
        </w:tabs>
        <w:ind w:right="0"/>
        <w:rPr>
          <w:caps/>
        </w:rPr>
      </w:pPr>
    </w:p>
    <w:p w:rsidR="008777FF" w:rsidRDefault="008777FF" w:rsidP="00C022EB">
      <w:pPr>
        <w:pStyle w:val="BodyText2"/>
        <w:widowControl/>
        <w:tabs>
          <w:tab w:val="clear" w:pos="9504"/>
        </w:tabs>
        <w:ind w:right="0"/>
      </w:pPr>
      <w:r>
        <w:t>The urine comprising SRM</w:t>
      </w:r>
      <w:r w:rsidR="001E7627">
        <w:t> </w:t>
      </w:r>
      <w:r>
        <w:t>2670a is lyophilized (freeze</w:t>
      </w:r>
      <w:r w:rsidR="001E7627">
        <w:noBreakHyphen/>
      </w:r>
      <w:r>
        <w:t>dried) material and should be stored in a refrigerator at a temperature between 2</w:t>
      </w:r>
      <w:r w:rsidR="001E7627">
        <w:t> </w:t>
      </w:r>
      <w:r>
        <w:sym w:font="Symbol" w:char="F0B0"/>
      </w:r>
      <w:r>
        <w:t>C and 8</w:t>
      </w:r>
      <w:r w:rsidR="001E7627">
        <w:t> </w:t>
      </w:r>
      <w:r>
        <w:sym w:font="Symbol" w:char="F0B0"/>
      </w:r>
      <w:r>
        <w:t xml:space="preserve">C until </w:t>
      </w:r>
      <w:r w:rsidR="000D7768">
        <w:t xml:space="preserve">required </w:t>
      </w:r>
      <w:r>
        <w:t>for use.  It should not be frozen</w:t>
      </w:r>
      <w:r w:rsidR="00672570">
        <w:t>,</w:t>
      </w:r>
      <w:r>
        <w:t xml:space="preserve"> exposed to sunlight or ultraviolet radiation.</w:t>
      </w:r>
      <w:r w:rsidR="000D7768">
        <w:t xml:space="preserve"> </w:t>
      </w:r>
      <w:r>
        <w:t xml:space="preserve"> </w:t>
      </w:r>
    </w:p>
    <w:p w:rsidR="008777FF" w:rsidRDefault="008777FF" w:rsidP="00C022EB">
      <w:pPr>
        <w:pStyle w:val="BodyText2"/>
        <w:widowControl/>
        <w:tabs>
          <w:tab w:val="clear" w:pos="9504"/>
        </w:tabs>
        <w:ind w:right="0"/>
      </w:pPr>
    </w:p>
    <w:p w:rsidR="00720777" w:rsidRDefault="008777FF" w:rsidP="00C022EB">
      <w:pPr>
        <w:pStyle w:val="BodyText2"/>
        <w:widowControl/>
        <w:tabs>
          <w:tab w:val="clear" w:pos="9504"/>
        </w:tabs>
        <w:ind w:right="0"/>
        <w:rPr>
          <w:sz w:val="16"/>
        </w:rPr>
      </w:pPr>
      <w:r>
        <w:t>F</w:t>
      </w:r>
      <w:r w:rsidR="00720777">
        <w:t xml:space="preserve">or the </w:t>
      </w:r>
      <w:r w:rsidR="000F38C7">
        <w:t xml:space="preserve">certified </w:t>
      </w:r>
      <w:r w:rsidR="002D4D99">
        <w:t xml:space="preserve">mass </w:t>
      </w:r>
      <w:r w:rsidR="00720777">
        <w:t>concentrations to be valid, this SRM must be reconstituted as follows.</w:t>
      </w:r>
      <w:r w:rsidR="00DF4341">
        <w:t xml:space="preserve"> </w:t>
      </w:r>
      <w:r w:rsidR="00720777">
        <w:t xml:space="preserve"> Remove the bottle from the refrigerator and allow it to equilibrate at room temperature before reconstitution.  Carefully remove the metal seal.  Take extra care in removing the rubber stopper, as some of the lyophilized urine may adhere to it.  Using a </w:t>
      </w:r>
      <w:proofErr w:type="gramStart"/>
      <w:r w:rsidR="00720777">
        <w:t>Type</w:t>
      </w:r>
      <w:proofErr w:type="gramEnd"/>
      <w:r w:rsidR="001E7627">
        <w:t> </w:t>
      </w:r>
      <w:r w:rsidR="00720777">
        <w:t>I, Class</w:t>
      </w:r>
      <w:r w:rsidR="001E7627">
        <w:t> </w:t>
      </w:r>
      <w:r w:rsidR="00720777">
        <w:t>A calibrated volumetric transfer pipette or other dispenser of known accuracy, add 20.00</w:t>
      </w:r>
      <w:r w:rsidR="001E7627">
        <w:t> </w:t>
      </w:r>
      <w:r w:rsidR="00720777">
        <w:t>mL of CAP/NCCLS Type</w:t>
      </w:r>
      <w:r w:rsidR="001E7627">
        <w:t> </w:t>
      </w:r>
      <w:r w:rsidR="00720777">
        <w:t>I water</w:t>
      </w:r>
      <w:r w:rsidR="001E7627">
        <w:t> </w:t>
      </w:r>
      <w:r w:rsidR="00720777">
        <w:t>[</w:t>
      </w:r>
      <w:r w:rsidR="00DF4341">
        <w:t>3</w:t>
      </w:r>
      <w:r w:rsidR="00720777">
        <w:t>] or equivalent to each bottle.  After replacing the stopper, the bottle should be allowed to stand at room temperature with occasional swirling for 30</w:t>
      </w:r>
      <w:r w:rsidR="001E7627">
        <w:t> </w:t>
      </w:r>
      <w:r w:rsidR="00720777">
        <w:t xml:space="preserve">minutes to ensure complete dissolution.  </w:t>
      </w:r>
      <w:r w:rsidR="00720777">
        <w:rPr>
          <w:b/>
          <w:bCs/>
        </w:rPr>
        <w:t>DO NOT SHAKE</w:t>
      </w:r>
      <w:r w:rsidR="00720777">
        <w:t>.  Vigorous shaking causes foaming, which may lead to an inhomogeneous distribution of the analytes within the bottle. Allow 2</w:t>
      </w:r>
      <w:r w:rsidR="001E7627">
        <w:t> </w:t>
      </w:r>
      <w:r w:rsidR="00720777">
        <w:t xml:space="preserve">h </w:t>
      </w:r>
      <w:r w:rsidR="008114BF">
        <w:t>to complete the</w:t>
      </w:r>
      <w:r w:rsidR="00720777">
        <w:t xml:space="preserve"> reconstitution.  After reconstitution, the contents should be used </w:t>
      </w:r>
      <w:r w:rsidR="00876452">
        <w:t>immediately</w:t>
      </w:r>
      <w:r w:rsidR="00720777">
        <w:t xml:space="preserve"> or stored between 2</w:t>
      </w:r>
      <w:r w:rsidR="001E7627">
        <w:t> </w:t>
      </w:r>
      <w:r w:rsidR="00720777">
        <w:sym w:font="Symbol" w:char="F0B0"/>
      </w:r>
      <w:r w:rsidR="00720777">
        <w:t>C and 8</w:t>
      </w:r>
      <w:r w:rsidR="001E7627">
        <w:t> </w:t>
      </w:r>
      <w:r w:rsidR="00720777">
        <w:sym w:font="Symbol" w:char="F0B0"/>
      </w:r>
      <w:r w:rsidR="00720777">
        <w:t xml:space="preserve">C until </w:t>
      </w:r>
      <w:r w:rsidR="00DF4341">
        <w:t xml:space="preserve">required </w:t>
      </w:r>
      <w:r w:rsidR="00720777">
        <w:t>for use, preferably within 12</w:t>
      </w:r>
      <w:r w:rsidR="001E7627">
        <w:t> </w:t>
      </w:r>
      <w:r w:rsidR="00720777">
        <w:t>h.</w:t>
      </w:r>
      <w:r w:rsidR="00DF4341">
        <w:t xml:space="preserve">  Some of the elements, most notably </w:t>
      </w:r>
      <w:r w:rsidR="00E74E07" w:rsidRPr="00E74E07">
        <w:t>mercury</w:t>
      </w:r>
      <w:r w:rsidR="00DF4341">
        <w:t xml:space="preserve">, are volatile and are progressively lost after reconstitution.  Freezing of the reconstituted material is not recommended. </w:t>
      </w:r>
      <w:r w:rsidR="00720777">
        <w:t xml:space="preserve">  </w:t>
      </w:r>
    </w:p>
    <w:p w:rsidR="00720777" w:rsidRDefault="00720777" w:rsidP="00C022EB">
      <w:pPr>
        <w:jc w:val="both"/>
        <w:rPr>
          <w:b/>
        </w:rPr>
      </w:pPr>
    </w:p>
    <w:p w:rsidR="000D5DA0" w:rsidRDefault="0075040C" w:rsidP="00C022EB">
      <w:pPr>
        <w:autoSpaceDE w:val="0"/>
        <w:autoSpaceDN w:val="0"/>
        <w:adjustRightInd w:val="0"/>
        <w:jc w:val="both"/>
        <w:rPr>
          <w:szCs w:val="24"/>
        </w:rPr>
      </w:pPr>
      <w:r>
        <w:rPr>
          <w:b/>
        </w:rPr>
        <w:t>Preparation and Analysis</w:t>
      </w:r>
      <w:r w:rsidR="00720777">
        <w:rPr>
          <w:b/>
        </w:rPr>
        <w:t>:</w:t>
      </w:r>
      <w:r w:rsidR="00593AE5" w:rsidRPr="00593AE5">
        <w:t xml:space="preserve">  </w:t>
      </w:r>
      <w:r>
        <w:t>SRM</w:t>
      </w:r>
      <w:r w:rsidR="001E7627">
        <w:t> </w:t>
      </w:r>
      <w:r>
        <w:t>2670a was prepared from</w:t>
      </w:r>
      <w:r w:rsidR="00931BC5">
        <w:t xml:space="preserve"> </w:t>
      </w:r>
      <w:r w:rsidR="006C4371">
        <w:t>80</w:t>
      </w:r>
      <w:r w:rsidR="001E7627">
        <w:t> </w:t>
      </w:r>
      <w:r w:rsidR="006C4371">
        <w:t xml:space="preserve">L </w:t>
      </w:r>
      <w:r w:rsidR="004A2521">
        <w:t xml:space="preserve">of </w:t>
      </w:r>
      <w:r w:rsidR="006C4371">
        <w:t xml:space="preserve">urine collected by CDC from </w:t>
      </w:r>
      <w:r w:rsidR="00EF179A">
        <w:t xml:space="preserve">presumably healthy adult volunteers.  </w:t>
      </w:r>
      <w:r w:rsidR="006C4371">
        <w:t>After</w:t>
      </w:r>
      <w:r w:rsidR="004215A1">
        <w:t xml:space="preserve"> pooling, homogenization, and centrifugation,</w:t>
      </w:r>
      <w:r w:rsidR="006C4371">
        <w:t xml:space="preserve"> the trace elements were </w:t>
      </w:r>
      <w:r w:rsidR="001536C1">
        <w:t>measured</w:t>
      </w:r>
      <w:r w:rsidR="004215A1">
        <w:t xml:space="preserve">. </w:t>
      </w:r>
      <w:r w:rsidR="006C4371">
        <w:t xml:space="preserve"> </w:t>
      </w:r>
      <w:r w:rsidR="004215A1">
        <w:t>The low</w:t>
      </w:r>
      <w:r w:rsidR="00634806">
        <w:noBreakHyphen/>
      </w:r>
      <w:r w:rsidR="004215A1">
        <w:t>level urine was prepared from approximately 40</w:t>
      </w:r>
      <w:r w:rsidR="001E7627">
        <w:t> </w:t>
      </w:r>
      <w:r w:rsidR="004215A1">
        <w:t>L of this pool.  The high</w:t>
      </w:r>
      <w:r w:rsidR="001E7627">
        <w:noBreakHyphen/>
      </w:r>
      <w:r w:rsidR="004215A1">
        <w:t xml:space="preserve">level urine was prepared by spiking the other </w:t>
      </w:r>
      <w:r w:rsidR="001536C1">
        <w:t>half of the</w:t>
      </w:r>
      <w:r w:rsidR="004215A1">
        <w:t xml:space="preserve"> urine with selected </w:t>
      </w:r>
      <w:r w:rsidR="001536C1">
        <w:t xml:space="preserve">elements.  </w:t>
      </w:r>
      <w:r w:rsidR="004215A1">
        <w:t>Due to the centrifugation</w:t>
      </w:r>
      <w:r w:rsidR="001536C1">
        <w:t xml:space="preserve">, </w:t>
      </w:r>
      <w:r w:rsidR="004215A1">
        <w:t>which improved sample homogeneity, neither level represents a fresh urine pool from a normal human population.</w:t>
      </w:r>
      <w:r w:rsidR="004215A1">
        <w:rPr>
          <w:szCs w:val="24"/>
        </w:rPr>
        <w:t xml:space="preserve">  </w:t>
      </w:r>
      <w:r>
        <w:rPr>
          <w:szCs w:val="24"/>
        </w:rPr>
        <w:t>The</w:t>
      </w:r>
      <w:r w:rsidR="001536C1">
        <w:rPr>
          <w:szCs w:val="24"/>
        </w:rPr>
        <w:t xml:space="preserve"> bottling and</w:t>
      </w:r>
      <w:r>
        <w:rPr>
          <w:szCs w:val="24"/>
        </w:rPr>
        <w:t xml:space="preserve"> </w:t>
      </w:r>
      <w:proofErr w:type="spellStart"/>
      <w:r>
        <w:rPr>
          <w:szCs w:val="24"/>
        </w:rPr>
        <w:t>lyophilization</w:t>
      </w:r>
      <w:proofErr w:type="spellEnd"/>
      <w:r w:rsidR="001536C1">
        <w:rPr>
          <w:szCs w:val="24"/>
        </w:rPr>
        <w:t xml:space="preserve"> </w:t>
      </w:r>
      <w:r>
        <w:rPr>
          <w:szCs w:val="24"/>
        </w:rPr>
        <w:t>operations were carried out by Bio</w:t>
      </w:r>
      <w:r w:rsidR="001E7627">
        <w:rPr>
          <w:szCs w:val="24"/>
        </w:rPr>
        <w:noBreakHyphen/>
      </w:r>
      <w:r>
        <w:rPr>
          <w:szCs w:val="24"/>
        </w:rPr>
        <w:t>Rad Laboratories</w:t>
      </w:r>
      <w:r w:rsidR="00E74E07">
        <w:rPr>
          <w:szCs w:val="24"/>
        </w:rPr>
        <w:t xml:space="preserve"> (</w:t>
      </w:r>
      <w:r>
        <w:rPr>
          <w:szCs w:val="24"/>
        </w:rPr>
        <w:t>Hercules,</w:t>
      </w:r>
      <w:r w:rsidR="001E7627">
        <w:rPr>
          <w:szCs w:val="24"/>
        </w:rPr>
        <w:t> </w:t>
      </w:r>
      <w:r>
        <w:rPr>
          <w:szCs w:val="24"/>
        </w:rPr>
        <w:t>CA</w:t>
      </w:r>
      <w:r w:rsidR="00E74E07">
        <w:rPr>
          <w:szCs w:val="24"/>
        </w:rPr>
        <w:t>)</w:t>
      </w:r>
      <w:r>
        <w:rPr>
          <w:szCs w:val="24"/>
        </w:rPr>
        <w:t>.</w:t>
      </w:r>
      <w:r w:rsidR="00163B02">
        <w:rPr>
          <w:szCs w:val="24"/>
        </w:rPr>
        <w:t xml:space="preserve">  Value assignment of the concentrations of elements in SRM</w:t>
      </w:r>
      <w:r w:rsidR="001E7627">
        <w:rPr>
          <w:szCs w:val="24"/>
        </w:rPr>
        <w:t> </w:t>
      </w:r>
      <w:r w:rsidR="00163B02">
        <w:rPr>
          <w:szCs w:val="24"/>
        </w:rPr>
        <w:t>2670a was based on the combination of results provided using methods listed in Appendix</w:t>
      </w:r>
      <w:r w:rsidR="001E7627">
        <w:rPr>
          <w:szCs w:val="24"/>
        </w:rPr>
        <w:t> </w:t>
      </w:r>
      <w:r w:rsidR="00163B02">
        <w:rPr>
          <w:szCs w:val="24"/>
        </w:rPr>
        <w:t>A.</w:t>
      </w:r>
    </w:p>
    <w:p w:rsidR="000D5DA0" w:rsidRDefault="000D5DA0" w:rsidP="00C022EB">
      <w:pPr>
        <w:autoSpaceDE w:val="0"/>
        <w:autoSpaceDN w:val="0"/>
        <w:adjustRightInd w:val="0"/>
        <w:jc w:val="both"/>
        <w:rPr>
          <w:szCs w:val="24"/>
        </w:rPr>
      </w:pPr>
    </w:p>
    <w:p w:rsidR="00F63816" w:rsidRPr="00F63816" w:rsidRDefault="00163B02" w:rsidP="00F63816">
      <w:pPr>
        <w:spacing w:line="240" w:lineRule="exact"/>
        <w:jc w:val="both"/>
      </w:pPr>
      <w:r>
        <w:rPr>
          <w:b/>
          <w:szCs w:val="24"/>
        </w:rPr>
        <w:t xml:space="preserve">Certified </w:t>
      </w:r>
      <w:r w:rsidR="002D4D99">
        <w:rPr>
          <w:b/>
          <w:szCs w:val="24"/>
        </w:rPr>
        <w:t xml:space="preserve">Mass </w:t>
      </w:r>
      <w:r>
        <w:rPr>
          <w:b/>
          <w:szCs w:val="24"/>
        </w:rPr>
        <w:t xml:space="preserve">Concentration Values:  </w:t>
      </w:r>
      <w:r>
        <w:t xml:space="preserve">The certified </w:t>
      </w:r>
      <w:r w:rsidR="002D4D99">
        <w:t xml:space="preserve">mass concentration </w:t>
      </w:r>
      <w:r>
        <w:t>values for cadmium, iodine, lead, mercury, thallium, thorium</w:t>
      </w:r>
      <w:r w:rsidR="00DF4341">
        <w:t>,</w:t>
      </w:r>
      <w:r>
        <w:t xml:space="preserve"> and uranium are the means of results obtained by NIST using isotope dilution</w:t>
      </w:r>
      <w:r w:rsidR="005A50DE">
        <w:noBreakHyphen/>
      </w:r>
      <w:r>
        <w:t>inductively coupled plasma mass spectrometry</w:t>
      </w:r>
      <w:r w:rsidR="005A50DE">
        <w:t> </w:t>
      </w:r>
      <w:r>
        <w:t>(ID</w:t>
      </w:r>
      <w:r w:rsidR="001E7627">
        <w:noBreakHyphen/>
      </w:r>
      <w:r>
        <w:t xml:space="preserve">ICPMS).  The expanded uncertainties are calculated as prediction intervals where </w:t>
      </w:r>
      <w:r>
        <w:rPr>
          <w:i/>
          <w:iCs/>
        </w:rPr>
        <w:t>U</w:t>
      </w:r>
      <w:r w:rsidR="001E7627">
        <w:rPr>
          <w:i/>
          <w:iCs/>
        </w:rPr>
        <w:t> </w:t>
      </w:r>
      <w:r>
        <w:t>=</w:t>
      </w:r>
      <w:r w:rsidR="001E7627">
        <w:t> </w:t>
      </w:r>
      <w:r>
        <w:rPr>
          <w:i/>
          <w:iCs/>
        </w:rPr>
        <w:t>ku</w:t>
      </w:r>
      <w:r>
        <w:rPr>
          <w:vertAlign w:val="subscript"/>
        </w:rPr>
        <w:t>c</w:t>
      </w:r>
      <w:r>
        <w:t xml:space="preserve">.  The uncertainty component </w:t>
      </w:r>
      <w:r>
        <w:rPr>
          <w:i/>
          <w:iCs/>
        </w:rPr>
        <w:t>u</w:t>
      </w:r>
      <w:r>
        <w:rPr>
          <w:vertAlign w:val="subscript"/>
        </w:rPr>
        <w:t>c</w:t>
      </w:r>
      <w:r>
        <w:t xml:space="preserve"> is intended to represent, at the level of one standard deviation, the combined standard uncertainty calculated according to the ISO</w:t>
      </w:r>
      <w:r w:rsidR="003918EC">
        <w:t>/JCGM</w:t>
      </w:r>
      <w:r>
        <w:t xml:space="preserve"> Guide</w:t>
      </w:r>
      <w:r w:rsidR="001E7627">
        <w:t> </w:t>
      </w:r>
      <w:r>
        <w:t>[</w:t>
      </w:r>
      <w:r w:rsidR="00DF4341">
        <w:t>4</w:t>
      </w:r>
      <w:r>
        <w:t xml:space="preserve">].  The coverage factor, </w:t>
      </w:r>
      <w:r>
        <w:rPr>
          <w:i/>
        </w:rPr>
        <w:t>k</w:t>
      </w:r>
      <w:r>
        <w:t xml:space="preserve">, is determined from the Student’s </w:t>
      </w:r>
      <w:r>
        <w:rPr>
          <w:i/>
          <w:iCs/>
        </w:rPr>
        <w:t>t</w:t>
      </w:r>
      <w:r w:rsidR="001E7627">
        <w:rPr>
          <w:i/>
          <w:iCs/>
        </w:rPr>
        <w:noBreakHyphen/>
      </w:r>
      <w:r>
        <w:t>distribution for the appropriate degrees of freedom to yield 95</w:t>
      </w:r>
      <w:r w:rsidR="001E7627">
        <w:t> </w:t>
      </w:r>
      <w:r>
        <w:t>% confidence.  The certified</w:t>
      </w:r>
      <w:r w:rsidR="002D4D99">
        <w:t xml:space="preserve"> mass concentration</w:t>
      </w:r>
      <w:r>
        <w:t xml:space="preserve"> values and uncertainties for the remaining elements are derived from the results of at least one analysis performed at NIST and independent results from one or more methods </w:t>
      </w:r>
      <w:r w:rsidR="001536C1">
        <w:t xml:space="preserve">performed </w:t>
      </w:r>
      <w:r>
        <w:t>by the CDC and/or the Mayo Clinic</w:t>
      </w:r>
      <w:r w:rsidR="001E64F7">
        <w:t>,</w:t>
      </w:r>
      <w:r>
        <w:t xml:space="preserve"> using the approach described by </w:t>
      </w:r>
      <w:proofErr w:type="spellStart"/>
      <w:r>
        <w:t>Levenson</w:t>
      </w:r>
      <w:proofErr w:type="spellEnd"/>
      <w:r>
        <w:t xml:space="preserve"> </w:t>
      </w:r>
      <w:r w:rsidR="00593AE5" w:rsidRPr="00593AE5">
        <w:rPr>
          <w:iCs/>
        </w:rPr>
        <w:t>et</w:t>
      </w:r>
      <w:r w:rsidR="00593AE5" w:rsidRPr="00593AE5">
        <w:rPr>
          <w:iCs/>
        </w:rPr>
        <w:noBreakHyphen/>
        <w:t>al</w:t>
      </w:r>
      <w:r>
        <w:rPr>
          <w:i/>
          <w:iCs/>
        </w:rPr>
        <w:t>.</w:t>
      </w:r>
      <w:r w:rsidR="001E7627">
        <w:rPr>
          <w:i/>
          <w:iCs/>
        </w:rPr>
        <w:t> </w:t>
      </w:r>
      <w:r>
        <w:t>[</w:t>
      </w:r>
      <w:r w:rsidR="00DF4341">
        <w:t>5</w:t>
      </w:r>
      <w:r>
        <w:t xml:space="preserve">] for combining results from multiple methods.  Multiple </w:t>
      </w:r>
      <w:r w:rsidR="001536C1">
        <w:t xml:space="preserve">sets of </w:t>
      </w:r>
      <w:r>
        <w:t xml:space="preserve">results from the laboratories outside NIST were first combined to give a single value and uncertainty before being combined with the NIST results.  The certified value is an unweighted mean of the results from NIST and these laboratories.  The uncertainty listed with each value is an expanded uncertainty about the mean, </w:t>
      </w:r>
      <w:r>
        <w:rPr>
          <w:i/>
          <w:iCs/>
        </w:rPr>
        <w:t>U</w:t>
      </w:r>
      <w:r w:rsidR="001E7627">
        <w:rPr>
          <w:i/>
          <w:iCs/>
        </w:rPr>
        <w:t> </w:t>
      </w:r>
      <w:r>
        <w:t>=</w:t>
      </w:r>
      <w:r w:rsidR="001E7627">
        <w:t> </w:t>
      </w:r>
      <w:r>
        <w:rPr>
          <w:i/>
          <w:iCs/>
        </w:rPr>
        <w:t>ku</w:t>
      </w:r>
      <w:r>
        <w:rPr>
          <w:vertAlign w:val="subscript"/>
        </w:rPr>
        <w:t>c</w:t>
      </w:r>
      <w:r>
        <w:t xml:space="preserve">, with a coverage factor </w:t>
      </w:r>
      <w:r>
        <w:rPr>
          <w:i/>
        </w:rPr>
        <w:t>k</w:t>
      </w:r>
      <w:r>
        <w:t xml:space="preserve"> determined from the Student’s </w:t>
      </w:r>
      <w:r>
        <w:rPr>
          <w:i/>
          <w:iCs/>
        </w:rPr>
        <w:t>t</w:t>
      </w:r>
      <w:r w:rsidR="001E7627">
        <w:rPr>
          <w:i/>
          <w:iCs/>
        </w:rPr>
        <w:noBreakHyphen/>
      </w:r>
      <w:r>
        <w:t>distribution for the appropriate degrees of freedom to yield 95</w:t>
      </w:r>
      <w:r w:rsidR="001E7627">
        <w:t> </w:t>
      </w:r>
      <w:r>
        <w:t xml:space="preserve">% confidence.  Each </w:t>
      </w:r>
      <w:r>
        <w:rPr>
          <w:i/>
          <w:iCs/>
        </w:rPr>
        <w:t>u</w:t>
      </w:r>
      <w:r>
        <w:rPr>
          <w:vertAlign w:val="subscript"/>
        </w:rPr>
        <w:t>c</w:t>
      </w:r>
      <w:r>
        <w:t xml:space="preserve"> is calculated by combining a between</w:t>
      </w:r>
      <w:r w:rsidR="001E7627">
        <w:noBreakHyphen/>
      </w:r>
      <w:r>
        <w:t>method variance</w:t>
      </w:r>
      <w:r w:rsidR="001E7627">
        <w:t> </w:t>
      </w:r>
      <w:r>
        <w:t>[</w:t>
      </w:r>
      <w:r w:rsidR="00DF4341">
        <w:t>5</w:t>
      </w:r>
      <w:r>
        <w:t>] with a pooled, within</w:t>
      </w:r>
      <w:r w:rsidR="001E7627">
        <w:noBreakHyphen/>
      </w:r>
      <w:r>
        <w:t>method variance</w:t>
      </w:r>
      <w:r w:rsidR="001E7627">
        <w:t> </w:t>
      </w:r>
      <w:r>
        <w:t>[</w:t>
      </w:r>
      <w:r w:rsidR="00DF4341">
        <w:t>4</w:t>
      </w:r>
      <w:r>
        <w:t>].  Analytical methods are listed in Appendix</w:t>
      </w:r>
      <w:r w:rsidR="001E7627">
        <w:t> </w:t>
      </w:r>
      <w:r>
        <w:t>A.</w:t>
      </w:r>
      <w:r w:rsidR="00F63816" w:rsidRPr="00F63816">
        <w:t xml:space="preserve"> </w:t>
      </w:r>
      <w:r w:rsidR="00F63816">
        <w:t xml:space="preserve"> </w:t>
      </w:r>
      <w:r w:rsidR="00F63816" w:rsidRPr="00F63816">
        <w:t>The measurand is the mass concentration value for each element reported in Table </w:t>
      </w:r>
      <w:r w:rsidR="00F63816">
        <w:t>1</w:t>
      </w:r>
      <w:r w:rsidR="00F63816" w:rsidRPr="00F63816">
        <w:t>.  Metrological traceability is to the SI derived unit for mass concentration (expressed as micrograms per liter).</w:t>
      </w:r>
    </w:p>
    <w:p w:rsidR="00163B02" w:rsidRDefault="00163B02" w:rsidP="00FD1EE7">
      <w:pPr>
        <w:spacing w:line="240" w:lineRule="exact"/>
        <w:jc w:val="both"/>
      </w:pPr>
    </w:p>
    <w:p w:rsidR="000D5DA0" w:rsidRDefault="00164588" w:rsidP="00C022EB">
      <w:pPr>
        <w:autoSpaceDE w:val="0"/>
        <w:autoSpaceDN w:val="0"/>
        <w:adjustRightInd w:val="0"/>
        <w:jc w:val="both"/>
      </w:pPr>
      <w:r>
        <w:t>Density measurements made on the reconstituted material with a micro</w:t>
      </w:r>
      <w:r w:rsidR="001E7627">
        <w:noBreakHyphen/>
      </w:r>
      <w:r>
        <w:t>pycnometer gave mean and expanded uncertainty (</w:t>
      </w:r>
      <w:r w:rsidRPr="00164588">
        <w:rPr>
          <w:i/>
        </w:rPr>
        <w:t>k</w:t>
      </w:r>
      <w:r w:rsidR="001E7627">
        <w:rPr>
          <w:i/>
        </w:rPr>
        <w:t> </w:t>
      </w:r>
      <w:r>
        <w:t>=</w:t>
      </w:r>
      <w:r w:rsidR="001E7627">
        <w:t> </w:t>
      </w:r>
      <w:r>
        <w:t>2.31, 95</w:t>
      </w:r>
      <w:r w:rsidR="001E7627">
        <w:t> </w:t>
      </w:r>
      <w:r>
        <w:t>% confidence) of 1.0024</w:t>
      </w:r>
      <w:r w:rsidR="001E7627">
        <w:t> </w:t>
      </w:r>
      <w:r>
        <w:t>g/mL</w:t>
      </w:r>
      <w:r w:rsidR="001E7627">
        <w:t> </w:t>
      </w:r>
      <w:r w:rsidR="001C2E42" w:rsidRPr="00D76287">
        <w:rPr>
          <w:spacing w:val="-4"/>
        </w:rPr>
        <w:sym w:font="Symbol" w:char="F0B1"/>
      </w:r>
      <w:r w:rsidR="001E7627">
        <w:t> </w:t>
      </w:r>
      <w:r>
        <w:t>0.0003</w:t>
      </w:r>
      <w:r w:rsidR="001E7627">
        <w:t> </w:t>
      </w:r>
      <w:r>
        <w:t>g/mL for both levels of SRM</w:t>
      </w:r>
      <w:r w:rsidR="001E7627">
        <w:t> </w:t>
      </w:r>
      <w:r>
        <w:t>2670a.</w:t>
      </w:r>
    </w:p>
    <w:p w:rsidR="00C23F4F" w:rsidRDefault="00C23F4F">
      <w:r>
        <w:br w:type="page"/>
      </w:r>
    </w:p>
    <w:p w:rsidR="00720777" w:rsidRDefault="00720777" w:rsidP="00C022EB">
      <w:pPr>
        <w:jc w:val="center"/>
      </w:pPr>
      <w:r>
        <w:lastRenderedPageBreak/>
        <w:t>Table</w:t>
      </w:r>
      <w:r w:rsidR="001E7627">
        <w:t> </w:t>
      </w:r>
      <w:r>
        <w:t xml:space="preserve">1.  Certified </w:t>
      </w:r>
      <w:r w:rsidR="006C77F6">
        <w:t xml:space="preserve">Mass </w:t>
      </w:r>
      <w:r>
        <w:t>Concentration Values</w:t>
      </w:r>
    </w:p>
    <w:p w:rsidR="002F0CAF" w:rsidRDefault="002F0CAF" w:rsidP="00C022EB">
      <w:pPr>
        <w:jc w:val="center"/>
      </w:pPr>
    </w:p>
    <w:p w:rsidR="00766605" w:rsidRDefault="002F0CAF" w:rsidP="00C022EB">
      <w:pPr>
        <w:tabs>
          <w:tab w:val="left" w:pos="2430"/>
          <w:tab w:val="left" w:pos="3600"/>
          <w:tab w:val="left" w:pos="6210"/>
          <w:tab w:val="left" w:pos="7650"/>
        </w:tabs>
        <w:jc w:val="both"/>
      </w:pPr>
      <w:r>
        <w:tab/>
        <w:t>Low Level</w:t>
      </w:r>
      <w:r>
        <w:tab/>
        <w:t xml:space="preserve">Coverage Factor, </w:t>
      </w:r>
      <w:r w:rsidR="00696EB9" w:rsidRPr="00696EB9">
        <w:rPr>
          <w:i/>
        </w:rPr>
        <w:t>k</w:t>
      </w:r>
      <w:r>
        <w:tab/>
        <w:t>High Level</w:t>
      </w:r>
      <w:r w:rsidRPr="002F0CAF">
        <w:t xml:space="preserve"> </w:t>
      </w:r>
      <w:r>
        <w:tab/>
        <w:t xml:space="preserve">Coverage Factor, </w:t>
      </w:r>
      <w:r w:rsidR="00696EB9" w:rsidRPr="00696EB9">
        <w:rPr>
          <w:i/>
        </w:rPr>
        <w:t>k</w:t>
      </w:r>
    </w:p>
    <w:p w:rsidR="00766605" w:rsidRDefault="002F0CAF" w:rsidP="00C022EB">
      <w:pPr>
        <w:tabs>
          <w:tab w:val="left" w:pos="2610"/>
          <w:tab w:val="left" w:pos="6390"/>
        </w:tabs>
        <w:jc w:val="both"/>
      </w:pPr>
      <w:r>
        <w:tab/>
        <w:t>(</w:t>
      </w:r>
      <w:r w:rsidRPr="00615A90">
        <w:t>µg/L</w:t>
      </w:r>
      <w:r>
        <w:t>)</w:t>
      </w:r>
      <w:r w:rsidRPr="002F0CAF">
        <w:t xml:space="preserve"> </w:t>
      </w:r>
      <w:r>
        <w:tab/>
      </w:r>
      <w:r w:rsidR="002C2FDA">
        <w:t>(</w:t>
      </w:r>
      <w:r>
        <w:t>µg/L</w:t>
      </w:r>
      <w:r w:rsidR="002C2FDA">
        <w:t>)</w:t>
      </w:r>
    </w:p>
    <w:p w:rsidR="00C50276" w:rsidRDefault="00C50276" w:rsidP="00C022EB">
      <w:pPr>
        <w:jc w:val="center"/>
      </w:pPr>
    </w:p>
    <w:p w:rsidR="00766605" w:rsidRDefault="00C50276" w:rsidP="00C022EB">
      <w:pPr>
        <w:tabs>
          <w:tab w:val="left" w:pos="360"/>
          <w:tab w:val="decimal" w:pos="2070"/>
          <w:tab w:val="left" w:pos="2790"/>
          <w:tab w:val="decimal" w:pos="3240"/>
          <w:tab w:val="left" w:pos="4230"/>
          <w:tab w:val="decimal" w:pos="5940"/>
          <w:tab w:val="left" w:pos="6660"/>
          <w:tab w:val="decimal" w:pos="7110"/>
          <w:tab w:val="left" w:pos="8280"/>
        </w:tabs>
        <w:jc w:val="both"/>
      </w:pPr>
      <w:r>
        <w:tab/>
        <w:t>Antimony</w:t>
      </w:r>
      <w:r>
        <w:tab/>
        <w:t>0.971</w:t>
      </w:r>
      <w:r>
        <w:tab/>
      </w:r>
      <w:r w:rsidRPr="00D76287">
        <w:rPr>
          <w:spacing w:val="-4"/>
        </w:rPr>
        <w:sym w:font="Symbol" w:char="F0B1"/>
      </w:r>
      <w:r>
        <w:rPr>
          <w:spacing w:val="-4"/>
        </w:rPr>
        <w:tab/>
      </w:r>
      <w:r>
        <w:t>0.033</w:t>
      </w:r>
      <w:r>
        <w:tab/>
        <w:t>2.</w:t>
      </w:r>
      <w:r w:rsidR="002D7C22">
        <w:t>45</w:t>
      </w:r>
      <w:r>
        <w:tab/>
        <w:t>0.824</w:t>
      </w:r>
      <w:r>
        <w:tab/>
      </w:r>
      <w:r w:rsidRPr="00D76287">
        <w:rPr>
          <w:spacing w:val="-4"/>
        </w:rPr>
        <w:sym w:font="Symbol" w:char="F0B1"/>
      </w:r>
      <w:r>
        <w:rPr>
          <w:spacing w:val="-4"/>
        </w:rPr>
        <w:tab/>
      </w:r>
      <w:r>
        <w:t>0.070</w:t>
      </w:r>
      <w:r>
        <w:tab/>
        <w:t>2.57</w:t>
      </w:r>
    </w:p>
    <w:p w:rsidR="00766605" w:rsidRDefault="00C50276" w:rsidP="00C022EB">
      <w:pPr>
        <w:tabs>
          <w:tab w:val="left" w:pos="360"/>
          <w:tab w:val="decimal" w:pos="2070"/>
          <w:tab w:val="left" w:pos="2790"/>
          <w:tab w:val="decimal" w:pos="3240"/>
          <w:tab w:val="left" w:pos="4230"/>
          <w:tab w:val="decimal" w:pos="5940"/>
          <w:tab w:val="left" w:pos="6660"/>
          <w:tab w:val="decimal" w:pos="7110"/>
          <w:tab w:val="left" w:pos="8280"/>
        </w:tabs>
        <w:jc w:val="both"/>
        <w:rPr>
          <w:spacing w:val="-4"/>
        </w:rPr>
      </w:pPr>
      <w:r>
        <w:tab/>
        <w:t>Cadmium</w:t>
      </w:r>
      <w:r>
        <w:tab/>
        <w:t>0.059 1</w:t>
      </w:r>
      <w:r>
        <w:tab/>
      </w:r>
      <w:r w:rsidRPr="00D76287">
        <w:rPr>
          <w:spacing w:val="-4"/>
        </w:rPr>
        <w:sym w:font="Symbol" w:char="F0B1"/>
      </w:r>
      <w:r>
        <w:rPr>
          <w:spacing w:val="-4"/>
        </w:rPr>
        <w:tab/>
        <w:t>0.003 4</w:t>
      </w:r>
      <w:r>
        <w:rPr>
          <w:spacing w:val="-4"/>
        </w:rPr>
        <w:tab/>
        <w:t>2.36</w:t>
      </w:r>
      <w:r w:rsidR="002F0CAF">
        <w:rPr>
          <w:spacing w:val="-4"/>
        </w:rPr>
        <w:tab/>
        <w:t>5.16</w:t>
      </w:r>
      <w:r w:rsidR="002F0CAF">
        <w:rPr>
          <w:spacing w:val="-4"/>
        </w:rPr>
        <w:tab/>
      </w:r>
      <w:r w:rsidR="002F0CAF" w:rsidRPr="00D76287">
        <w:rPr>
          <w:spacing w:val="-4"/>
        </w:rPr>
        <w:sym w:font="Symbol" w:char="F0B1"/>
      </w:r>
      <w:r w:rsidR="002F0CAF">
        <w:rPr>
          <w:spacing w:val="-4"/>
        </w:rPr>
        <w:tab/>
        <w:t>0.11</w:t>
      </w:r>
      <w:r w:rsidR="002F0CAF">
        <w:rPr>
          <w:spacing w:val="-4"/>
        </w:rPr>
        <w:tab/>
        <w:t>2.01</w:t>
      </w:r>
    </w:p>
    <w:p w:rsidR="00766605" w:rsidRDefault="00766605" w:rsidP="00C022EB">
      <w:pPr>
        <w:tabs>
          <w:tab w:val="left" w:pos="360"/>
          <w:tab w:val="decimal" w:pos="2070"/>
          <w:tab w:val="left" w:pos="2790"/>
          <w:tab w:val="decimal" w:pos="3240"/>
          <w:tab w:val="left" w:pos="4230"/>
          <w:tab w:val="decimal" w:pos="5940"/>
          <w:tab w:val="left" w:pos="6660"/>
          <w:tab w:val="decimal" w:pos="7110"/>
          <w:tab w:val="left" w:pos="8280"/>
        </w:tabs>
        <w:jc w:val="both"/>
        <w:rPr>
          <w:spacing w:val="-4"/>
        </w:rPr>
      </w:pPr>
      <w:r>
        <w:rPr>
          <w:spacing w:val="-4"/>
        </w:rPr>
        <w:tab/>
        <w:t>Cesium</w:t>
      </w:r>
      <w:r>
        <w:rPr>
          <w:spacing w:val="-4"/>
        </w:rPr>
        <w:tab/>
      </w:r>
      <w:r>
        <w:t>1.075</w:t>
      </w:r>
      <w:r>
        <w:tab/>
      </w:r>
      <w:r w:rsidRPr="00D76287">
        <w:rPr>
          <w:spacing w:val="-4"/>
        </w:rPr>
        <w:sym w:font="Symbol" w:char="F0B1"/>
      </w:r>
      <w:r>
        <w:rPr>
          <w:spacing w:val="-4"/>
        </w:rPr>
        <w:tab/>
      </w:r>
      <w:r>
        <w:t>0.031</w:t>
      </w:r>
      <w:r>
        <w:tab/>
        <w:t>2.57</w:t>
      </w:r>
      <w:r>
        <w:tab/>
        <w:t>1.085</w:t>
      </w:r>
      <w:r>
        <w:tab/>
      </w:r>
      <w:r w:rsidRPr="00D76287">
        <w:rPr>
          <w:spacing w:val="-4"/>
        </w:rPr>
        <w:sym w:font="Symbol" w:char="F0B1"/>
      </w:r>
      <w:r>
        <w:rPr>
          <w:spacing w:val="-4"/>
        </w:rPr>
        <w:tab/>
      </w:r>
      <w:r>
        <w:t>0.052</w:t>
      </w:r>
      <w:r>
        <w:tab/>
        <w:t>2.31</w:t>
      </w:r>
    </w:p>
    <w:p w:rsidR="0081248C" w:rsidRDefault="00766605" w:rsidP="00C022EB">
      <w:pPr>
        <w:tabs>
          <w:tab w:val="left" w:pos="360"/>
          <w:tab w:val="decimal" w:pos="2070"/>
          <w:tab w:val="left" w:pos="2790"/>
          <w:tab w:val="decimal" w:pos="3240"/>
          <w:tab w:val="left" w:pos="4230"/>
          <w:tab w:val="decimal" w:pos="5940"/>
          <w:tab w:val="left" w:pos="6660"/>
          <w:tab w:val="decimal" w:pos="7110"/>
          <w:tab w:val="left" w:pos="8280"/>
        </w:tabs>
        <w:jc w:val="both"/>
      </w:pPr>
      <w:r>
        <w:tab/>
        <w:t>Cobalt</w:t>
      </w:r>
      <w:r>
        <w:tab/>
        <w:t>0.166</w:t>
      </w:r>
      <w:r>
        <w:tab/>
      </w:r>
      <w:r w:rsidRPr="00D76287">
        <w:rPr>
          <w:spacing w:val="-4"/>
        </w:rPr>
        <w:sym w:font="Symbol" w:char="F0B1"/>
      </w:r>
      <w:r>
        <w:rPr>
          <w:spacing w:val="-4"/>
        </w:rPr>
        <w:tab/>
      </w:r>
      <w:r>
        <w:t>0.040</w:t>
      </w:r>
      <w:r>
        <w:tab/>
        <w:t>2.09</w:t>
      </w:r>
      <w:r>
        <w:tab/>
        <w:t>51.2</w:t>
      </w:r>
      <w:r>
        <w:tab/>
      </w:r>
      <w:r w:rsidRPr="00D76287">
        <w:rPr>
          <w:spacing w:val="-4"/>
        </w:rPr>
        <w:sym w:font="Symbol" w:char="F0B1"/>
      </w:r>
      <w:r>
        <w:rPr>
          <w:spacing w:val="-4"/>
        </w:rPr>
        <w:tab/>
      </w:r>
      <w:r>
        <w:t>3.2</w:t>
      </w:r>
      <w:r>
        <w:tab/>
        <w:t>2.23</w:t>
      </w:r>
    </w:p>
    <w:p w:rsidR="00766605" w:rsidRDefault="00766605" w:rsidP="00C022EB">
      <w:pPr>
        <w:tabs>
          <w:tab w:val="left" w:pos="360"/>
          <w:tab w:val="decimal" w:pos="2070"/>
          <w:tab w:val="left" w:pos="2790"/>
          <w:tab w:val="decimal" w:pos="3240"/>
          <w:tab w:val="left" w:pos="4230"/>
          <w:tab w:val="decimal" w:pos="5940"/>
          <w:tab w:val="left" w:pos="6660"/>
          <w:tab w:val="decimal" w:pos="7110"/>
          <w:tab w:val="left" w:pos="8280"/>
        </w:tabs>
        <w:jc w:val="both"/>
      </w:pPr>
      <w:r>
        <w:tab/>
        <w:t>Iodine</w:t>
      </w:r>
      <w:r w:rsidR="00876452" w:rsidRPr="00876452">
        <w:rPr>
          <w:vertAlign w:val="superscript"/>
        </w:rPr>
        <w:t>(</w:t>
      </w:r>
      <w:r>
        <w:rPr>
          <w:vertAlign w:val="superscript"/>
        </w:rPr>
        <w:t>a</w:t>
      </w:r>
      <w:r w:rsidR="00876452">
        <w:rPr>
          <w:vertAlign w:val="superscript"/>
        </w:rPr>
        <w:t>)</w:t>
      </w:r>
      <w:r>
        <w:rPr>
          <w:vertAlign w:val="superscript"/>
        </w:rPr>
        <w:tab/>
      </w:r>
      <w:r>
        <w:t>88.2</w:t>
      </w:r>
      <w:r>
        <w:tab/>
      </w:r>
      <w:r w:rsidRPr="00D76287">
        <w:rPr>
          <w:spacing w:val="-4"/>
        </w:rPr>
        <w:sym w:font="Symbol" w:char="F0B1"/>
      </w:r>
      <w:r>
        <w:rPr>
          <w:spacing w:val="-4"/>
        </w:rPr>
        <w:tab/>
      </w:r>
      <w:r>
        <w:t>1.1</w:t>
      </w:r>
      <w:r>
        <w:tab/>
        <w:t>2.00</w:t>
      </w:r>
      <w:r>
        <w:tab/>
        <w:t>88.2</w:t>
      </w:r>
      <w:r>
        <w:tab/>
      </w:r>
      <w:r w:rsidRPr="00D76287">
        <w:rPr>
          <w:spacing w:val="-4"/>
        </w:rPr>
        <w:sym w:font="Symbol" w:char="F0B1"/>
      </w:r>
      <w:r>
        <w:rPr>
          <w:spacing w:val="-4"/>
        </w:rPr>
        <w:tab/>
      </w:r>
      <w:r>
        <w:t>1.1</w:t>
      </w:r>
      <w:r>
        <w:tab/>
        <w:t>2.00</w:t>
      </w:r>
    </w:p>
    <w:p w:rsidR="00766605" w:rsidRDefault="00766605" w:rsidP="00C022EB">
      <w:pPr>
        <w:tabs>
          <w:tab w:val="left" w:pos="360"/>
          <w:tab w:val="decimal" w:pos="2070"/>
          <w:tab w:val="left" w:pos="2790"/>
          <w:tab w:val="decimal" w:pos="3240"/>
          <w:tab w:val="left" w:pos="4230"/>
          <w:tab w:val="decimal" w:pos="5940"/>
          <w:tab w:val="left" w:pos="6660"/>
          <w:tab w:val="decimal" w:pos="7110"/>
          <w:tab w:val="left" w:pos="8280"/>
        </w:tabs>
        <w:jc w:val="both"/>
      </w:pPr>
      <w:r>
        <w:tab/>
        <w:t>Lead</w:t>
      </w:r>
      <w:r>
        <w:tab/>
        <w:t>0.49</w:t>
      </w:r>
      <w:r>
        <w:tab/>
      </w:r>
      <w:r w:rsidRPr="00D76287">
        <w:rPr>
          <w:spacing w:val="-4"/>
        </w:rPr>
        <w:sym w:font="Symbol" w:char="F0B1"/>
      </w:r>
      <w:r>
        <w:rPr>
          <w:spacing w:val="-4"/>
        </w:rPr>
        <w:tab/>
      </w:r>
      <w:r>
        <w:t>0.16</w:t>
      </w:r>
      <w:r>
        <w:tab/>
        <w:t>2.57</w:t>
      </w:r>
      <w:r>
        <w:tab/>
        <w:t>249.9</w:t>
      </w:r>
      <w:r>
        <w:tab/>
      </w:r>
      <w:r w:rsidRPr="00D76287">
        <w:rPr>
          <w:spacing w:val="-4"/>
        </w:rPr>
        <w:sym w:font="Symbol" w:char="F0B1"/>
      </w:r>
      <w:r>
        <w:rPr>
          <w:spacing w:val="-4"/>
        </w:rPr>
        <w:tab/>
      </w:r>
      <w:r>
        <w:t>4.3</w:t>
      </w:r>
      <w:r>
        <w:tab/>
        <w:t>2.23</w:t>
      </w:r>
    </w:p>
    <w:p w:rsidR="00766605" w:rsidRDefault="00766605" w:rsidP="00C022EB">
      <w:pPr>
        <w:tabs>
          <w:tab w:val="left" w:pos="360"/>
          <w:tab w:val="decimal" w:pos="2070"/>
          <w:tab w:val="left" w:pos="2790"/>
          <w:tab w:val="decimal" w:pos="3240"/>
          <w:tab w:val="left" w:pos="4230"/>
          <w:tab w:val="decimal" w:pos="5940"/>
          <w:tab w:val="left" w:pos="6660"/>
          <w:tab w:val="decimal" w:pos="7110"/>
          <w:tab w:val="left" w:pos="8280"/>
        </w:tabs>
        <w:jc w:val="both"/>
      </w:pPr>
      <w:r>
        <w:tab/>
        <w:t>Mercury</w:t>
      </w:r>
      <w:r>
        <w:tab/>
      </w:r>
      <w:r w:rsidR="00DC4909">
        <w:t>0.066 3</w:t>
      </w:r>
      <w:r w:rsidR="00DC4909">
        <w:tab/>
      </w:r>
      <w:r w:rsidR="00DC4909" w:rsidRPr="00D76287">
        <w:rPr>
          <w:spacing w:val="-4"/>
        </w:rPr>
        <w:sym w:font="Symbol" w:char="F0B1"/>
      </w:r>
      <w:r w:rsidR="00DC4909">
        <w:rPr>
          <w:spacing w:val="-4"/>
        </w:rPr>
        <w:tab/>
      </w:r>
      <w:r w:rsidR="00DC4909">
        <w:t>0.005 8</w:t>
      </w:r>
      <w:r w:rsidR="00DC4909">
        <w:tab/>
        <w:t>2.57</w:t>
      </w:r>
      <w:r w:rsidR="00DC4909">
        <w:tab/>
        <w:t>95.1</w:t>
      </w:r>
      <w:r w:rsidR="00DC4909">
        <w:tab/>
      </w:r>
      <w:r w:rsidR="00DC4909" w:rsidRPr="00D76287">
        <w:rPr>
          <w:spacing w:val="-4"/>
        </w:rPr>
        <w:sym w:font="Symbol" w:char="F0B1"/>
      </w:r>
      <w:r w:rsidR="00DC4909">
        <w:rPr>
          <w:spacing w:val="-4"/>
        </w:rPr>
        <w:tab/>
      </w:r>
      <w:r w:rsidR="00DC4909">
        <w:t>0.98</w:t>
      </w:r>
      <w:r w:rsidR="00DC4909">
        <w:tab/>
        <w:t>2.00</w:t>
      </w:r>
    </w:p>
    <w:p w:rsidR="00DC4909" w:rsidRDefault="00DC4909" w:rsidP="00E74E07">
      <w:pPr>
        <w:tabs>
          <w:tab w:val="left" w:pos="360"/>
          <w:tab w:val="center" w:pos="2880"/>
          <w:tab w:val="decimal" w:pos="5940"/>
          <w:tab w:val="left" w:pos="6660"/>
          <w:tab w:val="decimal" w:pos="7110"/>
          <w:tab w:val="left" w:pos="8280"/>
        </w:tabs>
        <w:jc w:val="both"/>
      </w:pPr>
      <w:r>
        <w:tab/>
        <w:t>Manganese</w:t>
      </w:r>
      <w:r w:rsidR="005A07C8">
        <w:tab/>
      </w:r>
      <w:r w:rsidR="00E74E07">
        <w:t>-------</w:t>
      </w:r>
      <w:r w:rsidR="00E74E07">
        <w:tab/>
      </w:r>
      <w:r>
        <w:t>99</w:t>
      </w:r>
      <w:r>
        <w:tab/>
      </w:r>
      <w:r w:rsidRPr="00D76287">
        <w:rPr>
          <w:spacing w:val="-4"/>
        </w:rPr>
        <w:sym w:font="Symbol" w:char="F0B1"/>
      </w:r>
      <w:r>
        <w:rPr>
          <w:spacing w:val="-4"/>
        </w:rPr>
        <w:tab/>
      </w:r>
      <w:r>
        <w:t>12</w:t>
      </w:r>
      <w:r>
        <w:tab/>
        <w:t>2.78</w:t>
      </w:r>
    </w:p>
    <w:p w:rsidR="00DC4909" w:rsidRDefault="00DC4909" w:rsidP="00E74E07">
      <w:pPr>
        <w:tabs>
          <w:tab w:val="left" w:pos="360"/>
          <w:tab w:val="center" w:pos="2880"/>
          <w:tab w:val="decimal" w:pos="5940"/>
          <w:tab w:val="left" w:pos="6660"/>
          <w:tab w:val="decimal" w:pos="7110"/>
          <w:tab w:val="left" w:pos="8280"/>
        </w:tabs>
        <w:jc w:val="both"/>
      </w:pPr>
      <w:r>
        <w:tab/>
        <w:t>Molybdenum</w:t>
      </w:r>
      <w:r w:rsidR="005A07C8">
        <w:tab/>
      </w:r>
      <w:r w:rsidR="00E74E07">
        <w:t>-------</w:t>
      </w:r>
      <w:r w:rsidR="00E74E07">
        <w:tab/>
      </w:r>
      <w:r>
        <w:t>114.1</w:t>
      </w:r>
      <w:r>
        <w:tab/>
      </w:r>
      <w:r w:rsidRPr="00D76287">
        <w:rPr>
          <w:spacing w:val="-4"/>
        </w:rPr>
        <w:sym w:font="Symbol" w:char="F0B1"/>
      </w:r>
      <w:r>
        <w:rPr>
          <w:spacing w:val="-4"/>
        </w:rPr>
        <w:tab/>
      </w:r>
      <w:r>
        <w:t>4.8</w:t>
      </w:r>
      <w:r>
        <w:tab/>
        <w:t>2.01</w:t>
      </w:r>
    </w:p>
    <w:p w:rsidR="00DC4909" w:rsidRDefault="00DC4909" w:rsidP="00E74E07">
      <w:pPr>
        <w:tabs>
          <w:tab w:val="left" w:pos="360"/>
          <w:tab w:val="center" w:pos="2880"/>
          <w:tab w:val="decimal" w:pos="5940"/>
          <w:tab w:val="left" w:pos="6660"/>
          <w:tab w:val="decimal" w:pos="7110"/>
          <w:tab w:val="left" w:pos="8280"/>
        </w:tabs>
        <w:jc w:val="both"/>
      </w:pPr>
      <w:r>
        <w:tab/>
        <w:t>Platinum</w:t>
      </w:r>
      <w:r w:rsidR="005A07C8">
        <w:tab/>
      </w:r>
      <w:r w:rsidR="00E74E07">
        <w:t>-------</w:t>
      </w:r>
      <w:r w:rsidR="00E74E07">
        <w:tab/>
      </w:r>
      <w:r>
        <w:t>51.5</w:t>
      </w:r>
      <w:r>
        <w:tab/>
      </w:r>
      <w:r w:rsidRPr="00D76287">
        <w:rPr>
          <w:spacing w:val="-4"/>
        </w:rPr>
        <w:sym w:font="Symbol" w:char="F0B1"/>
      </w:r>
      <w:r>
        <w:rPr>
          <w:spacing w:val="-4"/>
        </w:rPr>
        <w:tab/>
      </w:r>
      <w:r>
        <w:t>6.6</w:t>
      </w:r>
      <w:r>
        <w:tab/>
        <w:t>2.00</w:t>
      </w:r>
    </w:p>
    <w:p w:rsidR="00DC4909" w:rsidRDefault="00DC4909" w:rsidP="00E74E07">
      <w:pPr>
        <w:tabs>
          <w:tab w:val="left" w:pos="360"/>
          <w:tab w:val="center" w:pos="2880"/>
          <w:tab w:val="decimal" w:pos="5940"/>
          <w:tab w:val="left" w:pos="6660"/>
          <w:tab w:val="decimal" w:pos="7110"/>
          <w:tab w:val="left" w:pos="8280"/>
        </w:tabs>
        <w:jc w:val="both"/>
      </w:pPr>
      <w:r>
        <w:tab/>
        <w:t>Selenium</w:t>
      </w:r>
      <w:r w:rsidR="005A07C8">
        <w:tab/>
      </w:r>
      <w:r w:rsidR="00E74E07">
        <w:t>-------</w:t>
      </w:r>
      <w:r w:rsidR="00E74E07">
        <w:tab/>
      </w:r>
      <w:r>
        <w:t>229.5</w:t>
      </w:r>
      <w:r>
        <w:tab/>
      </w:r>
      <w:r w:rsidRPr="00D76287">
        <w:rPr>
          <w:spacing w:val="-4"/>
        </w:rPr>
        <w:sym w:font="Symbol" w:char="F0B1"/>
      </w:r>
      <w:r>
        <w:rPr>
          <w:spacing w:val="-4"/>
        </w:rPr>
        <w:tab/>
      </w:r>
      <w:r>
        <w:t>8.3</w:t>
      </w:r>
      <w:r>
        <w:tab/>
        <w:t>2.57</w:t>
      </w:r>
    </w:p>
    <w:p w:rsidR="00DC4909" w:rsidRDefault="00DC4909" w:rsidP="00C022EB">
      <w:pPr>
        <w:tabs>
          <w:tab w:val="left" w:pos="360"/>
          <w:tab w:val="decimal" w:pos="2070"/>
          <w:tab w:val="left" w:pos="2790"/>
          <w:tab w:val="decimal" w:pos="3240"/>
          <w:tab w:val="left" w:pos="4230"/>
          <w:tab w:val="decimal" w:pos="5940"/>
          <w:tab w:val="left" w:pos="6660"/>
          <w:tab w:val="decimal" w:pos="7110"/>
          <w:tab w:val="left" w:pos="8280"/>
        </w:tabs>
        <w:jc w:val="both"/>
      </w:pPr>
      <w:r>
        <w:tab/>
        <w:t>Thallium</w:t>
      </w:r>
      <w:r>
        <w:tab/>
        <w:t>0.016 2</w:t>
      </w:r>
      <w:r>
        <w:tab/>
      </w:r>
      <w:r w:rsidRPr="00D76287">
        <w:rPr>
          <w:spacing w:val="-4"/>
        </w:rPr>
        <w:sym w:font="Symbol" w:char="F0B1"/>
      </w:r>
      <w:r>
        <w:rPr>
          <w:spacing w:val="-4"/>
        </w:rPr>
        <w:tab/>
      </w:r>
      <w:r>
        <w:t>0.004 5</w:t>
      </w:r>
      <w:r>
        <w:tab/>
        <w:t>3.18</w:t>
      </w:r>
      <w:r>
        <w:tab/>
        <w:t>5.417</w:t>
      </w:r>
      <w:r>
        <w:tab/>
      </w:r>
      <w:r w:rsidRPr="00D76287">
        <w:rPr>
          <w:spacing w:val="-4"/>
        </w:rPr>
        <w:sym w:font="Symbol" w:char="F0B1"/>
      </w:r>
      <w:r>
        <w:rPr>
          <w:spacing w:val="-4"/>
        </w:rPr>
        <w:tab/>
      </w:r>
      <w:r>
        <w:t>0.064</w:t>
      </w:r>
      <w:r>
        <w:tab/>
        <w:t>2.36</w:t>
      </w:r>
    </w:p>
    <w:p w:rsidR="00DC4909" w:rsidRDefault="00DC4909" w:rsidP="00C022EB">
      <w:pPr>
        <w:tabs>
          <w:tab w:val="left" w:pos="360"/>
          <w:tab w:val="decimal" w:pos="2070"/>
          <w:tab w:val="left" w:pos="2790"/>
          <w:tab w:val="decimal" w:pos="3240"/>
          <w:tab w:val="left" w:pos="4230"/>
          <w:tab w:val="decimal" w:pos="5940"/>
          <w:tab w:val="left" w:pos="6660"/>
          <w:tab w:val="decimal" w:pos="7110"/>
          <w:tab w:val="left" w:pos="8280"/>
        </w:tabs>
        <w:jc w:val="both"/>
      </w:pPr>
      <w:r>
        <w:tab/>
        <w:t>Thorium</w:t>
      </w:r>
      <w:r>
        <w:tab/>
        <w:t>0.005 3</w:t>
      </w:r>
      <w:r>
        <w:tab/>
      </w:r>
      <w:r w:rsidRPr="00D76287">
        <w:rPr>
          <w:spacing w:val="-4"/>
        </w:rPr>
        <w:sym w:font="Symbol" w:char="F0B1"/>
      </w:r>
      <w:r>
        <w:rPr>
          <w:spacing w:val="-4"/>
        </w:rPr>
        <w:tab/>
      </w:r>
      <w:r>
        <w:t>0.001 4</w:t>
      </w:r>
      <w:r>
        <w:tab/>
        <w:t>2.57</w:t>
      </w:r>
      <w:r>
        <w:tab/>
        <w:t>0.016 06</w:t>
      </w:r>
      <w:r w:rsidR="002C2FDA">
        <w:tab/>
      </w:r>
      <w:r w:rsidR="002C2FDA" w:rsidRPr="00D76287">
        <w:rPr>
          <w:spacing w:val="-4"/>
        </w:rPr>
        <w:sym w:font="Symbol" w:char="F0B1"/>
      </w:r>
      <w:r w:rsidR="002C2FDA">
        <w:rPr>
          <w:spacing w:val="-4"/>
        </w:rPr>
        <w:tab/>
      </w:r>
      <w:r w:rsidR="002C2FDA">
        <w:t>0.000</w:t>
      </w:r>
      <w:r w:rsidR="00FD1EE7">
        <w:t> </w:t>
      </w:r>
      <w:r w:rsidR="002C2FDA">
        <w:t>77</w:t>
      </w:r>
      <w:r w:rsidR="002C2FDA">
        <w:tab/>
        <w:t>2.45</w:t>
      </w:r>
    </w:p>
    <w:p w:rsidR="002C2FDA" w:rsidRDefault="002C2FDA" w:rsidP="00C022EB">
      <w:pPr>
        <w:tabs>
          <w:tab w:val="left" w:pos="360"/>
          <w:tab w:val="decimal" w:pos="2070"/>
          <w:tab w:val="left" w:pos="2790"/>
          <w:tab w:val="decimal" w:pos="3240"/>
          <w:tab w:val="left" w:pos="4230"/>
          <w:tab w:val="decimal" w:pos="5940"/>
          <w:tab w:val="left" w:pos="6660"/>
          <w:tab w:val="decimal" w:pos="7110"/>
          <w:tab w:val="left" w:pos="8280"/>
        </w:tabs>
        <w:jc w:val="both"/>
      </w:pPr>
      <w:r>
        <w:tab/>
        <w:t>Uranium</w:t>
      </w:r>
      <w:r>
        <w:tab/>
        <w:t>0.102 0</w:t>
      </w:r>
      <w:r>
        <w:tab/>
      </w:r>
      <w:r w:rsidRPr="00D76287">
        <w:rPr>
          <w:spacing w:val="-4"/>
        </w:rPr>
        <w:sym w:font="Symbol" w:char="F0B1"/>
      </w:r>
      <w:r>
        <w:rPr>
          <w:spacing w:val="-4"/>
        </w:rPr>
        <w:tab/>
      </w:r>
      <w:r>
        <w:t>0.002 3</w:t>
      </w:r>
      <w:r>
        <w:tab/>
        <w:t>2.57</w:t>
      </w:r>
      <w:r>
        <w:tab/>
        <w:t>4.997</w:t>
      </w:r>
      <w:r>
        <w:tab/>
      </w:r>
      <w:r w:rsidRPr="00D76287">
        <w:rPr>
          <w:spacing w:val="-4"/>
        </w:rPr>
        <w:sym w:font="Symbol" w:char="F0B1"/>
      </w:r>
      <w:r>
        <w:rPr>
          <w:spacing w:val="-4"/>
        </w:rPr>
        <w:tab/>
      </w:r>
      <w:r>
        <w:t>0.071</w:t>
      </w:r>
      <w:r>
        <w:tab/>
        <w:t>4.30</w:t>
      </w:r>
    </w:p>
    <w:p w:rsidR="00C84655" w:rsidRDefault="00C84655" w:rsidP="00FD1EE7"/>
    <w:p w:rsidR="00FF37C3" w:rsidRDefault="00E71869">
      <w:pPr>
        <w:tabs>
          <w:tab w:val="left" w:pos="180"/>
        </w:tabs>
        <w:rPr>
          <w:iCs/>
          <w:sz w:val="18"/>
        </w:rPr>
      </w:pPr>
      <w:r w:rsidRPr="00E71869">
        <w:rPr>
          <w:vertAlign w:val="superscript"/>
        </w:rPr>
        <w:t>(</w:t>
      </w:r>
      <w:r w:rsidR="00720777" w:rsidRPr="00E71869">
        <w:rPr>
          <w:sz w:val="18"/>
          <w:vertAlign w:val="superscript"/>
        </w:rPr>
        <w:t>a</w:t>
      </w:r>
      <w:r w:rsidRPr="00E71869">
        <w:rPr>
          <w:sz w:val="18"/>
          <w:vertAlign w:val="superscript"/>
        </w:rPr>
        <w:t>)</w:t>
      </w:r>
      <w:r>
        <w:rPr>
          <w:sz w:val="18"/>
          <w:vertAlign w:val="superscript"/>
        </w:rPr>
        <w:tab/>
      </w:r>
      <w:r w:rsidR="00720777" w:rsidRPr="00E71869">
        <w:rPr>
          <w:iCs/>
          <w:sz w:val="18"/>
        </w:rPr>
        <w:t xml:space="preserve">Iodine </w:t>
      </w:r>
      <w:r w:rsidR="006C77F6" w:rsidRPr="00E71869">
        <w:rPr>
          <w:iCs/>
          <w:sz w:val="18"/>
        </w:rPr>
        <w:t xml:space="preserve">mass </w:t>
      </w:r>
      <w:r w:rsidR="00720777" w:rsidRPr="00E71869">
        <w:rPr>
          <w:iCs/>
          <w:sz w:val="18"/>
        </w:rPr>
        <w:t xml:space="preserve">concentrations, as measured, are for </w:t>
      </w:r>
      <w:r w:rsidR="00163B02" w:rsidRPr="00E71869">
        <w:rPr>
          <w:iCs/>
          <w:sz w:val="18"/>
        </w:rPr>
        <w:t>i</w:t>
      </w:r>
      <w:r w:rsidR="00720777" w:rsidRPr="00E71869">
        <w:rPr>
          <w:iCs/>
          <w:sz w:val="18"/>
        </w:rPr>
        <w:t>odide</w:t>
      </w:r>
      <w:r w:rsidR="00CF529C">
        <w:rPr>
          <w:iCs/>
          <w:sz w:val="18"/>
        </w:rPr>
        <w:t>.</w:t>
      </w:r>
    </w:p>
    <w:p w:rsidR="00720777" w:rsidRDefault="00720777" w:rsidP="00FD1EE7">
      <w:pPr>
        <w:jc w:val="both"/>
      </w:pPr>
    </w:p>
    <w:p w:rsidR="002D7990" w:rsidRDefault="002D7990" w:rsidP="00FD1EE7">
      <w:pPr>
        <w:jc w:val="both"/>
      </w:pPr>
    </w:p>
    <w:p w:rsidR="00FA16D9" w:rsidRPr="00FA16D9" w:rsidRDefault="00163B02" w:rsidP="00FA16D9">
      <w:pPr>
        <w:jc w:val="both"/>
      </w:pPr>
      <w:r w:rsidRPr="00FA16D9">
        <w:rPr>
          <w:b/>
        </w:rPr>
        <w:t xml:space="preserve">Reference </w:t>
      </w:r>
      <w:r w:rsidR="006C77F6" w:rsidRPr="00FA16D9">
        <w:rPr>
          <w:b/>
        </w:rPr>
        <w:t xml:space="preserve">Mass </w:t>
      </w:r>
      <w:r w:rsidRPr="00FA16D9">
        <w:rPr>
          <w:b/>
        </w:rPr>
        <w:t>Concentration Values:</w:t>
      </w:r>
      <w:r w:rsidR="00593AE5" w:rsidRPr="00FA16D9">
        <w:t xml:space="preserve">  </w:t>
      </w:r>
      <w:r w:rsidRPr="00FA16D9">
        <w:t xml:space="preserve">The reference </w:t>
      </w:r>
      <w:r w:rsidR="006C77F6" w:rsidRPr="00FA16D9">
        <w:t>mass concentration</w:t>
      </w:r>
      <w:r w:rsidRPr="00FA16D9">
        <w:t xml:space="preserve"> values are based either on the results of a single NIST method or on the results of a single NIST method and one or more outside laboratories methods.  Reference values and uncertainties were derived from multiple results in the same manner as was done for the certified values and uncertainties.  </w:t>
      </w:r>
      <w:r w:rsidRPr="00FA16D9">
        <w:rPr>
          <w:bCs/>
        </w:rPr>
        <w:t>Zinc, an important analyte in urine, was not certified in SRM</w:t>
      </w:r>
      <w:r w:rsidR="00FD7BDA" w:rsidRPr="00FA16D9">
        <w:rPr>
          <w:bCs/>
        </w:rPr>
        <w:t> </w:t>
      </w:r>
      <w:r w:rsidRPr="00FA16D9">
        <w:rPr>
          <w:bCs/>
        </w:rPr>
        <w:t xml:space="preserve">2670a due to possible contamination from the stopper used in the packaging.  </w:t>
      </w:r>
      <w:r w:rsidRPr="00FA16D9">
        <w:t>Analytical methods are listed in Appendix</w:t>
      </w:r>
      <w:r w:rsidR="00FD7BDA" w:rsidRPr="00FA16D9">
        <w:t> </w:t>
      </w:r>
      <w:r w:rsidRPr="00FA16D9">
        <w:t xml:space="preserve">A. </w:t>
      </w:r>
      <w:r w:rsidR="00FA16D9" w:rsidRPr="00FA16D9">
        <w:t xml:space="preserve"> The measurand is the </w:t>
      </w:r>
      <w:r w:rsidR="00F63816">
        <w:t xml:space="preserve">mass </w:t>
      </w:r>
      <w:r w:rsidR="00FA16D9" w:rsidRPr="00FA16D9">
        <w:t xml:space="preserve">concentration </w:t>
      </w:r>
      <w:r w:rsidR="00F63816">
        <w:t xml:space="preserve">value </w:t>
      </w:r>
      <w:r w:rsidR="00FA16D9" w:rsidRPr="00FA16D9">
        <w:t>for each element reported in Table 2 based on the method or methods indicated.  Metrological traceability is to the SI derived unit for mass concentration (expressed as milligrams per liter or micrograms per liter).</w:t>
      </w:r>
    </w:p>
    <w:p w:rsidR="002D7990" w:rsidRDefault="002D7990" w:rsidP="00FD1EE7">
      <w:pPr>
        <w:jc w:val="both"/>
        <w:rPr>
          <w:rFonts w:ascii="CG Times" w:hAnsi="CG Times"/>
        </w:rPr>
      </w:pPr>
    </w:p>
    <w:p w:rsidR="00F95AE7" w:rsidRDefault="00F95AE7" w:rsidP="00C022EB">
      <w:pPr>
        <w:jc w:val="both"/>
        <w:rPr>
          <w:rFonts w:ascii="CG Times" w:hAnsi="CG Times"/>
        </w:rPr>
      </w:pPr>
    </w:p>
    <w:p w:rsidR="00F95AE7" w:rsidRDefault="00F95AE7" w:rsidP="00C022EB">
      <w:pPr>
        <w:jc w:val="center"/>
      </w:pPr>
      <w:r>
        <w:t>Table </w:t>
      </w:r>
      <w:r w:rsidR="00C84655">
        <w:t>2</w:t>
      </w:r>
      <w:r>
        <w:t xml:space="preserve">.  </w:t>
      </w:r>
      <w:r w:rsidR="00C84655">
        <w:t>Reference</w:t>
      </w:r>
      <w:r>
        <w:t xml:space="preserve"> Mass Concentration Values</w:t>
      </w:r>
    </w:p>
    <w:p w:rsidR="00F95AE7" w:rsidRDefault="00F95AE7" w:rsidP="00C022EB">
      <w:pPr>
        <w:jc w:val="center"/>
      </w:pPr>
    </w:p>
    <w:p w:rsidR="00F95AE7" w:rsidRDefault="00F95AE7" w:rsidP="00C022EB">
      <w:pPr>
        <w:tabs>
          <w:tab w:val="left" w:pos="2970"/>
          <w:tab w:val="left" w:pos="6300"/>
        </w:tabs>
        <w:jc w:val="both"/>
      </w:pPr>
      <w:r>
        <w:tab/>
        <w:t>Low Level</w:t>
      </w:r>
      <w:r w:rsidR="005A07C8">
        <w:tab/>
      </w:r>
      <w:r>
        <w:t>High Level</w:t>
      </w:r>
    </w:p>
    <w:p w:rsidR="00F95AE7" w:rsidRDefault="00F95AE7" w:rsidP="00C022EB">
      <w:pPr>
        <w:tabs>
          <w:tab w:val="left" w:pos="3150"/>
          <w:tab w:val="left" w:pos="6480"/>
        </w:tabs>
        <w:jc w:val="both"/>
      </w:pPr>
      <w:r>
        <w:tab/>
        <w:t>(</w:t>
      </w:r>
      <w:r w:rsidR="00C84655">
        <w:t>m</w:t>
      </w:r>
      <w:r w:rsidRPr="00615A90">
        <w:t>g/L</w:t>
      </w:r>
      <w:r>
        <w:t>)</w:t>
      </w:r>
      <w:r w:rsidRPr="002F0CAF">
        <w:t xml:space="preserve"> </w:t>
      </w:r>
      <w:r>
        <w:tab/>
        <w:t>(</w:t>
      </w:r>
      <w:r w:rsidR="00C84655">
        <w:t>m</w:t>
      </w:r>
      <w:r>
        <w:t>g/L)</w:t>
      </w:r>
    </w:p>
    <w:p w:rsidR="00F95AE7" w:rsidRDefault="00F95AE7" w:rsidP="00C022EB">
      <w:pPr>
        <w:jc w:val="center"/>
      </w:pPr>
    </w:p>
    <w:p w:rsidR="00C84655" w:rsidRDefault="00F95AE7" w:rsidP="00C022EB">
      <w:pPr>
        <w:tabs>
          <w:tab w:val="left" w:pos="900"/>
          <w:tab w:val="decimal" w:pos="3060"/>
          <w:tab w:val="left" w:pos="3420"/>
          <w:tab w:val="decimal" w:pos="3870"/>
          <w:tab w:val="decimal" w:pos="6390"/>
          <w:tab w:val="left" w:pos="6840"/>
          <w:tab w:val="decimal" w:pos="7290"/>
        </w:tabs>
        <w:jc w:val="both"/>
      </w:pPr>
      <w:r>
        <w:tab/>
      </w:r>
      <w:r w:rsidR="00C84655">
        <w:t>Calcium</w:t>
      </w:r>
      <w:r>
        <w:tab/>
      </w:r>
      <w:r w:rsidR="00C84655">
        <w:t>29</w:t>
      </w:r>
      <w:r>
        <w:tab/>
      </w:r>
      <w:r w:rsidRPr="00D76287">
        <w:rPr>
          <w:spacing w:val="-4"/>
        </w:rPr>
        <w:sym w:font="Symbol" w:char="F0B1"/>
      </w:r>
      <w:r>
        <w:rPr>
          <w:spacing w:val="-4"/>
        </w:rPr>
        <w:tab/>
      </w:r>
      <w:r w:rsidR="00C84655">
        <w:rPr>
          <w:spacing w:val="-4"/>
        </w:rPr>
        <w:t>2</w:t>
      </w:r>
      <w:r>
        <w:tab/>
      </w:r>
      <w:r w:rsidR="00C84655">
        <w:t>30</w:t>
      </w:r>
      <w:r>
        <w:tab/>
      </w:r>
      <w:r w:rsidRPr="00D76287">
        <w:rPr>
          <w:spacing w:val="-4"/>
        </w:rPr>
        <w:sym w:font="Symbol" w:char="F0B1"/>
      </w:r>
      <w:r w:rsidR="00040D60">
        <w:rPr>
          <w:spacing w:val="-4"/>
        </w:rPr>
        <w:tab/>
      </w:r>
      <w:r w:rsidR="00C84655">
        <w:t>2</w:t>
      </w:r>
    </w:p>
    <w:p w:rsidR="00C84655" w:rsidRDefault="00C84655" w:rsidP="00C022EB">
      <w:pPr>
        <w:tabs>
          <w:tab w:val="left" w:pos="900"/>
          <w:tab w:val="left" w:pos="1260"/>
          <w:tab w:val="decimal" w:pos="3060"/>
          <w:tab w:val="left" w:pos="3420"/>
          <w:tab w:val="decimal" w:pos="3870"/>
          <w:tab w:val="decimal" w:pos="6390"/>
          <w:tab w:val="left" w:pos="6840"/>
          <w:tab w:val="decimal" w:pos="7290"/>
        </w:tabs>
        <w:jc w:val="both"/>
        <w:rPr>
          <w:spacing w:val="-4"/>
        </w:rPr>
      </w:pPr>
      <w:r>
        <w:tab/>
        <w:t>Magnesium</w:t>
      </w:r>
      <w:r w:rsidR="00F95AE7">
        <w:tab/>
      </w:r>
      <w:r>
        <w:t>21</w:t>
      </w:r>
      <w:r w:rsidR="006302EB">
        <w:t>.0</w:t>
      </w:r>
      <w:r w:rsidR="00F95AE7">
        <w:tab/>
      </w:r>
      <w:r w:rsidR="00F95AE7" w:rsidRPr="00D76287">
        <w:rPr>
          <w:spacing w:val="-4"/>
        </w:rPr>
        <w:sym w:font="Symbol" w:char="F0B1"/>
      </w:r>
      <w:r w:rsidR="00F95AE7">
        <w:rPr>
          <w:spacing w:val="-4"/>
        </w:rPr>
        <w:tab/>
      </w:r>
      <w:r>
        <w:rPr>
          <w:spacing w:val="-4"/>
        </w:rPr>
        <w:t>0.2</w:t>
      </w:r>
      <w:r w:rsidR="00F95AE7">
        <w:rPr>
          <w:spacing w:val="-4"/>
        </w:rPr>
        <w:tab/>
      </w:r>
      <w:r>
        <w:rPr>
          <w:spacing w:val="-4"/>
        </w:rPr>
        <w:t>21.2</w:t>
      </w:r>
      <w:r w:rsidR="00F95AE7">
        <w:rPr>
          <w:spacing w:val="-4"/>
        </w:rPr>
        <w:tab/>
      </w:r>
      <w:r w:rsidR="00F95AE7" w:rsidRPr="00D76287">
        <w:rPr>
          <w:spacing w:val="-4"/>
        </w:rPr>
        <w:sym w:font="Symbol" w:char="F0B1"/>
      </w:r>
      <w:r w:rsidR="00F95AE7">
        <w:rPr>
          <w:spacing w:val="-4"/>
        </w:rPr>
        <w:tab/>
      </w:r>
      <w:r>
        <w:rPr>
          <w:spacing w:val="-4"/>
        </w:rPr>
        <w:t>0.2</w:t>
      </w:r>
    </w:p>
    <w:p w:rsidR="00F95AE7" w:rsidRDefault="00F95AE7" w:rsidP="00C022EB">
      <w:pPr>
        <w:tabs>
          <w:tab w:val="left" w:pos="900"/>
          <w:tab w:val="decimal" w:pos="3060"/>
          <w:tab w:val="left" w:pos="3420"/>
          <w:tab w:val="decimal" w:pos="3870"/>
          <w:tab w:val="decimal" w:pos="6390"/>
          <w:tab w:val="left" w:pos="6840"/>
          <w:tab w:val="decimal" w:pos="7290"/>
        </w:tabs>
        <w:jc w:val="both"/>
        <w:rPr>
          <w:spacing w:val="-4"/>
        </w:rPr>
      </w:pPr>
      <w:r>
        <w:rPr>
          <w:spacing w:val="-4"/>
        </w:rPr>
        <w:tab/>
      </w:r>
      <w:r w:rsidR="00C84655">
        <w:rPr>
          <w:spacing w:val="-4"/>
        </w:rPr>
        <w:t>Potassium</w:t>
      </w:r>
      <w:r>
        <w:rPr>
          <w:spacing w:val="-4"/>
        </w:rPr>
        <w:tab/>
      </w:r>
      <w:r w:rsidR="00C84655">
        <w:t>410</w:t>
      </w:r>
      <w:r>
        <w:tab/>
      </w:r>
      <w:r w:rsidRPr="00D76287">
        <w:rPr>
          <w:spacing w:val="-4"/>
        </w:rPr>
        <w:sym w:font="Symbol" w:char="F0B1"/>
      </w:r>
      <w:r>
        <w:rPr>
          <w:spacing w:val="-4"/>
        </w:rPr>
        <w:tab/>
      </w:r>
      <w:r w:rsidR="00C84655">
        <w:t>10</w:t>
      </w:r>
      <w:r>
        <w:tab/>
      </w:r>
      <w:r w:rsidR="00C84655">
        <w:t>415</w:t>
      </w:r>
      <w:r>
        <w:tab/>
      </w:r>
      <w:r w:rsidRPr="00D76287">
        <w:rPr>
          <w:spacing w:val="-4"/>
        </w:rPr>
        <w:sym w:font="Symbol" w:char="F0B1"/>
      </w:r>
      <w:r>
        <w:rPr>
          <w:spacing w:val="-4"/>
        </w:rPr>
        <w:tab/>
      </w:r>
      <w:r w:rsidR="00C84655">
        <w:t>10</w:t>
      </w:r>
    </w:p>
    <w:p w:rsidR="00F95AE7" w:rsidRDefault="00F95AE7" w:rsidP="00C022EB">
      <w:pPr>
        <w:tabs>
          <w:tab w:val="left" w:pos="900"/>
          <w:tab w:val="decimal" w:pos="3060"/>
          <w:tab w:val="left" w:pos="3420"/>
          <w:tab w:val="decimal" w:pos="3870"/>
          <w:tab w:val="decimal" w:pos="6390"/>
          <w:tab w:val="left" w:pos="6840"/>
          <w:tab w:val="decimal" w:pos="7290"/>
        </w:tabs>
        <w:jc w:val="both"/>
      </w:pPr>
      <w:r>
        <w:tab/>
      </w:r>
      <w:r w:rsidR="00C84655">
        <w:t>Sodium</w:t>
      </w:r>
      <w:r>
        <w:tab/>
      </w:r>
      <w:r w:rsidR="00C84655">
        <w:t>856</w:t>
      </w:r>
      <w:r>
        <w:tab/>
      </w:r>
      <w:r w:rsidRPr="00D76287">
        <w:rPr>
          <w:spacing w:val="-4"/>
        </w:rPr>
        <w:sym w:font="Symbol" w:char="F0B1"/>
      </w:r>
      <w:r>
        <w:rPr>
          <w:spacing w:val="-4"/>
        </w:rPr>
        <w:tab/>
      </w:r>
      <w:r w:rsidR="00C84655">
        <w:t>15</w:t>
      </w:r>
      <w:r>
        <w:tab/>
      </w:r>
      <w:r w:rsidR="00C84655">
        <w:t>942</w:t>
      </w:r>
      <w:r>
        <w:tab/>
      </w:r>
      <w:r w:rsidRPr="00D76287">
        <w:rPr>
          <w:spacing w:val="-4"/>
        </w:rPr>
        <w:sym w:font="Symbol" w:char="F0B1"/>
      </w:r>
      <w:r>
        <w:rPr>
          <w:spacing w:val="-4"/>
        </w:rPr>
        <w:tab/>
      </w:r>
      <w:r w:rsidR="00C84655">
        <w:t>20</w:t>
      </w:r>
    </w:p>
    <w:p w:rsidR="00F95AE7" w:rsidRDefault="00F95AE7" w:rsidP="003918EC"/>
    <w:p w:rsidR="002D7C22" w:rsidRDefault="002D7C22" w:rsidP="003918EC"/>
    <w:p w:rsidR="002D7C22" w:rsidRDefault="002D7C22" w:rsidP="003918EC"/>
    <w:p w:rsidR="00040D60" w:rsidRDefault="00040D60" w:rsidP="00C022EB">
      <w:pPr>
        <w:jc w:val="center"/>
      </w:pPr>
      <w:r>
        <w:t>Table 3.  Reference Mass Concentration Values</w:t>
      </w:r>
    </w:p>
    <w:p w:rsidR="00040D60" w:rsidRDefault="00040D60" w:rsidP="00C022EB">
      <w:pPr>
        <w:jc w:val="center"/>
      </w:pPr>
    </w:p>
    <w:p w:rsidR="00040D60" w:rsidRDefault="00040D60" w:rsidP="00C022EB">
      <w:pPr>
        <w:tabs>
          <w:tab w:val="left" w:pos="2970"/>
          <w:tab w:val="left" w:pos="6300"/>
        </w:tabs>
        <w:jc w:val="both"/>
      </w:pPr>
      <w:r>
        <w:tab/>
        <w:t>Low Level</w:t>
      </w:r>
      <w:r w:rsidR="005A07C8">
        <w:tab/>
      </w:r>
      <w:r>
        <w:t>High Level</w:t>
      </w:r>
    </w:p>
    <w:p w:rsidR="00040D60" w:rsidRDefault="00040D60" w:rsidP="00C022EB">
      <w:pPr>
        <w:tabs>
          <w:tab w:val="left" w:pos="3150"/>
          <w:tab w:val="left" w:pos="6480"/>
        </w:tabs>
        <w:jc w:val="both"/>
      </w:pPr>
      <w:r>
        <w:tab/>
        <w:t>(</w:t>
      </w:r>
      <w:r w:rsidR="002D7C22" w:rsidRPr="00615A90">
        <w:t>µ</w:t>
      </w:r>
      <w:r w:rsidRPr="00615A90">
        <w:t>g/L</w:t>
      </w:r>
      <w:r>
        <w:t>)</w:t>
      </w:r>
      <w:r w:rsidRPr="002F0CAF">
        <w:t xml:space="preserve"> </w:t>
      </w:r>
      <w:r>
        <w:tab/>
        <w:t>(</w:t>
      </w:r>
      <w:r w:rsidR="002D7C22" w:rsidRPr="00615A90">
        <w:t>µ</w:t>
      </w:r>
      <w:r>
        <w:t>g/L)</w:t>
      </w:r>
    </w:p>
    <w:p w:rsidR="00040D60" w:rsidRDefault="00040D60" w:rsidP="00C022EB">
      <w:pPr>
        <w:jc w:val="center"/>
      </w:pPr>
    </w:p>
    <w:p w:rsidR="00040D60" w:rsidRDefault="00040D60" w:rsidP="00E74E07">
      <w:pPr>
        <w:tabs>
          <w:tab w:val="left" w:pos="900"/>
          <w:tab w:val="center" w:pos="3510"/>
          <w:tab w:val="decimal" w:pos="6390"/>
          <w:tab w:val="left" w:pos="6840"/>
          <w:tab w:val="decimal" w:pos="7290"/>
        </w:tabs>
        <w:jc w:val="both"/>
      </w:pPr>
      <w:r>
        <w:tab/>
        <w:t>Arsenic</w:t>
      </w:r>
      <w:r w:rsidR="00E74E07">
        <w:tab/>
      </w:r>
      <w:r w:rsidR="00E74E07" w:rsidRPr="00E74E07">
        <w:t>-------</w:t>
      </w:r>
      <w:r w:rsidR="005A07C8">
        <w:tab/>
      </w:r>
      <w:r>
        <w:t>220</w:t>
      </w:r>
      <w:r>
        <w:tab/>
      </w:r>
      <w:r w:rsidRPr="00D76287">
        <w:rPr>
          <w:spacing w:val="-4"/>
        </w:rPr>
        <w:sym w:font="Symbol" w:char="F0B1"/>
      </w:r>
      <w:r>
        <w:rPr>
          <w:spacing w:val="-4"/>
        </w:rPr>
        <w:tab/>
      </w:r>
      <w:r>
        <w:t>10</w:t>
      </w:r>
    </w:p>
    <w:p w:rsidR="00040D60" w:rsidRDefault="00040D60" w:rsidP="00E74E07">
      <w:pPr>
        <w:tabs>
          <w:tab w:val="left" w:pos="900"/>
          <w:tab w:val="center" w:pos="3510"/>
          <w:tab w:val="decimal" w:pos="6390"/>
          <w:tab w:val="left" w:pos="6840"/>
          <w:tab w:val="decimal" w:pos="7290"/>
        </w:tabs>
        <w:jc w:val="both"/>
        <w:rPr>
          <w:spacing w:val="-4"/>
        </w:rPr>
      </w:pPr>
      <w:r>
        <w:tab/>
        <w:t>Copper</w:t>
      </w:r>
      <w:r w:rsidR="00E74E07">
        <w:tab/>
      </w:r>
      <w:r w:rsidR="00E74E07" w:rsidRPr="00E74E07">
        <w:t>-------</w:t>
      </w:r>
      <w:r w:rsidR="005A07C8">
        <w:rPr>
          <w:spacing w:val="-4"/>
        </w:rPr>
        <w:tab/>
      </w:r>
      <w:r>
        <w:rPr>
          <w:spacing w:val="-4"/>
        </w:rPr>
        <w:t>110</w:t>
      </w:r>
      <w:r>
        <w:rPr>
          <w:spacing w:val="-4"/>
        </w:rPr>
        <w:tab/>
      </w:r>
      <w:r w:rsidRPr="00D76287">
        <w:rPr>
          <w:spacing w:val="-4"/>
        </w:rPr>
        <w:sym w:font="Symbol" w:char="F0B1"/>
      </w:r>
      <w:r>
        <w:rPr>
          <w:spacing w:val="-4"/>
        </w:rPr>
        <w:tab/>
        <w:t>4</w:t>
      </w:r>
    </w:p>
    <w:p w:rsidR="005A07C8" w:rsidRDefault="00040D60" w:rsidP="00531B54">
      <w:pPr>
        <w:tabs>
          <w:tab w:val="left" w:pos="900"/>
          <w:tab w:val="decimal" w:pos="3060"/>
          <w:tab w:val="left" w:pos="3420"/>
          <w:tab w:val="decimal" w:pos="4140"/>
          <w:tab w:val="decimal" w:pos="6390"/>
          <w:tab w:val="center" w:pos="6930"/>
          <w:tab w:val="decimal" w:pos="7290"/>
        </w:tabs>
        <w:jc w:val="both"/>
      </w:pPr>
      <w:r>
        <w:rPr>
          <w:spacing w:val="-4"/>
        </w:rPr>
        <w:tab/>
        <w:t>Manganese</w:t>
      </w:r>
      <w:r>
        <w:rPr>
          <w:spacing w:val="-4"/>
        </w:rPr>
        <w:tab/>
      </w:r>
      <w:r>
        <w:t>2.6</w:t>
      </w:r>
      <w:r>
        <w:tab/>
      </w:r>
      <w:r w:rsidRPr="00D76287">
        <w:rPr>
          <w:spacing w:val="-4"/>
        </w:rPr>
        <w:sym w:font="Symbol" w:char="F0B1"/>
      </w:r>
      <w:r>
        <w:rPr>
          <w:spacing w:val="-4"/>
        </w:rPr>
        <w:tab/>
      </w:r>
      <w:r>
        <w:t>0.7</w:t>
      </w:r>
      <w:r w:rsidR="00E74E07">
        <w:tab/>
      </w:r>
      <w:r w:rsidR="00E74E07">
        <w:tab/>
        <w:t>-------</w:t>
      </w:r>
    </w:p>
    <w:p w:rsidR="005A07C8" w:rsidRDefault="00040D60" w:rsidP="00531B54">
      <w:pPr>
        <w:tabs>
          <w:tab w:val="left" w:pos="900"/>
          <w:tab w:val="decimal" w:pos="3060"/>
          <w:tab w:val="left" w:pos="3420"/>
          <w:tab w:val="decimal" w:pos="4140"/>
          <w:tab w:val="decimal" w:pos="6390"/>
          <w:tab w:val="center" w:pos="6930"/>
          <w:tab w:val="decimal" w:pos="7290"/>
        </w:tabs>
        <w:jc w:val="both"/>
      </w:pPr>
      <w:r>
        <w:tab/>
        <w:t>Selenium</w:t>
      </w:r>
      <w:r>
        <w:tab/>
        <w:t>8</w:t>
      </w:r>
      <w:r>
        <w:tab/>
      </w:r>
      <w:r w:rsidRPr="00D76287">
        <w:rPr>
          <w:spacing w:val="-4"/>
        </w:rPr>
        <w:sym w:font="Symbol" w:char="F0B1"/>
      </w:r>
      <w:r>
        <w:rPr>
          <w:spacing w:val="-4"/>
        </w:rPr>
        <w:tab/>
      </w:r>
      <w:r>
        <w:t>3</w:t>
      </w:r>
      <w:r w:rsidR="00E74E07">
        <w:tab/>
      </w:r>
      <w:r w:rsidR="00E74E07">
        <w:tab/>
        <w:t>-------</w:t>
      </w:r>
    </w:p>
    <w:p w:rsidR="00040D60" w:rsidRDefault="00040D60" w:rsidP="00E74E07">
      <w:pPr>
        <w:tabs>
          <w:tab w:val="left" w:pos="900"/>
          <w:tab w:val="center" w:pos="3510"/>
          <w:tab w:val="decimal" w:pos="6390"/>
          <w:tab w:val="left" w:pos="6840"/>
          <w:tab w:val="decimal" w:pos="7290"/>
        </w:tabs>
        <w:jc w:val="both"/>
      </w:pPr>
      <w:r>
        <w:tab/>
        <w:t>Tin</w:t>
      </w:r>
      <w:r w:rsidR="00E74E07">
        <w:tab/>
      </w:r>
      <w:r w:rsidR="00E74E07" w:rsidRPr="00E74E07">
        <w:t>-------</w:t>
      </w:r>
      <w:r w:rsidR="005A07C8">
        <w:tab/>
      </w:r>
      <w:r>
        <w:t>89</w:t>
      </w:r>
      <w:r>
        <w:tab/>
      </w:r>
      <w:r w:rsidRPr="00D76287">
        <w:rPr>
          <w:spacing w:val="-4"/>
        </w:rPr>
        <w:sym w:font="Symbol" w:char="F0B1"/>
      </w:r>
      <w:r>
        <w:rPr>
          <w:spacing w:val="-4"/>
        </w:rPr>
        <w:tab/>
        <w:t>7</w:t>
      </w:r>
    </w:p>
    <w:p w:rsidR="00040D60" w:rsidRDefault="00040D60" w:rsidP="00C022EB">
      <w:pPr>
        <w:tabs>
          <w:tab w:val="left" w:pos="900"/>
          <w:tab w:val="decimal" w:pos="3060"/>
          <w:tab w:val="left" w:pos="3420"/>
          <w:tab w:val="decimal" w:pos="4140"/>
          <w:tab w:val="decimal" w:pos="6390"/>
          <w:tab w:val="left" w:pos="6840"/>
          <w:tab w:val="decimal" w:pos="7290"/>
        </w:tabs>
        <w:jc w:val="both"/>
      </w:pPr>
      <w:r>
        <w:tab/>
        <w:t>Zinc</w:t>
      </w:r>
      <w:r>
        <w:tab/>
        <w:t>130</w:t>
      </w:r>
      <w:r>
        <w:tab/>
      </w:r>
      <w:r w:rsidRPr="00D76287">
        <w:rPr>
          <w:spacing w:val="-4"/>
        </w:rPr>
        <w:sym w:font="Symbol" w:char="F0B1"/>
      </w:r>
      <w:r>
        <w:rPr>
          <w:spacing w:val="-4"/>
        </w:rPr>
        <w:tab/>
        <w:t>30</w:t>
      </w:r>
      <w:r>
        <w:rPr>
          <w:spacing w:val="-4"/>
        </w:rPr>
        <w:tab/>
        <w:t>410</w:t>
      </w:r>
      <w:r>
        <w:rPr>
          <w:spacing w:val="-4"/>
        </w:rPr>
        <w:tab/>
      </w:r>
      <w:r w:rsidRPr="00D76287">
        <w:rPr>
          <w:spacing w:val="-4"/>
        </w:rPr>
        <w:sym w:font="Symbol" w:char="F0B1"/>
      </w:r>
      <w:r>
        <w:rPr>
          <w:spacing w:val="-4"/>
        </w:rPr>
        <w:tab/>
        <w:t>30</w:t>
      </w:r>
    </w:p>
    <w:p w:rsidR="005A50DE" w:rsidRDefault="005A50DE">
      <w:r>
        <w:br w:type="page"/>
      </w:r>
    </w:p>
    <w:p w:rsidR="00AE0EEC" w:rsidRDefault="00AE0EEC" w:rsidP="00C022EB">
      <w:pPr>
        <w:jc w:val="center"/>
      </w:pPr>
      <w:r>
        <w:lastRenderedPageBreak/>
        <w:t>Table 4.  Information Mass Concentration Values</w:t>
      </w:r>
    </w:p>
    <w:p w:rsidR="00AE0EEC" w:rsidRDefault="00AE0EEC" w:rsidP="00C022EB">
      <w:pPr>
        <w:jc w:val="center"/>
      </w:pPr>
    </w:p>
    <w:p w:rsidR="00AE0EEC" w:rsidRDefault="00AE0EEC" w:rsidP="00C022EB">
      <w:pPr>
        <w:tabs>
          <w:tab w:val="left" w:pos="3780"/>
          <w:tab w:val="left" w:pos="5940"/>
        </w:tabs>
        <w:jc w:val="both"/>
      </w:pPr>
      <w:r>
        <w:tab/>
        <w:t>Low Level</w:t>
      </w:r>
      <w:r>
        <w:tab/>
        <w:t>High Level</w:t>
      </w:r>
      <w:r w:rsidRPr="002F0CAF">
        <w:t xml:space="preserve"> </w:t>
      </w:r>
      <w:r>
        <w:tab/>
      </w:r>
    </w:p>
    <w:p w:rsidR="00AE0EEC" w:rsidRDefault="00AE0EEC" w:rsidP="00C022EB">
      <w:pPr>
        <w:tabs>
          <w:tab w:val="left" w:pos="3960"/>
          <w:tab w:val="left" w:pos="6120"/>
        </w:tabs>
        <w:jc w:val="both"/>
      </w:pPr>
      <w:r>
        <w:tab/>
        <w:t>(</w:t>
      </w:r>
      <w:r w:rsidR="002D7C22" w:rsidRPr="00615A90">
        <w:t>µ</w:t>
      </w:r>
      <w:r w:rsidRPr="00615A90">
        <w:t>g/L</w:t>
      </w:r>
      <w:r>
        <w:t>)</w:t>
      </w:r>
      <w:r w:rsidRPr="002F0CAF">
        <w:t xml:space="preserve"> </w:t>
      </w:r>
      <w:r>
        <w:tab/>
        <w:t>(</w:t>
      </w:r>
      <w:r w:rsidR="002D7C22" w:rsidRPr="00615A90">
        <w:t>µ</w:t>
      </w:r>
      <w:r>
        <w:t>g/L)</w:t>
      </w:r>
    </w:p>
    <w:p w:rsidR="00AE0EEC" w:rsidRDefault="00AE0EEC" w:rsidP="00C022EB">
      <w:pPr>
        <w:jc w:val="center"/>
      </w:pPr>
    </w:p>
    <w:p w:rsidR="00AE0EEC" w:rsidRDefault="00AE0EEC" w:rsidP="00C022EB">
      <w:pPr>
        <w:jc w:val="center"/>
      </w:pPr>
    </w:p>
    <w:p w:rsidR="00AE0EEC" w:rsidRDefault="00AE0EEC" w:rsidP="00C022EB">
      <w:pPr>
        <w:tabs>
          <w:tab w:val="left" w:pos="1890"/>
          <w:tab w:val="decimal" w:pos="4320"/>
          <w:tab w:val="decimal" w:pos="6390"/>
        </w:tabs>
        <w:jc w:val="both"/>
      </w:pPr>
      <w:r>
        <w:tab/>
        <w:t>Aluminum</w:t>
      </w:r>
      <w:r>
        <w:tab/>
        <w:t>4</w:t>
      </w:r>
      <w:r>
        <w:tab/>
        <w:t>100</w:t>
      </w:r>
    </w:p>
    <w:p w:rsidR="00AE0EEC" w:rsidRDefault="00AE0EEC" w:rsidP="00C022EB">
      <w:pPr>
        <w:tabs>
          <w:tab w:val="left" w:pos="1890"/>
          <w:tab w:val="decimal" w:pos="4320"/>
          <w:tab w:val="decimal" w:pos="6390"/>
        </w:tabs>
        <w:jc w:val="both"/>
        <w:rPr>
          <w:spacing w:val="-4"/>
        </w:rPr>
      </w:pPr>
      <w:r>
        <w:tab/>
        <w:t>Arsenic</w:t>
      </w:r>
      <w:r>
        <w:tab/>
        <w:t>3</w:t>
      </w:r>
      <w:r>
        <w:rPr>
          <w:spacing w:val="-4"/>
        </w:rPr>
        <w:tab/>
      </w:r>
      <w:r w:rsidR="00E74E07">
        <w:rPr>
          <w:spacing w:val="-4"/>
        </w:rPr>
        <w:t>-----</w:t>
      </w:r>
    </w:p>
    <w:p w:rsidR="00AE0EEC" w:rsidRDefault="00AE0EEC" w:rsidP="00C022EB">
      <w:pPr>
        <w:tabs>
          <w:tab w:val="left" w:pos="1890"/>
          <w:tab w:val="decimal" w:pos="4320"/>
          <w:tab w:val="decimal" w:pos="6390"/>
        </w:tabs>
        <w:jc w:val="both"/>
      </w:pPr>
      <w:r>
        <w:rPr>
          <w:spacing w:val="-4"/>
        </w:rPr>
        <w:tab/>
        <w:t>Barium</w:t>
      </w:r>
      <w:r>
        <w:rPr>
          <w:spacing w:val="-4"/>
        </w:rPr>
        <w:tab/>
        <w:t>2</w:t>
      </w:r>
      <w:r>
        <w:tab/>
      </w:r>
      <w:r w:rsidR="006A209D">
        <w:t>2</w:t>
      </w:r>
    </w:p>
    <w:p w:rsidR="00AE0EEC" w:rsidRDefault="00AE0EEC" w:rsidP="00C022EB">
      <w:pPr>
        <w:tabs>
          <w:tab w:val="left" w:pos="1890"/>
          <w:tab w:val="decimal" w:pos="4320"/>
          <w:tab w:val="decimal" w:pos="6390"/>
        </w:tabs>
        <w:jc w:val="both"/>
      </w:pPr>
      <w:r>
        <w:tab/>
        <w:t>Beryllium</w:t>
      </w:r>
      <w:r>
        <w:tab/>
      </w:r>
      <w:r w:rsidR="00E74E07">
        <w:rPr>
          <w:spacing w:val="-4"/>
        </w:rPr>
        <w:t>-----</w:t>
      </w:r>
      <w:r>
        <w:tab/>
      </w:r>
      <w:r w:rsidR="006A209D">
        <w:t>5</w:t>
      </w:r>
    </w:p>
    <w:p w:rsidR="00AE0EEC" w:rsidRDefault="00AE0EEC" w:rsidP="00C022EB">
      <w:pPr>
        <w:tabs>
          <w:tab w:val="left" w:pos="1890"/>
          <w:tab w:val="decimal" w:pos="4320"/>
          <w:tab w:val="decimal" w:pos="6390"/>
        </w:tabs>
        <w:jc w:val="both"/>
      </w:pPr>
      <w:r>
        <w:tab/>
        <w:t>Chromium</w:t>
      </w:r>
      <w:r>
        <w:tab/>
        <w:t>2</w:t>
      </w:r>
      <w:r>
        <w:tab/>
      </w:r>
      <w:r w:rsidR="006A209D">
        <w:t>20</w:t>
      </w:r>
    </w:p>
    <w:p w:rsidR="00AE0EEC" w:rsidRDefault="00AE0EEC" w:rsidP="00C022EB">
      <w:pPr>
        <w:tabs>
          <w:tab w:val="left" w:pos="1890"/>
          <w:tab w:val="decimal" w:pos="4320"/>
          <w:tab w:val="decimal" w:pos="6390"/>
        </w:tabs>
        <w:jc w:val="both"/>
      </w:pPr>
      <w:r>
        <w:tab/>
        <w:t>Copper</w:t>
      </w:r>
      <w:r>
        <w:tab/>
        <w:t>5</w:t>
      </w:r>
      <w:r>
        <w:tab/>
      </w:r>
      <w:r w:rsidR="00E74E07">
        <w:rPr>
          <w:spacing w:val="-4"/>
        </w:rPr>
        <w:t>-----</w:t>
      </w:r>
    </w:p>
    <w:p w:rsidR="00AE0EEC" w:rsidRDefault="00AE0EEC" w:rsidP="00C022EB">
      <w:pPr>
        <w:tabs>
          <w:tab w:val="left" w:pos="1890"/>
          <w:tab w:val="decimal" w:pos="4320"/>
          <w:tab w:val="decimal" w:pos="6390"/>
        </w:tabs>
        <w:jc w:val="both"/>
      </w:pPr>
      <w:r>
        <w:tab/>
        <w:t>Molybdenum</w:t>
      </w:r>
      <w:r>
        <w:tab/>
        <w:t>17</w:t>
      </w:r>
      <w:r>
        <w:tab/>
      </w:r>
      <w:r w:rsidR="00E74E07">
        <w:rPr>
          <w:spacing w:val="-4"/>
        </w:rPr>
        <w:t>-----</w:t>
      </w:r>
    </w:p>
    <w:p w:rsidR="00AE0EEC" w:rsidRDefault="00AE0EEC" w:rsidP="00C022EB">
      <w:pPr>
        <w:tabs>
          <w:tab w:val="left" w:pos="1890"/>
          <w:tab w:val="decimal" w:pos="4320"/>
          <w:tab w:val="decimal" w:pos="6390"/>
        </w:tabs>
        <w:jc w:val="both"/>
      </w:pPr>
      <w:r>
        <w:tab/>
        <w:t>Nickel</w:t>
      </w:r>
      <w:r>
        <w:tab/>
        <w:t>2</w:t>
      </w:r>
      <w:r>
        <w:tab/>
      </w:r>
      <w:r w:rsidR="006A209D">
        <w:t>100</w:t>
      </w:r>
    </w:p>
    <w:p w:rsidR="00AE0EEC" w:rsidRDefault="00AE0EEC" w:rsidP="00C022EB">
      <w:pPr>
        <w:tabs>
          <w:tab w:val="left" w:pos="1890"/>
          <w:tab w:val="decimal" w:pos="4320"/>
          <w:tab w:val="decimal" w:pos="6390"/>
        </w:tabs>
        <w:jc w:val="both"/>
      </w:pPr>
      <w:r>
        <w:tab/>
        <w:t>Tin</w:t>
      </w:r>
      <w:r>
        <w:tab/>
        <w:t>&lt;1</w:t>
      </w:r>
      <w:r>
        <w:tab/>
      </w:r>
      <w:r w:rsidR="00E74E07">
        <w:rPr>
          <w:spacing w:val="-4"/>
        </w:rPr>
        <w:t>-----</w:t>
      </w:r>
    </w:p>
    <w:p w:rsidR="00AE0EEC" w:rsidRDefault="00AE0EEC" w:rsidP="00C022EB">
      <w:pPr>
        <w:tabs>
          <w:tab w:val="left" w:pos="1890"/>
          <w:tab w:val="decimal" w:pos="4320"/>
          <w:tab w:val="decimal" w:pos="6390"/>
        </w:tabs>
        <w:jc w:val="both"/>
      </w:pPr>
      <w:r>
        <w:tab/>
        <w:t>Tungsten</w:t>
      </w:r>
      <w:r>
        <w:tab/>
      </w:r>
      <w:r w:rsidR="006A209D">
        <w:t>&lt;1</w:t>
      </w:r>
      <w:r>
        <w:tab/>
      </w:r>
      <w:r w:rsidR="006A209D">
        <w:t>&lt;1</w:t>
      </w:r>
    </w:p>
    <w:p w:rsidR="00AE0EEC" w:rsidRDefault="00AE0EEC" w:rsidP="00C022EB">
      <w:pPr>
        <w:tabs>
          <w:tab w:val="left" w:pos="1890"/>
          <w:tab w:val="decimal" w:pos="4320"/>
          <w:tab w:val="decimal" w:pos="6390"/>
        </w:tabs>
        <w:jc w:val="both"/>
      </w:pPr>
      <w:r>
        <w:tab/>
        <w:t>Vanadium</w:t>
      </w:r>
      <w:r>
        <w:tab/>
      </w:r>
      <w:r w:rsidR="006A209D">
        <w:t>&lt;1</w:t>
      </w:r>
      <w:r>
        <w:tab/>
      </w:r>
      <w:r w:rsidR="006A209D">
        <w:t>30</w:t>
      </w:r>
    </w:p>
    <w:p w:rsidR="00720777" w:rsidRDefault="00720777" w:rsidP="00FD1EE7">
      <w:pPr>
        <w:spacing w:line="223" w:lineRule="auto"/>
        <w:jc w:val="both"/>
        <w:rPr>
          <w:iCs/>
        </w:rPr>
      </w:pPr>
    </w:p>
    <w:p w:rsidR="006A209D" w:rsidRDefault="006A209D" w:rsidP="00FD1EE7">
      <w:pPr>
        <w:spacing w:line="223" w:lineRule="auto"/>
        <w:jc w:val="both"/>
        <w:rPr>
          <w:iCs/>
        </w:rPr>
      </w:pPr>
    </w:p>
    <w:p w:rsidR="00720777" w:rsidRDefault="00720777" w:rsidP="00C022EB">
      <w:pPr>
        <w:tabs>
          <w:tab w:val="left" w:pos="-979"/>
          <w:tab w:val="left" w:pos="-720"/>
          <w:tab w:val="left" w:pos="864"/>
          <w:tab w:val="left" w:pos="5634"/>
          <w:tab w:val="left" w:pos="7524"/>
        </w:tabs>
        <w:jc w:val="center"/>
      </w:pPr>
      <w:r>
        <w:t>REFERENCES</w:t>
      </w:r>
    </w:p>
    <w:p w:rsidR="00720777" w:rsidRDefault="00720777" w:rsidP="00C022EB">
      <w:pPr>
        <w:tabs>
          <w:tab w:val="left" w:pos="504"/>
        </w:tabs>
        <w:jc w:val="both"/>
      </w:pPr>
    </w:p>
    <w:p w:rsidR="00ED0EFC" w:rsidRDefault="00ED0EFC" w:rsidP="00C022EB">
      <w:pPr>
        <w:tabs>
          <w:tab w:val="left" w:pos="504"/>
        </w:tabs>
        <w:ind w:left="450" w:hanging="450"/>
        <w:jc w:val="both"/>
      </w:pPr>
      <w:r>
        <w:t>[</w:t>
      </w:r>
      <w:r w:rsidR="00CD5353">
        <w:t>1</w:t>
      </w:r>
      <w:r>
        <w:t>]</w:t>
      </w:r>
      <w:r>
        <w:tab/>
        <w:t xml:space="preserve">May, W.; Parris, R.; Beck II, C.; </w:t>
      </w:r>
      <w:proofErr w:type="spellStart"/>
      <w:r>
        <w:t>Fassett</w:t>
      </w:r>
      <w:proofErr w:type="spellEnd"/>
      <w:r>
        <w:t xml:space="preserve">, J.; Greenberg, R.; Guenther, F.; Kramer, G.; Wise, S.; Gills, T.; Colbert, J.; Gettings, R.; MacDonald, B.; </w:t>
      </w:r>
      <w:r w:rsidRPr="006D5C0C">
        <w:rPr>
          <w:i/>
        </w:rPr>
        <w:t>Definition of Terms and Modes Used at NIST for Value-Assignment of Reference Materials for Chemical Measurements</w:t>
      </w:r>
      <w:r>
        <w:t>; NIST Special Publication 260</w:t>
      </w:r>
      <w:r>
        <w:noBreakHyphen/>
        <w:t>136</w:t>
      </w:r>
      <w:r w:rsidR="00D1393B" w:rsidRPr="00D1393B">
        <w:t>; U.S. Government Printing Office: Washington, DC</w:t>
      </w:r>
      <w:r w:rsidRPr="00D1393B">
        <w:t> </w:t>
      </w:r>
      <w:r>
        <w:t xml:space="preserve">(2000); available at </w:t>
      </w:r>
      <w:hyperlink r:id="rId10" w:history="1">
        <w:r w:rsidRPr="00822957">
          <w:rPr>
            <w:rStyle w:val="Hyperlink"/>
            <w:color w:val="auto"/>
            <w:u w:val="none"/>
          </w:rPr>
          <w:t>http://www.nist.gov/srm/publications.cfm</w:t>
        </w:r>
      </w:hyperlink>
      <w:r>
        <w:t xml:space="preserve"> (accessed </w:t>
      </w:r>
      <w:r w:rsidR="00C23F4F">
        <w:t>Dec</w:t>
      </w:r>
      <w:r w:rsidR="00B452EF">
        <w:t> </w:t>
      </w:r>
      <w:r>
        <w:t>201</w:t>
      </w:r>
      <w:r w:rsidR="00C23F4F">
        <w:t>5</w:t>
      </w:r>
      <w:r>
        <w:t>).</w:t>
      </w:r>
    </w:p>
    <w:p w:rsidR="003F55CB" w:rsidRPr="00D1393B" w:rsidRDefault="00720777" w:rsidP="00C022EB">
      <w:pPr>
        <w:tabs>
          <w:tab w:val="left" w:pos="450"/>
        </w:tabs>
        <w:ind w:left="450" w:hanging="450"/>
        <w:jc w:val="both"/>
      </w:pPr>
      <w:r w:rsidRPr="000E63F0">
        <w:t>[</w:t>
      </w:r>
      <w:r w:rsidR="003F55CB">
        <w:t>2</w:t>
      </w:r>
      <w:r w:rsidRPr="000E63F0">
        <w:t>]</w:t>
      </w:r>
      <w:r w:rsidRPr="000E63F0">
        <w:tab/>
      </w:r>
      <w:r w:rsidR="003F55CB" w:rsidRPr="000E63F0">
        <w:t xml:space="preserve">Thompson, A.; Taylor, B.N.; </w:t>
      </w:r>
      <w:r w:rsidR="003F55CB" w:rsidRPr="000E63F0">
        <w:rPr>
          <w:i/>
          <w:iCs/>
        </w:rPr>
        <w:t>Guide for the Use of the International System of Units (SI)</w:t>
      </w:r>
      <w:r w:rsidR="003F55CB" w:rsidRPr="000E63F0">
        <w:t xml:space="preserve">; NIST Special Publication 811; U.S. Government Printing Office: Washington, DC (2008); available at </w:t>
      </w:r>
      <w:hyperlink r:id="rId11" w:history="1">
        <w:r w:rsidR="003F55CB" w:rsidRPr="0077458E">
          <w:rPr>
            <w:rStyle w:val="Hyperlink"/>
            <w:color w:val="auto"/>
            <w:u w:val="none"/>
          </w:rPr>
          <w:t>http://ts.nist.gov/WeightsAndMeasures/Metric/mpo_pubs.cfm</w:t>
        </w:r>
      </w:hyperlink>
      <w:r w:rsidR="003F55CB">
        <w:t xml:space="preserve"> </w:t>
      </w:r>
      <w:r w:rsidR="003F55CB" w:rsidRPr="000E63F0">
        <w:t xml:space="preserve">(accessed </w:t>
      </w:r>
      <w:r w:rsidR="00C23F4F" w:rsidRPr="00D1393B">
        <w:t>Dec 2015</w:t>
      </w:r>
      <w:r w:rsidR="003F55CB" w:rsidRPr="00D1393B">
        <w:t xml:space="preserve">). </w:t>
      </w:r>
    </w:p>
    <w:p w:rsidR="00696EB9" w:rsidRDefault="003F55CB" w:rsidP="00C022EB">
      <w:pPr>
        <w:tabs>
          <w:tab w:val="left" w:pos="450"/>
        </w:tabs>
        <w:ind w:left="450" w:hanging="450"/>
        <w:jc w:val="both"/>
      </w:pPr>
      <w:r w:rsidRPr="00D1393B">
        <w:t>[3]</w:t>
      </w:r>
      <w:r w:rsidRPr="00D1393B">
        <w:tab/>
      </w:r>
      <w:r w:rsidR="00D56340" w:rsidRPr="00D1393B">
        <w:t>National Committee for Clinical Laboratory Standards (NCCLS)</w:t>
      </w:r>
      <w:r w:rsidR="00397A18" w:rsidRPr="00D1393B">
        <w:t xml:space="preserve">; </w:t>
      </w:r>
      <w:r w:rsidR="00720777" w:rsidRPr="00D1393B">
        <w:rPr>
          <w:i/>
          <w:iCs/>
        </w:rPr>
        <w:t>Preparation and Testing of Reagent Water in the Clinical Laboratory; Approved Guideline</w:t>
      </w:r>
      <w:r w:rsidR="00720777" w:rsidRPr="00D1393B">
        <w:t xml:space="preserve">, </w:t>
      </w:r>
      <w:r w:rsidR="00397A18" w:rsidRPr="00D1393B">
        <w:t>Publication </w:t>
      </w:r>
      <w:r w:rsidR="00720777" w:rsidRPr="00D1393B">
        <w:t>C3</w:t>
      </w:r>
      <w:r w:rsidR="00FD7BDA" w:rsidRPr="00D1393B">
        <w:noBreakHyphen/>
      </w:r>
      <w:r w:rsidR="00720777" w:rsidRPr="00D1393B">
        <w:t xml:space="preserve">A3, </w:t>
      </w:r>
      <w:r w:rsidR="00C23F4F" w:rsidRPr="00D1393B">
        <w:t>3</w:t>
      </w:r>
      <w:r w:rsidR="00D1393B" w:rsidRPr="00D1393B">
        <w:t>rd</w:t>
      </w:r>
      <w:r w:rsidR="00397A18" w:rsidRPr="00D1393B">
        <w:t> </w:t>
      </w:r>
      <w:r w:rsidR="00C23F4F" w:rsidRPr="00D1393B">
        <w:t>ed.</w:t>
      </w:r>
      <w:r w:rsidR="00397A18" w:rsidRPr="00D1393B">
        <w:t>;</w:t>
      </w:r>
      <w:r w:rsidR="00720777" w:rsidRPr="00D1393B">
        <w:t xml:space="preserve"> </w:t>
      </w:r>
      <w:r w:rsidR="00D56340" w:rsidRPr="00D1393B">
        <w:t>NCCLS</w:t>
      </w:r>
      <w:r w:rsidR="00397A18" w:rsidRPr="00D1393B">
        <w:t xml:space="preserve">: </w:t>
      </w:r>
      <w:r w:rsidR="00720777" w:rsidRPr="00D1393B">
        <w:t>Wayne,</w:t>
      </w:r>
      <w:r w:rsidR="00FD7BDA" w:rsidRPr="00D1393B">
        <w:t> </w:t>
      </w:r>
      <w:r w:rsidR="00720777" w:rsidRPr="00D1393B">
        <w:t>Pennsylvania</w:t>
      </w:r>
      <w:r w:rsidR="006C4E91" w:rsidRPr="00D1393B">
        <w:t> </w:t>
      </w:r>
      <w:r w:rsidR="00720777" w:rsidRPr="00D1393B">
        <w:t>(1997).</w:t>
      </w:r>
    </w:p>
    <w:p w:rsidR="00725567" w:rsidRPr="000E63F0" w:rsidRDefault="00720777" w:rsidP="00C022EB">
      <w:pPr>
        <w:pStyle w:val="Default"/>
        <w:ind w:left="450" w:hanging="450"/>
        <w:jc w:val="both"/>
        <w:rPr>
          <w:sz w:val="20"/>
          <w:szCs w:val="20"/>
        </w:rPr>
      </w:pPr>
      <w:r w:rsidRPr="000E63F0">
        <w:rPr>
          <w:sz w:val="20"/>
          <w:szCs w:val="20"/>
        </w:rPr>
        <w:t>[</w:t>
      </w:r>
      <w:r w:rsidR="003F55CB">
        <w:rPr>
          <w:sz w:val="20"/>
          <w:szCs w:val="20"/>
        </w:rPr>
        <w:t>4</w:t>
      </w:r>
      <w:r w:rsidRPr="000E63F0">
        <w:rPr>
          <w:sz w:val="20"/>
          <w:szCs w:val="20"/>
        </w:rPr>
        <w:t>]</w:t>
      </w:r>
      <w:r w:rsidRPr="000E63F0">
        <w:rPr>
          <w:sz w:val="20"/>
          <w:szCs w:val="20"/>
        </w:rPr>
        <w:tab/>
      </w:r>
      <w:r w:rsidR="006C4E91" w:rsidRPr="000E63F0">
        <w:rPr>
          <w:sz w:val="20"/>
          <w:szCs w:val="20"/>
        </w:rPr>
        <w:t>JCGM</w:t>
      </w:r>
      <w:r w:rsidR="00E71869">
        <w:rPr>
          <w:sz w:val="20"/>
          <w:szCs w:val="20"/>
        </w:rPr>
        <w:t> </w:t>
      </w:r>
      <w:r w:rsidR="006C4E91" w:rsidRPr="000E63F0">
        <w:rPr>
          <w:sz w:val="20"/>
          <w:szCs w:val="20"/>
        </w:rPr>
        <w:t xml:space="preserve">100:2008; </w:t>
      </w:r>
      <w:r w:rsidR="006C4E91" w:rsidRPr="000E63F0">
        <w:rPr>
          <w:i/>
          <w:iCs/>
          <w:sz w:val="20"/>
          <w:szCs w:val="20"/>
        </w:rPr>
        <w:t xml:space="preserve">Evaluation of Measurement Data — Guide to the Expression of Uncertainty in Measurement </w:t>
      </w:r>
      <w:r w:rsidR="006C4E91" w:rsidRPr="000E63F0">
        <w:rPr>
          <w:sz w:val="20"/>
          <w:szCs w:val="20"/>
        </w:rPr>
        <w:t>(GUM</w:t>
      </w:r>
      <w:r w:rsidR="00E71869">
        <w:rPr>
          <w:sz w:val="20"/>
          <w:szCs w:val="20"/>
        </w:rPr>
        <w:t> </w:t>
      </w:r>
      <w:r w:rsidR="006C4E91" w:rsidRPr="000E63F0">
        <w:rPr>
          <w:sz w:val="20"/>
          <w:szCs w:val="20"/>
        </w:rPr>
        <w:t xml:space="preserve">1995 with Minor Corrections); Joint Committee for Guides in Metrology (2008); available at </w:t>
      </w:r>
      <w:hyperlink r:id="rId12" w:history="1">
        <w:r w:rsidR="0077458E" w:rsidRPr="0077458E">
          <w:rPr>
            <w:rStyle w:val="Hyperlink"/>
            <w:color w:val="auto"/>
            <w:sz w:val="20"/>
            <w:szCs w:val="20"/>
            <w:u w:val="none"/>
          </w:rPr>
          <w:t>http://www.bipm.org/utils/common/documents/jcgm/JCGM_100_2008_E.pdf</w:t>
        </w:r>
      </w:hyperlink>
      <w:r w:rsidR="0077458E">
        <w:rPr>
          <w:sz w:val="20"/>
          <w:szCs w:val="20"/>
        </w:rPr>
        <w:t xml:space="preserve"> </w:t>
      </w:r>
      <w:r w:rsidR="006C4E91" w:rsidRPr="000E63F0">
        <w:rPr>
          <w:sz w:val="20"/>
          <w:szCs w:val="20"/>
        </w:rPr>
        <w:t xml:space="preserve">(accessed </w:t>
      </w:r>
      <w:r w:rsidR="003918EC" w:rsidRPr="003918EC">
        <w:rPr>
          <w:sz w:val="20"/>
          <w:szCs w:val="20"/>
        </w:rPr>
        <w:t>Dec 2015</w:t>
      </w:r>
      <w:r w:rsidR="006C4E91" w:rsidRPr="000E63F0">
        <w:rPr>
          <w:sz w:val="20"/>
          <w:szCs w:val="20"/>
        </w:rPr>
        <w:t>); see also Taylor,</w:t>
      </w:r>
      <w:r w:rsidR="00E71869">
        <w:rPr>
          <w:sz w:val="20"/>
          <w:szCs w:val="20"/>
        </w:rPr>
        <w:t> </w:t>
      </w:r>
      <w:r w:rsidR="006C4E91" w:rsidRPr="000E63F0">
        <w:rPr>
          <w:sz w:val="20"/>
          <w:szCs w:val="20"/>
        </w:rPr>
        <w:t>B.N.; Kuyatt,</w:t>
      </w:r>
      <w:r w:rsidR="00E71869">
        <w:rPr>
          <w:sz w:val="20"/>
          <w:szCs w:val="20"/>
        </w:rPr>
        <w:t> </w:t>
      </w:r>
      <w:r w:rsidR="006C4E91" w:rsidRPr="000E63F0">
        <w:rPr>
          <w:sz w:val="20"/>
          <w:szCs w:val="20"/>
        </w:rPr>
        <w:t xml:space="preserve">C.E.; </w:t>
      </w:r>
      <w:r w:rsidR="006C4E91" w:rsidRPr="000E63F0">
        <w:rPr>
          <w:i/>
          <w:iCs/>
          <w:sz w:val="20"/>
          <w:szCs w:val="20"/>
        </w:rPr>
        <w:t>Guidelines for Evaluating and Expressing the Uncertainty of NIST Measurement Results</w:t>
      </w:r>
      <w:r w:rsidR="006C4E91" w:rsidRPr="000E63F0">
        <w:rPr>
          <w:sz w:val="20"/>
          <w:szCs w:val="20"/>
        </w:rPr>
        <w:t>; NIST Technical Note</w:t>
      </w:r>
      <w:r w:rsidR="00E71869">
        <w:rPr>
          <w:sz w:val="20"/>
          <w:szCs w:val="20"/>
        </w:rPr>
        <w:t> </w:t>
      </w:r>
      <w:r w:rsidR="006C4E91" w:rsidRPr="000E63F0">
        <w:rPr>
          <w:sz w:val="20"/>
          <w:szCs w:val="20"/>
        </w:rPr>
        <w:t>1297; U.S. Government Printing Office: Washington,</w:t>
      </w:r>
      <w:r w:rsidR="00E71869">
        <w:rPr>
          <w:sz w:val="20"/>
          <w:szCs w:val="20"/>
        </w:rPr>
        <w:t> </w:t>
      </w:r>
      <w:r w:rsidR="006C4E91" w:rsidRPr="000E63F0">
        <w:rPr>
          <w:sz w:val="20"/>
          <w:szCs w:val="20"/>
        </w:rPr>
        <w:t xml:space="preserve">DC (1994); available at </w:t>
      </w:r>
      <w:hyperlink r:id="rId13" w:history="1">
        <w:r w:rsidR="0077458E" w:rsidRPr="0077458E">
          <w:rPr>
            <w:rStyle w:val="Hyperlink"/>
            <w:color w:val="auto"/>
            <w:sz w:val="20"/>
            <w:szCs w:val="20"/>
            <w:u w:val="none"/>
          </w:rPr>
          <w:t>http://physics.nist.gov/Pubs/</w:t>
        </w:r>
      </w:hyperlink>
      <w:r w:rsidR="0077458E">
        <w:rPr>
          <w:sz w:val="20"/>
          <w:szCs w:val="20"/>
        </w:rPr>
        <w:t xml:space="preserve"> </w:t>
      </w:r>
      <w:r w:rsidR="006C4E91" w:rsidRPr="000E63F0">
        <w:rPr>
          <w:sz w:val="20"/>
          <w:szCs w:val="20"/>
        </w:rPr>
        <w:t xml:space="preserve">(accessed </w:t>
      </w:r>
      <w:r w:rsidR="003918EC" w:rsidRPr="003918EC">
        <w:rPr>
          <w:sz w:val="20"/>
          <w:szCs w:val="20"/>
        </w:rPr>
        <w:t>Dec 2015</w:t>
      </w:r>
      <w:r w:rsidR="006C4E91" w:rsidRPr="000E63F0">
        <w:rPr>
          <w:sz w:val="20"/>
          <w:szCs w:val="20"/>
        </w:rPr>
        <w:t xml:space="preserve">). </w:t>
      </w:r>
    </w:p>
    <w:p w:rsidR="00720777" w:rsidRPr="000E63F0" w:rsidRDefault="00720777" w:rsidP="00C022EB">
      <w:pPr>
        <w:tabs>
          <w:tab w:val="left" w:pos="450"/>
        </w:tabs>
        <w:ind w:left="450" w:hanging="450"/>
        <w:jc w:val="both"/>
      </w:pPr>
      <w:r w:rsidRPr="000E63F0">
        <w:t>[</w:t>
      </w:r>
      <w:r w:rsidR="003F55CB">
        <w:t>5</w:t>
      </w:r>
      <w:r w:rsidRPr="000E63F0">
        <w:t>]</w:t>
      </w:r>
      <w:r w:rsidRPr="000E63F0">
        <w:tab/>
      </w:r>
      <w:proofErr w:type="spellStart"/>
      <w:r w:rsidRPr="000E63F0">
        <w:t>Levenson</w:t>
      </w:r>
      <w:proofErr w:type="spellEnd"/>
      <w:r w:rsidRPr="000E63F0">
        <w:t>,</w:t>
      </w:r>
      <w:r w:rsidR="00E71869">
        <w:t> </w:t>
      </w:r>
      <w:r w:rsidRPr="000E63F0">
        <w:t>M.S.; Banks,</w:t>
      </w:r>
      <w:r w:rsidR="00E71869">
        <w:t> </w:t>
      </w:r>
      <w:r w:rsidRPr="000E63F0">
        <w:t xml:space="preserve">D.L.; </w:t>
      </w:r>
      <w:proofErr w:type="spellStart"/>
      <w:r w:rsidRPr="000E63F0">
        <w:t>Eberhardt</w:t>
      </w:r>
      <w:proofErr w:type="spellEnd"/>
      <w:r w:rsidRPr="000E63F0">
        <w:t>,</w:t>
      </w:r>
      <w:r w:rsidR="00E71869">
        <w:t> </w:t>
      </w:r>
      <w:r w:rsidRPr="000E63F0">
        <w:t>K.R.; Gill,</w:t>
      </w:r>
      <w:r w:rsidR="00E71869">
        <w:t> </w:t>
      </w:r>
      <w:r w:rsidRPr="000E63F0">
        <w:t>L.M.; Guthrie,</w:t>
      </w:r>
      <w:r w:rsidR="00E71869">
        <w:t> </w:t>
      </w:r>
      <w:r w:rsidRPr="000E63F0">
        <w:t>W.F.; Liu,</w:t>
      </w:r>
      <w:r w:rsidR="00E71869">
        <w:t> </w:t>
      </w:r>
      <w:r w:rsidRPr="000E63F0">
        <w:t xml:space="preserve">H.K.; </w:t>
      </w:r>
      <w:proofErr w:type="spellStart"/>
      <w:r w:rsidRPr="000E63F0">
        <w:t>Vangel</w:t>
      </w:r>
      <w:proofErr w:type="spellEnd"/>
      <w:r w:rsidRPr="000E63F0">
        <w:t>, M.G.; Yen,</w:t>
      </w:r>
      <w:r w:rsidR="00E71869">
        <w:t> </w:t>
      </w:r>
      <w:r w:rsidRPr="000E63F0">
        <w:t>J.H.; Zhang,</w:t>
      </w:r>
      <w:r w:rsidR="00E71869">
        <w:t> </w:t>
      </w:r>
      <w:r w:rsidRPr="000E63F0">
        <w:t xml:space="preserve">N.F.; </w:t>
      </w:r>
      <w:r w:rsidRPr="000E63F0">
        <w:rPr>
          <w:i/>
          <w:iCs/>
        </w:rPr>
        <w:t>An Approach to Combining Results from Multiple Methods Motivated by the ISO GUM</w:t>
      </w:r>
      <w:r w:rsidRPr="000E63F0">
        <w:t>; J. Res. Natl. Inst. Stand. Technol., Vol.</w:t>
      </w:r>
      <w:r w:rsidR="00E71869">
        <w:t> </w:t>
      </w:r>
      <w:r w:rsidRPr="000E63F0">
        <w:t>105, pp.</w:t>
      </w:r>
      <w:r w:rsidR="00E71869">
        <w:t> </w:t>
      </w:r>
      <w:r w:rsidRPr="000E63F0">
        <w:t>571</w:t>
      </w:r>
      <w:r w:rsidR="00B1630E">
        <w:t>–</w:t>
      </w:r>
      <w:r w:rsidRPr="000E63F0">
        <w:t>579</w:t>
      </w:r>
      <w:r w:rsidR="00397A18">
        <w:t> </w:t>
      </w:r>
      <w:r w:rsidRPr="000E63F0">
        <w:t>(2000).</w:t>
      </w:r>
    </w:p>
    <w:p w:rsidR="00720777" w:rsidRDefault="00720777" w:rsidP="00C022EB">
      <w:pPr>
        <w:tabs>
          <w:tab w:val="left" w:pos="450"/>
        </w:tabs>
        <w:jc w:val="both"/>
      </w:pPr>
    </w:p>
    <w:p w:rsidR="00720777" w:rsidRDefault="00720777" w:rsidP="00C022EB">
      <w:pPr>
        <w:tabs>
          <w:tab w:val="left" w:pos="450"/>
        </w:tabs>
        <w:jc w:val="both"/>
      </w:pPr>
    </w:p>
    <w:p w:rsidR="00877FA8" w:rsidRDefault="00877FA8" w:rsidP="00C022EB">
      <w:pPr>
        <w:tabs>
          <w:tab w:val="left" w:pos="450"/>
        </w:tabs>
        <w:jc w:val="both"/>
      </w:pPr>
    </w:p>
    <w:p w:rsidR="00F70BB2" w:rsidRDefault="00F70BB2" w:rsidP="00C022EB">
      <w:pPr>
        <w:tabs>
          <w:tab w:val="left" w:pos="504"/>
        </w:tabs>
        <w:jc w:val="both"/>
        <w:rPr>
          <w:b/>
          <w:bCs/>
          <w:sz w:val="16"/>
          <w:szCs w:val="16"/>
        </w:rPr>
      </w:pPr>
    </w:p>
    <w:p w:rsidR="00F70BB2" w:rsidRDefault="00F70BB2" w:rsidP="00C022EB">
      <w:pPr>
        <w:tabs>
          <w:tab w:val="left" w:pos="504"/>
        </w:tabs>
        <w:jc w:val="both"/>
        <w:rPr>
          <w:b/>
          <w:bCs/>
          <w:sz w:val="16"/>
          <w:szCs w:val="16"/>
        </w:rPr>
      </w:pPr>
    </w:p>
    <w:p w:rsidR="00F70BB2" w:rsidRDefault="00F70BB2" w:rsidP="00C022EB">
      <w:pPr>
        <w:tabs>
          <w:tab w:val="left" w:pos="504"/>
        </w:tabs>
        <w:jc w:val="both"/>
        <w:rPr>
          <w:i/>
          <w:iCs/>
        </w:rPr>
      </w:pPr>
    </w:p>
    <w:p w:rsidR="00720777" w:rsidRPr="00C33F3B" w:rsidRDefault="00720777" w:rsidP="00C022EB">
      <w:pPr>
        <w:tabs>
          <w:tab w:val="left" w:pos="504"/>
        </w:tabs>
        <w:jc w:val="both"/>
        <w:rPr>
          <w:iCs/>
        </w:rPr>
      </w:pPr>
    </w:p>
    <w:p w:rsidR="00F6139E" w:rsidRPr="00727FB5" w:rsidRDefault="00F6139E" w:rsidP="00F6139E">
      <w:pPr>
        <w:jc w:val="both"/>
        <w:rPr>
          <w:sz w:val="18"/>
          <w:szCs w:val="18"/>
        </w:rPr>
      </w:pPr>
    </w:p>
    <w:p w:rsidR="00F6139E" w:rsidRPr="00F6139E" w:rsidRDefault="00F6139E" w:rsidP="00F6139E">
      <w:pPr>
        <w:pBdr>
          <w:top w:val="single" w:sz="4" w:space="1" w:color="auto"/>
          <w:left w:val="single" w:sz="4" w:space="4" w:color="auto"/>
          <w:bottom w:val="single" w:sz="4" w:space="1" w:color="auto"/>
          <w:right w:val="single" w:sz="4" w:space="4" w:color="auto"/>
        </w:pBdr>
        <w:jc w:val="both"/>
        <w:rPr>
          <w:kern w:val="2"/>
          <w:sz w:val="16"/>
          <w:szCs w:val="16"/>
        </w:rPr>
      </w:pPr>
      <w:r w:rsidRPr="00F6139E">
        <w:rPr>
          <w:b/>
          <w:kern w:val="2"/>
          <w:sz w:val="16"/>
          <w:szCs w:val="16"/>
        </w:rPr>
        <w:t xml:space="preserve">Certificate Revision History: </w:t>
      </w:r>
      <w:r w:rsidR="00B1630E">
        <w:rPr>
          <w:b/>
          <w:kern w:val="2"/>
          <w:sz w:val="16"/>
          <w:szCs w:val="16"/>
        </w:rPr>
        <w:t xml:space="preserve"> </w:t>
      </w:r>
      <w:bookmarkStart w:id="0" w:name="_GoBack"/>
      <w:bookmarkEnd w:id="0"/>
      <w:r w:rsidR="0044436B">
        <w:rPr>
          <w:b/>
          <w:kern w:val="2"/>
          <w:sz w:val="16"/>
          <w:szCs w:val="16"/>
        </w:rPr>
        <w:t>31</w:t>
      </w:r>
      <w:r w:rsidR="00C23F4F">
        <w:rPr>
          <w:b/>
          <w:kern w:val="2"/>
          <w:sz w:val="16"/>
          <w:szCs w:val="16"/>
        </w:rPr>
        <w:t> December 2</w:t>
      </w:r>
      <w:r w:rsidR="00C23F4F" w:rsidRPr="00F6139E">
        <w:rPr>
          <w:b/>
          <w:kern w:val="2"/>
          <w:sz w:val="16"/>
          <w:szCs w:val="16"/>
        </w:rPr>
        <w:t>01</w:t>
      </w:r>
      <w:r w:rsidR="00C23F4F">
        <w:rPr>
          <w:b/>
          <w:kern w:val="2"/>
          <w:sz w:val="16"/>
          <w:szCs w:val="16"/>
        </w:rPr>
        <w:t>5</w:t>
      </w:r>
      <w:r w:rsidR="00C23F4F" w:rsidRPr="00F6139E">
        <w:rPr>
          <w:b/>
          <w:kern w:val="2"/>
          <w:sz w:val="16"/>
          <w:szCs w:val="16"/>
        </w:rPr>
        <w:t xml:space="preserve"> </w:t>
      </w:r>
      <w:r w:rsidR="00C23F4F" w:rsidRPr="00F6139E">
        <w:rPr>
          <w:kern w:val="2"/>
          <w:sz w:val="16"/>
          <w:szCs w:val="16"/>
        </w:rPr>
        <w:t>(</w:t>
      </w:r>
      <w:r w:rsidR="00C23F4F">
        <w:rPr>
          <w:kern w:val="2"/>
          <w:sz w:val="16"/>
          <w:szCs w:val="16"/>
        </w:rPr>
        <w:t>E</w:t>
      </w:r>
      <w:r w:rsidR="00C23F4F" w:rsidRPr="00F6139E">
        <w:rPr>
          <w:kern w:val="2"/>
          <w:sz w:val="16"/>
          <w:szCs w:val="16"/>
        </w:rPr>
        <w:t>ditorial changes);</w:t>
      </w:r>
      <w:r w:rsidR="001363C0">
        <w:rPr>
          <w:kern w:val="2"/>
          <w:sz w:val="16"/>
          <w:szCs w:val="16"/>
        </w:rPr>
        <w:t xml:space="preserve"> </w:t>
      </w:r>
      <w:r w:rsidR="00FF37C3">
        <w:rPr>
          <w:b/>
          <w:kern w:val="2"/>
          <w:sz w:val="16"/>
          <w:szCs w:val="16"/>
        </w:rPr>
        <w:t>01 August 2</w:t>
      </w:r>
      <w:r w:rsidRPr="00F6139E">
        <w:rPr>
          <w:b/>
          <w:kern w:val="2"/>
          <w:sz w:val="16"/>
          <w:szCs w:val="16"/>
        </w:rPr>
        <w:t xml:space="preserve">011 </w:t>
      </w:r>
      <w:r w:rsidRPr="00F6139E">
        <w:rPr>
          <w:kern w:val="2"/>
          <w:sz w:val="16"/>
          <w:szCs w:val="16"/>
        </w:rPr>
        <w:t>(Change of cadmium and lead certified values in High Level; extension of certification period; editorial changes);</w:t>
      </w:r>
      <w:r w:rsidRPr="00F6139E">
        <w:rPr>
          <w:b/>
          <w:kern w:val="2"/>
          <w:sz w:val="16"/>
          <w:szCs w:val="16"/>
        </w:rPr>
        <w:t xml:space="preserve"> 11</w:t>
      </w:r>
      <w:r w:rsidR="00FF37C3">
        <w:rPr>
          <w:b/>
          <w:kern w:val="2"/>
          <w:sz w:val="16"/>
          <w:szCs w:val="16"/>
        </w:rPr>
        <w:t> </w:t>
      </w:r>
      <w:r w:rsidRPr="00F6139E">
        <w:rPr>
          <w:b/>
          <w:kern w:val="2"/>
          <w:sz w:val="16"/>
          <w:szCs w:val="16"/>
        </w:rPr>
        <w:t>August</w:t>
      </w:r>
      <w:r w:rsidR="00FF37C3">
        <w:rPr>
          <w:b/>
          <w:kern w:val="2"/>
          <w:sz w:val="16"/>
          <w:szCs w:val="16"/>
        </w:rPr>
        <w:t> </w:t>
      </w:r>
      <w:r w:rsidRPr="00F6139E">
        <w:rPr>
          <w:b/>
          <w:kern w:val="2"/>
          <w:sz w:val="16"/>
          <w:szCs w:val="16"/>
        </w:rPr>
        <w:t xml:space="preserve">2003 </w:t>
      </w:r>
      <w:r w:rsidRPr="00F6139E">
        <w:rPr>
          <w:kern w:val="2"/>
          <w:sz w:val="16"/>
          <w:szCs w:val="16"/>
        </w:rPr>
        <w:t>(Original certificate date).</w:t>
      </w:r>
    </w:p>
    <w:p w:rsidR="00F6139E" w:rsidRPr="00610F10" w:rsidRDefault="00F6139E" w:rsidP="00F6139E"/>
    <w:p w:rsidR="00F6139E" w:rsidRPr="00610F10" w:rsidRDefault="00F6139E" w:rsidP="00F6139E"/>
    <w:p w:rsidR="00C33F3B" w:rsidRDefault="00C33F3B" w:rsidP="00C022EB">
      <w:pPr>
        <w:tabs>
          <w:tab w:val="left" w:pos="504"/>
        </w:tabs>
        <w:jc w:val="both"/>
        <w:rPr>
          <w:iCs/>
        </w:rPr>
      </w:pPr>
    </w:p>
    <w:p w:rsidR="003918EC" w:rsidRDefault="003918EC" w:rsidP="00C022EB">
      <w:pPr>
        <w:tabs>
          <w:tab w:val="left" w:pos="504"/>
        </w:tabs>
        <w:jc w:val="both"/>
        <w:rPr>
          <w:iCs/>
        </w:rPr>
      </w:pPr>
    </w:p>
    <w:p w:rsidR="003918EC" w:rsidRDefault="003918EC" w:rsidP="00C022EB">
      <w:pPr>
        <w:tabs>
          <w:tab w:val="left" w:pos="504"/>
        </w:tabs>
        <w:jc w:val="both"/>
        <w:rPr>
          <w:iCs/>
        </w:rPr>
      </w:pPr>
    </w:p>
    <w:p w:rsidR="003918EC" w:rsidRDefault="003918EC" w:rsidP="00C022EB">
      <w:pPr>
        <w:tabs>
          <w:tab w:val="left" w:pos="504"/>
        </w:tabs>
        <w:jc w:val="both"/>
        <w:rPr>
          <w:iCs/>
        </w:rPr>
      </w:pPr>
    </w:p>
    <w:p w:rsidR="003918EC" w:rsidRPr="00C33F3B" w:rsidRDefault="003918EC" w:rsidP="00C022EB">
      <w:pPr>
        <w:tabs>
          <w:tab w:val="left" w:pos="504"/>
        </w:tabs>
        <w:jc w:val="both"/>
        <w:rPr>
          <w:iCs/>
        </w:rPr>
      </w:pPr>
    </w:p>
    <w:p w:rsidR="00C33F3B" w:rsidRPr="00C33F3B" w:rsidRDefault="00C33F3B" w:rsidP="00C022EB">
      <w:pPr>
        <w:tabs>
          <w:tab w:val="left" w:pos="504"/>
        </w:tabs>
        <w:jc w:val="both"/>
        <w:rPr>
          <w:iCs/>
        </w:rPr>
      </w:pPr>
    </w:p>
    <w:p w:rsidR="00C33F3B" w:rsidRPr="00C33F3B" w:rsidRDefault="00C33F3B" w:rsidP="00C022EB">
      <w:pPr>
        <w:tabs>
          <w:tab w:val="left" w:pos="504"/>
        </w:tabs>
        <w:jc w:val="both"/>
        <w:rPr>
          <w:iCs/>
        </w:rPr>
      </w:pPr>
    </w:p>
    <w:p w:rsidR="00C33F3B" w:rsidRPr="00C33F3B" w:rsidRDefault="00C33F3B" w:rsidP="00C022EB">
      <w:pPr>
        <w:tabs>
          <w:tab w:val="left" w:pos="504"/>
        </w:tabs>
        <w:jc w:val="both"/>
        <w:rPr>
          <w:iCs/>
        </w:rPr>
      </w:pPr>
    </w:p>
    <w:p w:rsidR="006A209D" w:rsidRDefault="003918EC" w:rsidP="003918EC">
      <w:pPr>
        <w:tabs>
          <w:tab w:val="left" w:pos="504"/>
        </w:tabs>
        <w:jc w:val="both"/>
        <w:rPr>
          <w:i/>
          <w:iCs/>
        </w:rPr>
      </w:pPr>
      <w:r w:rsidRPr="003918EC">
        <w:rPr>
          <w:i/>
          <w:spacing w:val="-2"/>
        </w:rPr>
        <w:t>Users of this SRM should ensure that the Certificate of Analysis in their possession is current.  This can be accomplished by contacting the SRM Program:  telephone (301) 975-2200; fax (301) 948-3730; e</w:t>
      </w:r>
      <w:r w:rsidRPr="003918EC">
        <w:rPr>
          <w:i/>
          <w:spacing w:val="-2"/>
        </w:rPr>
        <w:noBreakHyphen/>
        <w:t>mail </w:t>
      </w:r>
      <w:hyperlink r:id="rId14" w:history="1">
        <w:r w:rsidRPr="003918EC">
          <w:rPr>
            <w:i/>
            <w:spacing w:val="-2"/>
          </w:rPr>
          <w:t>srminfo@nist.gov</w:t>
        </w:r>
      </w:hyperlink>
      <w:r w:rsidRPr="003918EC">
        <w:rPr>
          <w:i/>
          <w:spacing w:val="-2"/>
        </w:rPr>
        <w:t xml:space="preserve">; or via the Internet at </w:t>
      </w:r>
      <w:hyperlink r:id="rId15" w:history="1">
        <w:r w:rsidRPr="003918EC">
          <w:rPr>
            <w:i/>
            <w:spacing w:val="-2"/>
          </w:rPr>
          <w:t>http://www.nist.gov/srm</w:t>
        </w:r>
      </w:hyperlink>
      <w:r w:rsidR="00396A26">
        <w:rPr>
          <w:i/>
          <w:iCs/>
        </w:rPr>
        <w:t>.</w:t>
      </w:r>
      <w:r w:rsidR="006A209D">
        <w:rPr>
          <w:i/>
          <w:iCs/>
        </w:rPr>
        <w:br w:type="page"/>
      </w:r>
    </w:p>
    <w:p w:rsidR="00720777" w:rsidRPr="00174889" w:rsidRDefault="00720777" w:rsidP="00C022EB">
      <w:pPr>
        <w:pStyle w:val="Heading7"/>
        <w:rPr>
          <w:b w:val="0"/>
        </w:rPr>
      </w:pPr>
      <w:r w:rsidRPr="00174889">
        <w:rPr>
          <w:b w:val="0"/>
        </w:rPr>
        <w:lastRenderedPageBreak/>
        <w:t>Appendix</w:t>
      </w:r>
      <w:r w:rsidR="000E63F0" w:rsidRPr="00174889">
        <w:rPr>
          <w:b w:val="0"/>
        </w:rPr>
        <w:t> </w:t>
      </w:r>
      <w:r w:rsidRPr="00174889">
        <w:rPr>
          <w:b w:val="0"/>
        </w:rPr>
        <w:t xml:space="preserve">A. </w:t>
      </w:r>
      <w:r w:rsidR="005A50DE">
        <w:rPr>
          <w:b w:val="0"/>
        </w:rPr>
        <w:t xml:space="preserve"> </w:t>
      </w:r>
      <w:r w:rsidRPr="00174889">
        <w:rPr>
          <w:b w:val="0"/>
        </w:rPr>
        <w:t>Methods Used in Analyte Determinations</w:t>
      </w:r>
    </w:p>
    <w:p w:rsidR="00720777" w:rsidRDefault="00720777" w:rsidP="00C022EB">
      <w:pPr>
        <w:tabs>
          <w:tab w:val="left" w:pos="-1440"/>
          <w:tab w:val="left" w:pos="-720"/>
          <w:tab w:val="left" w:pos="720"/>
          <w:tab w:val="left" w:pos="4339"/>
          <w:tab w:val="right" w:leader="dot" w:pos="7939"/>
          <w:tab w:val="left" w:pos="8059"/>
        </w:tabs>
        <w:jc w:val="center"/>
        <w:rPr>
          <w:sz w:val="22"/>
          <w:szCs w:val="24"/>
        </w:rPr>
      </w:pPr>
    </w:p>
    <w:tbl>
      <w:tblPr>
        <w:tblW w:w="0" w:type="auto"/>
        <w:tblLook w:val="01E0" w:firstRow="1" w:lastRow="1" w:firstColumn="1" w:lastColumn="1" w:noHBand="0" w:noVBand="0"/>
      </w:tblPr>
      <w:tblGrid>
        <w:gridCol w:w="5555"/>
        <w:gridCol w:w="3805"/>
      </w:tblGrid>
      <w:tr w:rsidR="00720777">
        <w:tc>
          <w:tcPr>
            <w:tcW w:w="5688" w:type="dxa"/>
          </w:tcPr>
          <w:p w:rsidR="00720777" w:rsidRPr="00174889" w:rsidRDefault="00720777" w:rsidP="00C022EB">
            <w:pPr>
              <w:pStyle w:val="Heading8"/>
              <w:ind w:firstLine="1800"/>
              <w:jc w:val="left"/>
              <w:rPr>
                <w:b w:val="0"/>
                <w:sz w:val="20"/>
                <w:szCs w:val="20"/>
              </w:rPr>
            </w:pPr>
            <w:r w:rsidRPr="00174889">
              <w:rPr>
                <w:b w:val="0"/>
                <w:sz w:val="20"/>
                <w:szCs w:val="20"/>
              </w:rPr>
              <w:t>Method</w:t>
            </w:r>
          </w:p>
        </w:tc>
        <w:tc>
          <w:tcPr>
            <w:tcW w:w="3888" w:type="dxa"/>
          </w:tcPr>
          <w:p w:rsidR="00720777" w:rsidRPr="00174889" w:rsidRDefault="00720777" w:rsidP="00C022EB">
            <w:pPr>
              <w:pStyle w:val="Heading7"/>
              <w:ind w:firstLine="1062"/>
              <w:jc w:val="left"/>
              <w:rPr>
                <w:b w:val="0"/>
                <w:szCs w:val="20"/>
              </w:rPr>
            </w:pPr>
            <w:r w:rsidRPr="00174889">
              <w:rPr>
                <w:b w:val="0"/>
                <w:szCs w:val="20"/>
              </w:rPr>
              <w:t>Analytes Determined</w:t>
            </w:r>
          </w:p>
        </w:tc>
      </w:tr>
      <w:tr w:rsidR="00720777">
        <w:tc>
          <w:tcPr>
            <w:tcW w:w="5688" w:type="dxa"/>
          </w:tcPr>
          <w:p w:rsidR="00720777" w:rsidRDefault="00720777" w:rsidP="00C022EB">
            <w:pPr>
              <w:pStyle w:val="Heading8"/>
              <w:jc w:val="left"/>
              <w:rPr>
                <w:sz w:val="22"/>
              </w:rPr>
            </w:pPr>
          </w:p>
        </w:tc>
        <w:tc>
          <w:tcPr>
            <w:tcW w:w="3888" w:type="dxa"/>
          </w:tcPr>
          <w:p w:rsidR="00720777" w:rsidRDefault="00720777" w:rsidP="00C022EB">
            <w:pPr>
              <w:pStyle w:val="Heading7"/>
              <w:jc w:val="left"/>
              <w:rPr>
                <w:sz w:val="22"/>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Cold Vapor Isotope Dilution Inductively Coupled Plasma Mass Spectrometry</w:t>
            </w:r>
            <w:r w:rsidR="00AB6184" w:rsidRPr="00AB6184">
              <w:rPr>
                <w:szCs w:val="24"/>
                <w:vertAlign w:val="superscript"/>
              </w:rPr>
              <w:t>(a)</w:t>
            </w:r>
            <w:r>
              <w:rPr>
                <w:szCs w:val="24"/>
              </w:rPr>
              <w:t xml:space="preserve"> </w:t>
            </w:r>
          </w:p>
        </w:tc>
        <w:tc>
          <w:tcPr>
            <w:tcW w:w="3888" w:type="dxa"/>
          </w:tcPr>
          <w:p w:rsidR="00720777" w:rsidRDefault="00720777" w:rsidP="00C022EB">
            <w:pPr>
              <w:pStyle w:val="Header"/>
              <w:tabs>
                <w:tab w:val="clear" w:pos="4320"/>
                <w:tab w:val="clear" w:pos="8640"/>
                <w:tab w:val="left" w:pos="-1440"/>
                <w:tab w:val="left" w:pos="-720"/>
                <w:tab w:val="left" w:pos="720"/>
                <w:tab w:val="left" w:pos="4339"/>
                <w:tab w:val="right" w:leader="dot" w:pos="7939"/>
                <w:tab w:val="left" w:pos="8059"/>
              </w:tabs>
              <w:rPr>
                <w:szCs w:val="24"/>
              </w:rPr>
            </w:pPr>
            <w:r>
              <w:rPr>
                <w:szCs w:val="24"/>
              </w:rPr>
              <w:t>Hg</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rPr>
                <w:szCs w:val="24"/>
              </w:rPr>
            </w:pPr>
          </w:p>
        </w:tc>
        <w:tc>
          <w:tcPr>
            <w:tcW w:w="3888" w:type="dxa"/>
          </w:tcPr>
          <w:p w:rsidR="00174889" w:rsidRDefault="00174889" w:rsidP="00C022EB">
            <w:pPr>
              <w:tabs>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Isotope Dilution Inductively Coupled Plasma Mass Spectrometry</w:t>
            </w:r>
            <w:r w:rsidR="00AB6184" w:rsidRPr="00AB6184">
              <w:rPr>
                <w:szCs w:val="24"/>
                <w:vertAlign w:val="superscript"/>
              </w:rPr>
              <w:t>(a)</w:t>
            </w:r>
          </w:p>
        </w:tc>
        <w:tc>
          <w:tcPr>
            <w:tcW w:w="38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 xml:space="preserve">Cd, I, </w:t>
            </w:r>
            <w:proofErr w:type="spellStart"/>
            <w:r>
              <w:rPr>
                <w:szCs w:val="24"/>
              </w:rPr>
              <w:t>Pb</w:t>
            </w:r>
            <w:proofErr w:type="spellEnd"/>
            <w:r>
              <w:rPr>
                <w:szCs w:val="24"/>
              </w:rPr>
              <w:t xml:space="preserve">, </w:t>
            </w:r>
            <w:proofErr w:type="spellStart"/>
            <w:r>
              <w:rPr>
                <w:szCs w:val="24"/>
              </w:rPr>
              <w:t>Th</w:t>
            </w:r>
            <w:proofErr w:type="spellEnd"/>
            <w:r>
              <w:rPr>
                <w:szCs w:val="24"/>
              </w:rPr>
              <w:t>, Tl, U</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rPr>
                <w:szCs w:val="24"/>
              </w:rPr>
            </w:pPr>
          </w:p>
        </w:tc>
        <w:tc>
          <w:tcPr>
            <w:tcW w:w="3888" w:type="dxa"/>
          </w:tcPr>
          <w:p w:rsidR="00174889" w:rsidRDefault="00174889" w:rsidP="00C022EB">
            <w:pPr>
              <w:tabs>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ind w:left="180" w:hanging="180"/>
              <w:rPr>
                <w:szCs w:val="24"/>
              </w:rPr>
            </w:pPr>
            <w:r>
              <w:rPr>
                <w:szCs w:val="24"/>
              </w:rPr>
              <w:t>Inductively Coupled Plasma Mass Spectrometry</w:t>
            </w:r>
            <w:r w:rsidR="00AB6184" w:rsidRPr="00AB6184">
              <w:rPr>
                <w:szCs w:val="24"/>
                <w:vertAlign w:val="superscript"/>
              </w:rPr>
              <w:t>(a)</w:t>
            </w:r>
          </w:p>
        </w:tc>
        <w:tc>
          <w:tcPr>
            <w:tcW w:w="3888" w:type="dxa"/>
          </w:tcPr>
          <w:p w:rsidR="00720777" w:rsidRDefault="00720777" w:rsidP="00C022EB">
            <w:pPr>
              <w:tabs>
                <w:tab w:val="left" w:pos="-1440"/>
                <w:tab w:val="left" w:pos="-720"/>
                <w:tab w:val="left" w:pos="720"/>
                <w:tab w:val="left" w:pos="4339"/>
                <w:tab w:val="right" w:leader="dot" w:pos="7939"/>
                <w:tab w:val="left" w:pos="8059"/>
              </w:tabs>
              <w:rPr>
                <w:szCs w:val="24"/>
              </w:rPr>
            </w:pPr>
            <w:proofErr w:type="spellStart"/>
            <w:r>
              <w:rPr>
                <w:szCs w:val="24"/>
              </w:rPr>
              <w:t>Mn</w:t>
            </w:r>
            <w:proofErr w:type="spellEnd"/>
            <w:r>
              <w:rPr>
                <w:szCs w:val="24"/>
              </w:rPr>
              <w:t>, Al, V</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ind w:left="180" w:hanging="180"/>
              <w:rPr>
                <w:szCs w:val="24"/>
              </w:rPr>
            </w:pPr>
          </w:p>
        </w:tc>
        <w:tc>
          <w:tcPr>
            <w:tcW w:w="3888" w:type="dxa"/>
          </w:tcPr>
          <w:p w:rsidR="00174889" w:rsidRDefault="00174889" w:rsidP="00C022EB">
            <w:pPr>
              <w:tabs>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Inductively Coupled Plasma Mass Spectrometry</w:t>
            </w:r>
            <w:r w:rsidR="00AB6184" w:rsidRPr="00AB6184">
              <w:rPr>
                <w:szCs w:val="24"/>
                <w:vertAlign w:val="superscript"/>
              </w:rPr>
              <w:t>(</w:t>
            </w:r>
            <w:r w:rsidR="00AB6184">
              <w:rPr>
                <w:szCs w:val="24"/>
                <w:vertAlign w:val="superscript"/>
              </w:rPr>
              <w:t>b</w:t>
            </w:r>
            <w:r w:rsidR="00AB6184" w:rsidRPr="00AB6184">
              <w:rPr>
                <w:szCs w:val="24"/>
                <w:vertAlign w:val="superscript"/>
              </w:rPr>
              <w:t>)</w:t>
            </w:r>
          </w:p>
        </w:tc>
        <w:tc>
          <w:tcPr>
            <w:tcW w:w="38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 xml:space="preserve">As, Co, Cu, </w:t>
            </w:r>
            <w:proofErr w:type="spellStart"/>
            <w:r>
              <w:rPr>
                <w:szCs w:val="24"/>
              </w:rPr>
              <w:t>Mn</w:t>
            </w:r>
            <w:proofErr w:type="spellEnd"/>
            <w:r>
              <w:rPr>
                <w:szCs w:val="24"/>
              </w:rPr>
              <w:t xml:space="preserve">, Mo, </w:t>
            </w:r>
            <w:proofErr w:type="spellStart"/>
            <w:r w:rsidR="00674EC1">
              <w:rPr>
                <w:szCs w:val="24"/>
              </w:rPr>
              <w:t>Pb</w:t>
            </w:r>
            <w:proofErr w:type="spellEnd"/>
            <w:r w:rsidR="00674EC1">
              <w:rPr>
                <w:szCs w:val="24"/>
              </w:rPr>
              <w:t xml:space="preserve">, </w:t>
            </w:r>
            <w:r>
              <w:rPr>
                <w:szCs w:val="24"/>
              </w:rPr>
              <w:t>Pt, Se, Sn</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rPr>
                <w:szCs w:val="24"/>
              </w:rPr>
            </w:pPr>
          </w:p>
        </w:tc>
        <w:tc>
          <w:tcPr>
            <w:tcW w:w="3888" w:type="dxa"/>
          </w:tcPr>
          <w:p w:rsidR="00174889" w:rsidRDefault="00174889" w:rsidP="00C022EB">
            <w:pPr>
              <w:tabs>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ind w:left="180" w:hanging="180"/>
              <w:rPr>
                <w:szCs w:val="24"/>
              </w:rPr>
            </w:pPr>
            <w:r>
              <w:rPr>
                <w:szCs w:val="24"/>
              </w:rPr>
              <w:t>Instrumental Neutron Activation Analysis</w:t>
            </w:r>
            <w:r w:rsidR="00AB6184" w:rsidRPr="00AB6184">
              <w:rPr>
                <w:szCs w:val="24"/>
                <w:vertAlign w:val="superscript"/>
              </w:rPr>
              <w:t>(a)</w:t>
            </w:r>
          </w:p>
        </w:tc>
        <w:tc>
          <w:tcPr>
            <w:tcW w:w="38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Co, Cs, Sb, Se, Zn</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ind w:left="180" w:hanging="180"/>
              <w:rPr>
                <w:szCs w:val="24"/>
              </w:rPr>
            </w:pPr>
          </w:p>
        </w:tc>
        <w:tc>
          <w:tcPr>
            <w:tcW w:w="3888" w:type="dxa"/>
          </w:tcPr>
          <w:p w:rsidR="00174889" w:rsidRDefault="00174889" w:rsidP="00C022EB">
            <w:pPr>
              <w:tabs>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Inductively Coupled Plasma Atomic Emission Spectrometry</w:t>
            </w:r>
            <w:r w:rsidR="00AB6184" w:rsidRPr="00AB6184">
              <w:rPr>
                <w:szCs w:val="24"/>
                <w:vertAlign w:val="superscript"/>
              </w:rPr>
              <w:t>(a)</w:t>
            </w:r>
          </w:p>
        </w:tc>
        <w:tc>
          <w:tcPr>
            <w:tcW w:w="38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Ca, K, Mg</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rPr>
                <w:szCs w:val="24"/>
              </w:rPr>
            </w:pPr>
          </w:p>
        </w:tc>
        <w:tc>
          <w:tcPr>
            <w:tcW w:w="3888" w:type="dxa"/>
          </w:tcPr>
          <w:p w:rsidR="00174889" w:rsidRDefault="00174889" w:rsidP="00C022EB">
            <w:pPr>
              <w:tabs>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ind w:left="180" w:hanging="180"/>
              <w:rPr>
                <w:szCs w:val="24"/>
              </w:rPr>
            </w:pPr>
            <w:r>
              <w:rPr>
                <w:szCs w:val="24"/>
              </w:rPr>
              <w:t>Flame Emission Spectrometry</w:t>
            </w:r>
            <w:r w:rsidR="00AB6184" w:rsidRPr="00AB6184">
              <w:rPr>
                <w:szCs w:val="24"/>
                <w:vertAlign w:val="superscript"/>
              </w:rPr>
              <w:t>(a)</w:t>
            </w:r>
          </w:p>
        </w:tc>
        <w:tc>
          <w:tcPr>
            <w:tcW w:w="3888" w:type="dxa"/>
          </w:tcPr>
          <w:p w:rsidR="00720777" w:rsidRDefault="00720777" w:rsidP="00C022EB">
            <w:pPr>
              <w:pStyle w:val="Header"/>
              <w:tabs>
                <w:tab w:val="clear" w:pos="4320"/>
                <w:tab w:val="clear" w:pos="8640"/>
                <w:tab w:val="left" w:pos="-1440"/>
                <w:tab w:val="left" w:pos="-720"/>
                <w:tab w:val="left" w:pos="720"/>
                <w:tab w:val="left" w:pos="4339"/>
                <w:tab w:val="right" w:leader="dot" w:pos="7939"/>
                <w:tab w:val="left" w:pos="8059"/>
              </w:tabs>
              <w:rPr>
                <w:szCs w:val="24"/>
              </w:rPr>
            </w:pPr>
            <w:r>
              <w:rPr>
                <w:szCs w:val="24"/>
              </w:rPr>
              <w:t>Na</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ind w:left="180" w:hanging="180"/>
              <w:rPr>
                <w:szCs w:val="24"/>
              </w:rPr>
            </w:pPr>
          </w:p>
        </w:tc>
        <w:tc>
          <w:tcPr>
            <w:tcW w:w="3888" w:type="dxa"/>
          </w:tcPr>
          <w:p w:rsidR="00174889" w:rsidRDefault="00174889" w:rsidP="00C022EB">
            <w:pPr>
              <w:pStyle w:val="Header"/>
              <w:tabs>
                <w:tab w:val="clear" w:pos="4320"/>
                <w:tab w:val="clear" w:pos="8640"/>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Inductively Coupled Plasma Mass Spectrometry</w:t>
            </w:r>
            <w:r w:rsidR="00AB6184" w:rsidRPr="00AB6184">
              <w:rPr>
                <w:szCs w:val="24"/>
                <w:vertAlign w:val="superscript"/>
              </w:rPr>
              <w:t>(</w:t>
            </w:r>
            <w:r w:rsidR="00AB6184">
              <w:rPr>
                <w:szCs w:val="24"/>
                <w:vertAlign w:val="superscript"/>
              </w:rPr>
              <w:t>c</w:t>
            </w:r>
            <w:r w:rsidR="00AB6184" w:rsidRPr="00AB6184">
              <w:rPr>
                <w:szCs w:val="24"/>
                <w:vertAlign w:val="superscript"/>
              </w:rPr>
              <w:t>)</w:t>
            </w:r>
          </w:p>
        </w:tc>
        <w:tc>
          <w:tcPr>
            <w:tcW w:w="38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 xml:space="preserve">Be, Ba, Cd, Co, Cs, Mo, Pb, Pt, Sb, Tl, U, W </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rPr>
                <w:szCs w:val="24"/>
              </w:rPr>
            </w:pPr>
          </w:p>
        </w:tc>
        <w:tc>
          <w:tcPr>
            <w:tcW w:w="3888" w:type="dxa"/>
          </w:tcPr>
          <w:p w:rsidR="00174889" w:rsidRDefault="00174889" w:rsidP="00C022EB">
            <w:pPr>
              <w:tabs>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Inductively Coupled Plasma Mass Spectrometry</w:t>
            </w:r>
            <w:r w:rsidR="00AB6184" w:rsidRPr="00AB6184">
              <w:rPr>
                <w:szCs w:val="24"/>
                <w:vertAlign w:val="superscript"/>
              </w:rPr>
              <w:t>(</w:t>
            </w:r>
            <w:r w:rsidR="00AB6184">
              <w:rPr>
                <w:szCs w:val="24"/>
                <w:vertAlign w:val="superscript"/>
              </w:rPr>
              <w:t>d</w:t>
            </w:r>
            <w:r w:rsidR="00AB6184" w:rsidRPr="00AB6184">
              <w:rPr>
                <w:szCs w:val="24"/>
                <w:vertAlign w:val="superscript"/>
              </w:rPr>
              <w:t>)</w:t>
            </w:r>
          </w:p>
        </w:tc>
        <w:tc>
          <w:tcPr>
            <w:tcW w:w="38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 xml:space="preserve">Al, As, Cd, Co, Cr, Cu, Hg, I, </w:t>
            </w:r>
            <w:proofErr w:type="spellStart"/>
            <w:r>
              <w:rPr>
                <w:szCs w:val="24"/>
              </w:rPr>
              <w:t>Mn</w:t>
            </w:r>
            <w:proofErr w:type="spellEnd"/>
            <w:r>
              <w:rPr>
                <w:szCs w:val="24"/>
              </w:rPr>
              <w:t xml:space="preserve">, Mo, Ni, </w:t>
            </w:r>
            <w:r>
              <w:rPr>
                <w:szCs w:val="24"/>
              </w:rPr>
              <w:br/>
            </w:r>
            <w:proofErr w:type="spellStart"/>
            <w:r>
              <w:rPr>
                <w:szCs w:val="24"/>
              </w:rPr>
              <w:t>Pb</w:t>
            </w:r>
            <w:proofErr w:type="spellEnd"/>
            <w:r>
              <w:rPr>
                <w:szCs w:val="24"/>
              </w:rPr>
              <w:t>, Pt, Sb, Se, Sn, Tl, V, Zn</w:t>
            </w:r>
          </w:p>
        </w:tc>
      </w:tr>
      <w:tr w:rsidR="00174889">
        <w:tc>
          <w:tcPr>
            <w:tcW w:w="5688" w:type="dxa"/>
          </w:tcPr>
          <w:p w:rsidR="00174889" w:rsidRDefault="00174889" w:rsidP="00C022EB">
            <w:pPr>
              <w:tabs>
                <w:tab w:val="left" w:pos="-1440"/>
                <w:tab w:val="left" w:pos="-720"/>
                <w:tab w:val="left" w:pos="720"/>
                <w:tab w:val="left" w:pos="4339"/>
                <w:tab w:val="right" w:leader="dot" w:pos="7939"/>
                <w:tab w:val="left" w:pos="8059"/>
              </w:tabs>
              <w:rPr>
                <w:szCs w:val="24"/>
              </w:rPr>
            </w:pPr>
          </w:p>
        </w:tc>
        <w:tc>
          <w:tcPr>
            <w:tcW w:w="3888" w:type="dxa"/>
          </w:tcPr>
          <w:p w:rsidR="00174889" w:rsidRDefault="00174889" w:rsidP="00C022EB">
            <w:pPr>
              <w:tabs>
                <w:tab w:val="left" w:pos="-1440"/>
                <w:tab w:val="left" w:pos="-720"/>
                <w:tab w:val="left" w:pos="720"/>
                <w:tab w:val="left" w:pos="4339"/>
                <w:tab w:val="right" w:leader="dot" w:pos="7939"/>
                <w:tab w:val="left" w:pos="8059"/>
              </w:tabs>
              <w:rPr>
                <w:szCs w:val="24"/>
              </w:rPr>
            </w:pPr>
          </w:p>
        </w:tc>
      </w:tr>
      <w:tr w:rsidR="00720777">
        <w:tc>
          <w:tcPr>
            <w:tcW w:w="5688" w:type="dxa"/>
          </w:tcPr>
          <w:p w:rsidR="00720777" w:rsidRDefault="00720777" w:rsidP="00C022EB">
            <w:pPr>
              <w:suppressAutoHyphens/>
              <w:jc w:val="both"/>
              <w:rPr>
                <w:szCs w:val="24"/>
              </w:rPr>
            </w:pPr>
            <w:proofErr w:type="spellStart"/>
            <w:r>
              <w:rPr>
                <w:szCs w:val="24"/>
              </w:rPr>
              <w:t>Electrothermal</w:t>
            </w:r>
            <w:proofErr w:type="spellEnd"/>
            <w:r>
              <w:rPr>
                <w:szCs w:val="24"/>
              </w:rPr>
              <w:t xml:space="preserve"> Vaporization Atomic Absorption Spectrometry</w:t>
            </w:r>
            <w:r w:rsidR="00AB6184" w:rsidRPr="00AB6184">
              <w:rPr>
                <w:szCs w:val="24"/>
                <w:vertAlign w:val="superscript"/>
              </w:rPr>
              <w:t>(</w:t>
            </w:r>
            <w:r w:rsidR="00AB6184">
              <w:rPr>
                <w:szCs w:val="24"/>
                <w:vertAlign w:val="superscript"/>
              </w:rPr>
              <w:t>d</w:t>
            </w:r>
            <w:r w:rsidR="00AB6184" w:rsidRPr="00AB6184">
              <w:rPr>
                <w:szCs w:val="24"/>
                <w:vertAlign w:val="superscript"/>
              </w:rPr>
              <w:t>)</w:t>
            </w:r>
          </w:p>
        </w:tc>
        <w:tc>
          <w:tcPr>
            <w:tcW w:w="3888" w:type="dxa"/>
          </w:tcPr>
          <w:p w:rsidR="00720777" w:rsidRDefault="00720777" w:rsidP="00C022EB">
            <w:pPr>
              <w:tabs>
                <w:tab w:val="left" w:pos="-1440"/>
                <w:tab w:val="left" w:pos="-720"/>
                <w:tab w:val="left" w:pos="720"/>
                <w:tab w:val="left" w:pos="4339"/>
                <w:tab w:val="right" w:leader="dot" w:pos="7939"/>
                <w:tab w:val="left" w:pos="8059"/>
              </w:tabs>
              <w:rPr>
                <w:szCs w:val="24"/>
              </w:rPr>
            </w:pPr>
            <w:r>
              <w:rPr>
                <w:szCs w:val="24"/>
              </w:rPr>
              <w:t xml:space="preserve">Al, Cr, </w:t>
            </w:r>
            <w:proofErr w:type="spellStart"/>
            <w:r>
              <w:rPr>
                <w:szCs w:val="24"/>
              </w:rPr>
              <w:t>Mn</w:t>
            </w:r>
            <w:proofErr w:type="spellEnd"/>
          </w:p>
        </w:tc>
      </w:tr>
    </w:tbl>
    <w:p w:rsidR="00720777" w:rsidRDefault="00720777" w:rsidP="00C022EB">
      <w:pPr>
        <w:tabs>
          <w:tab w:val="left" w:pos="504"/>
        </w:tabs>
        <w:jc w:val="both"/>
      </w:pPr>
    </w:p>
    <w:p w:rsidR="00720777" w:rsidRPr="00AB6184" w:rsidRDefault="00AB6184" w:rsidP="00FD1EE7">
      <w:pPr>
        <w:tabs>
          <w:tab w:val="left" w:pos="180"/>
        </w:tabs>
        <w:suppressAutoHyphens/>
        <w:jc w:val="both"/>
        <w:rPr>
          <w:iCs/>
          <w:sz w:val="18"/>
          <w:szCs w:val="18"/>
        </w:rPr>
      </w:pPr>
      <w:r w:rsidRPr="00AB6184">
        <w:rPr>
          <w:sz w:val="18"/>
          <w:szCs w:val="18"/>
          <w:vertAlign w:val="superscript"/>
        </w:rPr>
        <w:t>(a)</w:t>
      </w:r>
      <w:r w:rsidRPr="00AB6184">
        <w:rPr>
          <w:sz w:val="18"/>
          <w:szCs w:val="18"/>
          <w:vertAlign w:val="superscript"/>
        </w:rPr>
        <w:tab/>
      </w:r>
      <w:r w:rsidRPr="00AB6184">
        <w:rPr>
          <w:iCs/>
          <w:sz w:val="18"/>
          <w:szCs w:val="18"/>
        </w:rPr>
        <w:t>Analyses performed at NIST</w:t>
      </w:r>
    </w:p>
    <w:p w:rsidR="00AB6184" w:rsidRPr="00AB6184" w:rsidRDefault="00AB6184" w:rsidP="00FD1EE7">
      <w:pPr>
        <w:tabs>
          <w:tab w:val="left" w:pos="180"/>
        </w:tabs>
        <w:suppressAutoHyphens/>
        <w:jc w:val="both"/>
        <w:rPr>
          <w:sz w:val="18"/>
          <w:szCs w:val="18"/>
        </w:rPr>
      </w:pPr>
      <w:r w:rsidRPr="00AB6184">
        <w:rPr>
          <w:sz w:val="18"/>
          <w:szCs w:val="18"/>
          <w:vertAlign w:val="superscript"/>
        </w:rPr>
        <w:t>(b)</w:t>
      </w:r>
      <w:r w:rsidRPr="00AB6184">
        <w:rPr>
          <w:sz w:val="18"/>
          <w:szCs w:val="18"/>
          <w:vertAlign w:val="superscript"/>
        </w:rPr>
        <w:tab/>
      </w:r>
      <w:r w:rsidRPr="00AB6184">
        <w:rPr>
          <w:sz w:val="18"/>
          <w:szCs w:val="18"/>
        </w:rPr>
        <w:t>High Level only analyses performed at NIST</w:t>
      </w:r>
    </w:p>
    <w:p w:rsidR="00AB6184" w:rsidRPr="00AB6184" w:rsidRDefault="00AB6184" w:rsidP="00FD1EE7">
      <w:pPr>
        <w:tabs>
          <w:tab w:val="left" w:pos="180"/>
        </w:tabs>
        <w:suppressAutoHyphens/>
        <w:jc w:val="both"/>
        <w:rPr>
          <w:sz w:val="18"/>
          <w:szCs w:val="18"/>
        </w:rPr>
      </w:pPr>
      <w:r w:rsidRPr="00AB6184">
        <w:rPr>
          <w:sz w:val="18"/>
          <w:szCs w:val="18"/>
          <w:vertAlign w:val="superscript"/>
        </w:rPr>
        <w:t>(c)</w:t>
      </w:r>
      <w:r w:rsidRPr="00AB6184">
        <w:rPr>
          <w:sz w:val="18"/>
          <w:szCs w:val="18"/>
          <w:vertAlign w:val="superscript"/>
        </w:rPr>
        <w:tab/>
      </w:r>
      <w:r w:rsidRPr="00AB6184">
        <w:rPr>
          <w:sz w:val="18"/>
          <w:szCs w:val="18"/>
        </w:rPr>
        <w:t>Analyses performed at CDC</w:t>
      </w:r>
      <w:r w:rsidR="001E64F7">
        <w:rPr>
          <w:sz w:val="18"/>
          <w:szCs w:val="18"/>
        </w:rPr>
        <w:t xml:space="preserve"> (</w:t>
      </w:r>
      <w:r w:rsidRPr="00AB6184">
        <w:rPr>
          <w:sz w:val="18"/>
          <w:szCs w:val="18"/>
        </w:rPr>
        <w:t>Atlanta, GA</w:t>
      </w:r>
      <w:r w:rsidR="001E64F7">
        <w:rPr>
          <w:sz w:val="18"/>
          <w:szCs w:val="18"/>
        </w:rPr>
        <w:t>)</w:t>
      </w:r>
    </w:p>
    <w:p w:rsidR="00AB6184" w:rsidRPr="00AB6184" w:rsidRDefault="00AB6184" w:rsidP="00FD1EE7">
      <w:pPr>
        <w:tabs>
          <w:tab w:val="left" w:pos="180"/>
        </w:tabs>
        <w:suppressAutoHyphens/>
        <w:jc w:val="both"/>
        <w:rPr>
          <w:sz w:val="18"/>
          <w:szCs w:val="18"/>
        </w:rPr>
      </w:pPr>
      <w:r w:rsidRPr="00AB6184">
        <w:rPr>
          <w:sz w:val="18"/>
          <w:szCs w:val="18"/>
          <w:vertAlign w:val="superscript"/>
        </w:rPr>
        <w:t>(d)</w:t>
      </w:r>
      <w:r w:rsidRPr="00AB6184">
        <w:rPr>
          <w:sz w:val="18"/>
          <w:szCs w:val="18"/>
          <w:vertAlign w:val="superscript"/>
        </w:rPr>
        <w:tab/>
      </w:r>
      <w:r w:rsidRPr="00AB6184">
        <w:rPr>
          <w:sz w:val="18"/>
          <w:szCs w:val="18"/>
        </w:rPr>
        <w:t>Analyses performed at Mayo Clinic</w:t>
      </w:r>
      <w:r w:rsidR="001E64F7">
        <w:rPr>
          <w:sz w:val="18"/>
          <w:szCs w:val="18"/>
        </w:rPr>
        <w:t xml:space="preserve"> (</w:t>
      </w:r>
      <w:r w:rsidRPr="00AB6184">
        <w:rPr>
          <w:sz w:val="18"/>
          <w:szCs w:val="18"/>
        </w:rPr>
        <w:t>Rochester</w:t>
      </w:r>
      <w:r>
        <w:rPr>
          <w:sz w:val="18"/>
          <w:szCs w:val="18"/>
        </w:rPr>
        <w:t> </w:t>
      </w:r>
      <w:r w:rsidRPr="00AB6184">
        <w:rPr>
          <w:sz w:val="18"/>
          <w:szCs w:val="18"/>
        </w:rPr>
        <w:t>MN</w:t>
      </w:r>
      <w:r w:rsidR="001E64F7">
        <w:rPr>
          <w:sz w:val="18"/>
          <w:szCs w:val="18"/>
        </w:rPr>
        <w:t>)</w:t>
      </w:r>
    </w:p>
    <w:sectPr w:rsidR="00AB6184" w:rsidRPr="00AB6184" w:rsidSect="003918EC">
      <w:headerReference w:type="even" r:id="rId16"/>
      <w:footerReference w:type="default" r:id="rId17"/>
      <w:headerReference w:type="first" r:id="rId18"/>
      <w:pgSz w:w="12240" w:h="15840" w:code="1"/>
      <w:pgMar w:top="720" w:right="1440" w:bottom="720" w:left="1440" w:header="720"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7C3" w:rsidRDefault="00FF37C3">
      <w:r>
        <w:separator/>
      </w:r>
    </w:p>
  </w:endnote>
  <w:endnote w:type="continuationSeparator" w:id="0">
    <w:p w:rsidR="00FF37C3" w:rsidRDefault="00FF3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ncoln">
    <w:altName w:val="Courier New"/>
    <w:panose1 w:val="00000000000000000000"/>
    <w:charset w:val="00"/>
    <w:family w:val="swiss"/>
    <w:notTrueType/>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7C3" w:rsidRDefault="00FF37C3">
    <w:pPr>
      <w:pStyle w:val="Footer"/>
      <w:tabs>
        <w:tab w:val="clear" w:pos="4320"/>
        <w:tab w:val="clear" w:pos="8640"/>
        <w:tab w:val="right" w:pos="9360"/>
      </w:tabs>
    </w:pPr>
    <w:r>
      <w:t>SRM 2670a</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1938FC">
      <w:rPr>
        <w:noProof/>
        <w:snapToGrid w:val="0"/>
      </w:rPr>
      <w:t>5</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1938FC">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7C3" w:rsidRDefault="00FF37C3">
      <w:r>
        <w:separator/>
      </w:r>
    </w:p>
  </w:footnote>
  <w:footnote w:type="continuationSeparator" w:id="0">
    <w:p w:rsidR="00FF37C3" w:rsidRDefault="00FF3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7C3" w:rsidRDefault="001938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471.3pt;height:188.5pt;rotation:315;z-index:-251659264;mso-position-horizontal:center;mso-position-horizontal-relative:margin;mso-position-vertical:center;mso-position-vertical-relative:margin" wrapcoords="21325 2496 17851 2496 17782 2668 17748 3356 17335 2582 16750 2237 16647 2496 13999 2496 13999 2926 14618 5163 14583 8950 11625 2324 11488 1979 11316 2754 10559 8692 7464 2668 6535 2410 4815 2496 4884 3098 5469 5594 5434 7487 3715 3873 2855 2324 2717 2668 2373 2496 69 2496 103 2926 688 5422 654 15060 378 16265 138 16437 69 16609 206 16953 2236 17039 2889 16695 3405 16092 3818 15146 4162 16006 5228 17297 5331 17039 6157 17125 6707 16953 6810 16781 6638 15920 6122 13167 6707 14543 8324 17297 8461 17039 9975 16953 10146 17125 10594 16867 10628 16609 10284 13855 10559 14543 12245 17125 15925 16953 15890 16437 15271 14629 15271 10757 15718 9896 17851 15232 19089 17641 19330 17039 20499 16867 20534 16437 19915 14543 19915 4819 20155 3528 21187 5852 21428 6024 21462 4733 21428 2668 21325 2496" fillcolor="#b2b2b2"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7C3" w:rsidRDefault="001938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471.3pt;height:188.5pt;rotation:315;z-index:-251658240;mso-position-horizontal:center;mso-position-horizontal-relative:margin;mso-position-vertical:center;mso-position-vertical-relative:margin" wrapcoords="21325 2496 17851 2496 17782 2668 17748 3356 17335 2582 16750 2237 16647 2496 13999 2496 13999 2926 14618 5163 14583 8950 11625 2324 11488 1979 11316 2754 10559 8692 7464 2668 6535 2410 4815 2496 4884 3098 5469 5594 5434 7487 3715 3873 2855 2324 2717 2668 2373 2496 69 2496 103 2926 688 5422 654 15060 378 16265 138 16437 69 16609 206 16953 2236 17039 2889 16695 3405 16092 3818 15146 4162 16006 5228 17297 5331 17039 6157 17125 6707 16953 6810 16781 6638 15920 6122 13167 6707 14543 8324 17297 8461 17039 9975 16953 10146 17125 10594 16867 10628 16609 10284 13855 10559 14543 12245 17125 15925 16953 15890 16437 15271 14629 15271 10757 15718 9896 17851 15232 19089 17641 19330 17039 20499 16867 20534 16437 19915 14543 19915 4819 20155 3528 21187 5852 21428 6024 21462 4733 21428 2668 21325 2496" fillcolor="#b2b2b2"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88"/>
    <w:rsid w:val="00000490"/>
    <w:rsid w:val="00005043"/>
    <w:rsid w:val="00015DF8"/>
    <w:rsid w:val="00016511"/>
    <w:rsid w:val="00016681"/>
    <w:rsid w:val="00032523"/>
    <w:rsid w:val="00040D60"/>
    <w:rsid w:val="000625FE"/>
    <w:rsid w:val="00074800"/>
    <w:rsid w:val="000749F3"/>
    <w:rsid w:val="00077F52"/>
    <w:rsid w:val="000D5DA0"/>
    <w:rsid w:val="000D7768"/>
    <w:rsid w:val="000E63F0"/>
    <w:rsid w:val="000F2C42"/>
    <w:rsid w:val="000F38C7"/>
    <w:rsid w:val="000F3D80"/>
    <w:rsid w:val="00106F9C"/>
    <w:rsid w:val="00107FD2"/>
    <w:rsid w:val="00130BFE"/>
    <w:rsid w:val="001363C0"/>
    <w:rsid w:val="0014414A"/>
    <w:rsid w:val="001451B9"/>
    <w:rsid w:val="00146A32"/>
    <w:rsid w:val="001536C1"/>
    <w:rsid w:val="00154961"/>
    <w:rsid w:val="00163910"/>
    <w:rsid w:val="00163B02"/>
    <w:rsid w:val="00164588"/>
    <w:rsid w:val="00165258"/>
    <w:rsid w:val="00167A16"/>
    <w:rsid w:val="00174889"/>
    <w:rsid w:val="00175570"/>
    <w:rsid w:val="00184301"/>
    <w:rsid w:val="00186717"/>
    <w:rsid w:val="001938FC"/>
    <w:rsid w:val="00194038"/>
    <w:rsid w:val="001C2E42"/>
    <w:rsid w:val="001C7F92"/>
    <w:rsid w:val="001D2F9B"/>
    <w:rsid w:val="001E64F7"/>
    <w:rsid w:val="001E7627"/>
    <w:rsid w:val="00250A68"/>
    <w:rsid w:val="00254C5A"/>
    <w:rsid w:val="002653C2"/>
    <w:rsid w:val="00274299"/>
    <w:rsid w:val="00297196"/>
    <w:rsid w:val="002A4ADA"/>
    <w:rsid w:val="002C21BD"/>
    <w:rsid w:val="002C2FDA"/>
    <w:rsid w:val="002C5704"/>
    <w:rsid w:val="002D2E69"/>
    <w:rsid w:val="002D4D99"/>
    <w:rsid w:val="002D7990"/>
    <w:rsid w:val="002D7C22"/>
    <w:rsid w:val="002F0CAF"/>
    <w:rsid w:val="00300251"/>
    <w:rsid w:val="00315D23"/>
    <w:rsid w:val="003672CB"/>
    <w:rsid w:val="003777F4"/>
    <w:rsid w:val="003918EC"/>
    <w:rsid w:val="00396A26"/>
    <w:rsid w:val="00397A18"/>
    <w:rsid w:val="003A510D"/>
    <w:rsid w:val="003B17FF"/>
    <w:rsid w:val="003B4F97"/>
    <w:rsid w:val="003F55CB"/>
    <w:rsid w:val="004073BD"/>
    <w:rsid w:val="004215A1"/>
    <w:rsid w:val="00421B1C"/>
    <w:rsid w:val="0044436B"/>
    <w:rsid w:val="004559F7"/>
    <w:rsid w:val="004632FB"/>
    <w:rsid w:val="004A2521"/>
    <w:rsid w:val="004D4183"/>
    <w:rsid w:val="004E393E"/>
    <w:rsid w:val="00504215"/>
    <w:rsid w:val="00531B54"/>
    <w:rsid w:val="0054056D"/>
    <w:rsid w:val="0055685C"/>
    <w:rsid w:val="00583907"/>
    <w:rsid w:val="00593AE5"/>
    <w:rsid w:val="005A07C8"/>
    <w:rsid w:val="005A50DE"/>
    <w:rsid w:val="005B3D2B"/>
    <w:rsid w:val="005D4BFC"/>
    <w:rsid w:val="005D6C4E"/>
    <w:rsid w:val="005E469D"/>
    <w:rsid w:val="005F68E7"/>
    <w:rsid w:val="00602F17"/>
    <w:rsid w:val="00616DC1"/>
    <w:rsid w:val="00625710"/>
    <w:rsid w:val="006302EB"/>
    <w:rsid w:val="00634806"/>
    <w:rsid w:val="00642FCA"/>
    <w:rsid w:val="00672570"/>
    <w:rsid w:val="00674EC1"/>
    <w:rsid w:val="00696EB9"/>
    <w:rsid w:val="006A209D"/>
    <w:rsid w:val="006C4283"/>
    <w:rsid w:val="006C4371"/>
    <w:rsid w:val="006C4E91"/>
    <w:rsid w:val="006C77F6"/>
    <w:rsid w:val="006D5DDB"/>
    <w:rsid w:val="00706396"/>
    <w:rsid w:val="00720777"/>
    <w:rsid w:val="00725567"/>
    <w:rsid w:val="00746667"/>
    <w:rsid w:val="0075040C"/>
    <w:rsid w:val="007544F3"/>
    <w:rsid w:val="00763AFE"/>
    <w:rsid w:val="00766605"/>
    <w:rsid w:val="0077458E"/>
    <w:rsid w:val="007A6ABC"/>
    <w:rsid w:val="007B0AAC"/>
    <w:rsid w:val="007B4CB9"/>
    <w:rsid w:val="007C58DD"/>
    <w:rsid w:val="007D6834"/>
    <w:rsid w:val="008114BF"/>
    <w:rsid w:val="0081248C"/>
    <w:rsid w:val="0081370A"/>
    <w:rsid w:val="00822957"/>
    <w:rsid w:val="00844422"/>
    <w:rsid w:val="0084493C"/>
    <w:rsid w:val="00846B78"/>
    <w:rsid w:val="008471CE"/>
    <w:rsid w:val="00876452"/>
    <w:rsid w:val="008777FF"/>
    <w:rsid w:val="00877FA8"/>
    <w:rsid w:val="00892A57"/>
    <w:rsid w:val="008A4D20"/>
    <w:rsid w:val="008D2EC5"/>
    <w:rsid w:val="008E167C"/>
    <w:rsid w:val="008E6E38"/>
    <w:rsid w:val="00914631"/>
    <w:rsid w:val="00922AEF"/>
    <w:rsid w:val="00931BC5"/>
    <w:rsid w:val="00931E55"/>
    <w:rsid w:val="00982B7F"/>
    <w:rsid w:val="009A5E03"/>
    <w:rsid w:val="009E0A90"/>
    <w:rsid w:val="009F3396"/>
    <w:rsid w:val="00A042F7"/>
    <w:rsid w:val="00A144FA"/>
    <w:rsid w:val="00A2012F"/>
    <w:rsid w:val="00A3401A"/>
    <w:rsid w:val="00A47F4F"/>
    <w:rsid w:val="00A521A5"/>
    <w:rsid w:val="00A72089"/>
    <w:rsid w:val="00A87A29"/>
    <w:rsid w:val="00A93464"/>
    <w:rsid w:val="00AB55E0"/>
    <w:rsid w:val="00AB6184"/>
    <w:rsid w:val="00AC0B49"/>
    <w:rsid w:val="00AC585D"/>
    <w:rsid w:val="00AD2D66"/>
    <w:rsid w:val="00AE0EEC"/>
    <w:rsid w:val="00AF170A"/>
    <w:rsid w:val="00AF6F96"/>
    <w:rsid w:val="00B10B16"/>
    <w:rsid w:val="00B1630E"/>
    <w:rsid w:val="00B4113B"/>
    <w:rsid w:val="00B452EF"/>
    <w:rsid w:val="00B72175"/>
    <w:rsid w:val="00B72563"/>
    <w:rsid w:val="00B863A5"/>
    <w:rsid w:val="00B9564A"/>
    <w:rsid w:val="00B95E60"/>
    <w:rsid w:val="00B96668"/>
    <w:rsid w:val="00B968CC"/>
    <w:rsid w:val="00BB2089"/>
    <w:rsid w:val="00BC1604"/>
    <w:rsid w:val="00BE6760"/>
    <w:rsid w:val="00BF209C"/>
    <w:rsid w:val="00BF65F1"/>
    <w:rsid w:val="00C022EB"/>
    <w:rsid w:val="00C21AC0"/>
    <w:rsid w:val="00C23F4F"/>
    <w:rsid w:val="00C33F3B"/>
    <w:rsid w:val="00C473DE"/>
    <w:rsid w:val="00C50276"/>
    <w:rsid w:val="00C52C94"/>
    <w:rsid w:val="00C60F30"/>
    <w:rsid w:val="00C66C99"/>
    <w:rsid w:val="00C757CA"/>
    <w:rsid w:val="00C84655"/>
    <w:rsid w:val="00CC4B73"/>
    <w:rsid w:val="00CD5353"/>
    <w:rsid w:val="00CE6B13"/>
    <w:rsid w:val="00CF529C"/>
    <w:rsid w:val="00D01565"/>
    <w:rsid w:val="00D115AC"/>
    <w:rsid w:val="00D1393B"/>
    <w:rsid w:val="00D143E8"/>
    <w:rsid w:val="00D347A1"/>
    <w:rsid w:val="00D356C0"/>
    <w:rsid w:val="00D51D43"/>
    <w:rsid w:val="00D56340"/>
    <w:rsid w:val="00D62BCF"/>
    <w:rsid w:val="00D63AD5"/>
    <w:rsid w:val="00D65397"/>
    <w:rsid w:val="00D66CB4"/>
    <w:rsid w:val="00D73EAE"/>
    <w:rsid w:val="00D90799"/>
    <w:rsid w:val="00DA0511"/>
    <w:rsid w:val="00DA2A75"/>
    <w:rsid w:val="00DA788B"/>
    <w:rsid w:val="00DB1069"/>
    <w:rsid w:val="00DB1AAA"/>
    <w:rsid w:val="00DC4909"/>
    <w:rsid w:val="00DC7973"/>
    <w:rsid w:val="00DF4341"/>
    <w:rsid w:val="00E0259C"/>
    <w:rsid w:val="00E054FE"/>
    <w:rsid w:val="00E36FDA"/>
    <w:rsid w:val="00E4408C"/>
    <w:rsid w:val="00E600ED"/>
    <w:rsid w:val="00E71869"/>
    <w:rsid w:val="00E74E07"/>
    <w:rsid w:val="00E777E8"/>
    <w:rsid w:val="00E923E7"/>
    <w:rsid w:val="00EA56BB"/>
    <w:rsid w:val="00EB4C53"/>
    <w:rsid w:val="00EC7E75"/>
    <w:rsid w:val="00ED0EFC"/>
    <w:rsid w:val="00EE6588"/>
    <w:rsid w:val="00EF179A"/>
    <w:rsid w:val="00F16725"/>
    <w:rsid w:val="00F16DEC"/>
    <w:rsid w:val="00F6139E"/>
    <w:rsid w:val="00F63816"/>
    <w:rsid w:val="00F70BB2"/>
    <w:rsid w:val="00F95AE7"/>
    <w:rsid w:val="00FA16D9"/>
    <w:rsid w:val="00FC64B4"/>
    <w:rsid w:val="00FC7482"/>
    <w:rsid w:val="00FD14EA"/>
    <w:rsid w:val="00FD1EE7"/>
    <w:rsid w:val="00FD7BDA"/>
    <w:rsid w:val="00FE3D5F"/>
    <w:rsid w:val="00FF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F1D58C1"/>
  <w15:docId w15:val="{ED2CC138-EEC9-44BC-BFCF-F0CB1E29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99"/>
  </w:style>
  <w:style w:type="paragraph" w:styleId="Heading1">
    <w:name w:val="heading 1"/>
    <w:basedOn w:val="Normal"/>
    <w:next w:val="Normal"/>
    <w:qFormat/>
    <w:rsid w:val="00D90799"/>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D90799"/>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D90799"/>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D90799"/>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D90799"/>
    <w:pPr>
      <w:keepNext/>
      <w:jc w:val="center"/>
      <w:outlineLvl w:val="4"/>
    </w:pPr>
    <w:rPr>
      <w:rFonts w:ascii="CG Times" w:hAnsi="CG Times"/>
      <w:sz w:val="36"/>
    </w:rPr>
  </w:style>
  <w:style w:type="paragraph" w:styleId="Heading6">
    <w:name w:val="heading 6"/>
    <w:basedOn w:val="Normal"/>
    <w:next w:val="Normal"/>
    <w:qFormat/>
    <w:rsid w:val="00D90799"/>
    <w:pPr>
      <w:keepNext/>
      <w:widowControl w:val="0"/>
      <w:tabs>
        <w:tab w:val="right" w:pos="9504"/>
        <w:tab w:val="right" w:pos="9540"/>
      </w:tabs>
      <w:ind w:left="-144" w:right="-144"/>
      <w:jc w:val="both"/>
      <w:outlineLvl w:val="5"/>
    </w:pPr>
    <w:rPr>
      <w:i/>
      <w:spacing w:val="6"/>
      <w:sz w:val="16"/>
    </w:rPr>
  </w:style>
  <w:style w:type="paragraph" w:styleId="Heading7">
    <w:name w:val="heading 7"/>
    <w:basedOn w:val="Normal"/>
    <w:next w:val="Normal"/>
    <w:link w:val="Heading7Char"/>
    <w:qFormat/>
    <w:rsid w:val="00D90799"/>
    <w:pPr>
      <w:keepNext/>
      <w:tabs>
        <w:tab w:val="left" w:pos="-1440"/>
        <w:tab w:val="left" w:pos="-720"/>
        <w:tab w:val="left" w:pos="720"/>
        <w:tab w:val="left" w:pos="4339"/>
        <w:tab w:val="right" w:leader="dot" w:pos="7939"/>
        <w:tab w:val="left" w:pos="8059"/>
      </w:tabs>
      <w:jc w:val="center"/>
      <w:outlineLvl w:val="6"/>
    </w:pPr>
    <w:rPr>
      <w:b/>
      <w:bCs/>
      <w:szCs w:val="24"/>
    </w:rPr>
  </w:style>
  <w:style w:type="paragraph" w:styleId="Heading8">
    <w:name w:val="heading 8"/>
    <w:basedOn w:val="Normal"/>
    <w:next w:val="Normal"/>
    <w:qFormat/>
    <w:rsid w:val="00D90799"/>
    <w:pPr>
      <w:keepNext/>
      <w:tabs>
        <w:tab w:val="left" w:pos="-1440"/>
        <w:tab w:val="left" w:pos="-720"/>
        <w:tab w:val="left" w:pos="720"/>
        <w:tab w:val="left" w:pos="4339"/>
        <w:tab w:val="right" w:leader="dot" w:pos="7939"/>
        <w:tab w:val="left" w:pos="8059"/>
      </w:tabs>
      <w:jc w:val="center"/>
      <w:outlineLvl w:val="7"/>
    </w:pPr>
    <w:rPr>
      <w:b/>
      <w:bCs/>
      <w:sz w:val="24"/>
      <w:szCs w:val="24"/>
    </w:rPr>
  </w:style>
  <w:style w:type="paragraph" w:styleId="Heading9">
    <w:name w:val="heading 9"/>
    <w:basedOn w:val="Normal"/>
    <w:next w:val="Normal"/>
    <w:link w:val="Heading9Char"/>
    <w:qFormat/>
    <w:rsid w:val="00D90799"/>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0799"/>
    <w:pPr>
      <w:tabs>
        <w:tab w:val="center" w:pos="4320"/>
        <w:tab w:val="right" w:pos="8640"/>
      </w:tabs>
    </w:pPr>
  </w:style>
  <w:style w:type="paragraph" w:styleId="Footer">
    <w:name w:val="footer"/>
    <w:basedOn w:val="Normal"/>
    <w:rsid w:val="00D90799"/>
    <w:pPr>
      <w:tabs>
        <w:tab w:val="center" w:pos="4320"/>
        <w:tab w:val="right" w:pos="8640"/>
      </w:tabs>
    </w:pPr>
  </w:style>
  <w:style w:type="character" w:styleId="PageNumber">
    <w:name w:val="page number"/>
    <w:basedOn w:val="DefaultParagraphFont"/>
    <w:rsid w:val="00D90799"/>
  </w:style>
  <w:style w:type="paragraph" w:styleId="Title">
    <w:name w:val="Title"/>
    <w:basedOn w:val="Normal"/>
    <w:qFormat/>
    <w:rsid w:val="00D90799"/>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D90799"/>
    <w:pPr>
      <w:jc w:val="center"/>
    </w:pPr>
    <w:rPr>
      <w:rFonts w:ascii="Lincoln" w:hAnsi="Lincoln"/>
      <w:sz w:val="60"/>
    </w:rPr>
  </w:style>
  <w:style w:type="paragraph" w:styleId="BodyText">
    <w:name w:val="Body Text"/>
    <w:basedOn w:val="Normal"/>
    <w:rsid w:val="00D90799"/>
    <w:pPr>
      <w:jc w:val="both"/>
    </w:pPr>
    <w:rPr>
      <w:rFonts w:ascii="CG Times" w:hAnsi="CG Times"/>
      <w:snapToGrid w:val="0"/>
    </w:rPr>
  </w:style>
  <w:style w:type="paragraph" w:styleId="BodyText3">
    <w:name w:val="Body Text 3"/>
    <w:basedOn w:val="Normal"/>
    <w:rsid w:val="00D90799"/>
    <w:rPr>
      <w:i/>
    </w:rPr>
  </w:style>
  <w:style w:type="paragraph" w:styleId="BodyTextIndent">
    <w:name w:val="Body Text Indent"/>
    <w:basedOn w:val="Normal"/>
    <w:rsid w:val="00D90799"/>
    <w:pPr>
      <w:widowControl w:val="0"/>
      <w:ind w:left="720" w:hanging="720"/>
      <w:jc w:val="both"/>
    </w:pPr>
    <w:rPr>
      <w:snapToGrid w:val="0"/>
      <w:sz w:val="24"/>
    </w:rPr>
  </w:style>
  <w:style w:type="paragraph" w:styleId="BodyTextIndent2">
    <w:name w:val="Body Text Indent 2"/>
    <w:basedOn w:val="Normal"/>
    <w:rsid w:val="00D90799"/>
    <w:pPr>
      <w:widowControl w:val="0"/>
      <w:tabs>
        <w:tab w:val="left" w:pos="-1440"/>
      </w:tabs>
      <w:ind w:left="360"/>
    </w:pPr>
    <w:rPr>
      <w:snapToGrid w:val="0"/>
      <w:sz w:val="24"/>
    </w:rPr>
  </w:style>
  <w:style w:type="character" w:styleId="FootnoteReference">
    <w:name w:val="footnote reference"/>
    <w:basedOn w:val="DefaultParagraphFont"/>
    <w:semiHidden/>
    <w:rsid w:val="00D90799"/>
  </w:style>
  <w:style w:type="paragraph" w:styleId="BodyText2">
    <w:name w:val="Body Text 2"/>
    <w:basedOn w:val="Normal"/>
    <w:rsid w:val="00D90799"/>
    <w:pPr>
      <w:widowControl w:val="0"/>
      <w:tabs>
        <w:tab w:val="right" w:pos="9504"/>
      </w:tabs>
      <w:ind w:right="-144"/>
      <w:jc w:val="both"/>
    </w:pPr>
  </w:style>
  <w:style w:type="paragraph" w:styleId="FootnoteText">
    <w:name w:val="footnote text"/>
    <w:basedOn w:val="Normal"/>
    <w:semiHidden/>
    <w:rsid w:val="00D90799"/>
  </w:style>
  <w:style w:type="paragraph" w:styleId="BodyTextIndent3">
    <w:name w:val="Body Text Indent 3"/>
    <w:basedOn w:val="Normal"/>
    <w:rsid w:val="00D90799"/>
    <w:pPr>
      <w:widowControl w:val="0"/>
      <w:tabs>
        <w:tab w:val="left" w:pos="504"/>
      </w:tabs>
      <w:ind w:left="504" w:hanging="504"/>
      <w:jc w:val="both"/>
    </w:pPr>
  </w:style>
  <w:style w:type="paragraph" w:styleId="BlockText">
    <w:name w:val="Block Text"/>
    <w:basedOn w:val="Normal"/>
    <w:rsid w:val="00D90799"/>
    <w:pPr>
      <w:widowControl w:val="0"/>
      <w:ind w:left="-144" w:right="-144"/>
      <w:jc w:val="both"/>
    </w:pPr>
  </w:style>
  <w:style w:type="paragraph" w:styleId="BalloonText">
    <w:name w:val="Balloon Text"/>
    <w:basedOn w:val="Normal"/>
    <w:link w:val="BalloonTextChar"/>
    <w:rsid w:val="00F70BB2"/>
    <w:rPr>
      <w:rFonts w:ascii="Tahoma" w:hAnsi="Tahoma" w:cs="Tahoma"/>
      <w:sz w:val="16"/>
      <w:szCs w:val="16"/>
    </w:rPr>
  </w:style>
  <w:style w:type="character" w:customStyle="1" w:styleId="BalloonTextChar">
    <w:name w:val="Balloon Text Char"/>
    <w:basedOn w:val="DefaultParagraphFont"/>
    <w:link w:val="BalloonText"/>
    <w:rsid w:val="00F70BB2"/>
    <w:rPr>
      <w:rFonts w:ascii="Tahoma" w:hAnsi="Tahoma" w:cs="Tahoma"/>
      <w:sz w:val="16"/>
      <w:szCs w:val="16"/>
    </w:rPr>
  </w:style>
  <w:style w:type="paragraph" w:styleId="Revision">
    <w:name w:val="Revision"/>
    <w:hidden/>
    <w:uiPriority w:val="99"/>
    <w:semiHidden/>
    <w:rsid w:val="000F38C7"/>
  </w:style>
  <w:style w:type="character" w:styleId="CommentReference">
    <w:name w:val="annotation reference"/>
    <w:basedOn w:val="DefaultParagraphFont"/>
    <w:rsid w:val="000F38C7"/>
    <w:rPr>
      <w:sz w:val="16"/>
      <w:szCs w:val="16"/>
    </w:rPr>
  </w:style>
  <w:style w:type="paragraph" w:styleId="CommentText">
    <w:name w:val="annotation text"/>
    <w:basedOn w:val="Normal"/>
    <w:link w:val="CommentTextChar"/>
    <w:rsid w:val="000F38C7"/>
  </w:style>
  <w:style w:type="character" w:customStyle="1" w:styleId="CommentTextChar">
    <w:name w:val="Comment Text Char"/>
    <w:basedOn w:val="DefaultParagraphFont"/>
    <w:link w:val="CommentText"/>
    <w:rsid w:val="000F38C7"/>
  </w:style>
  <w:style w:type="paragraph" w:styleId="CommentSubject">
    <w:name w:val="annotation subject"/>
    <w:basedOn w:val="CommentText"/>
    <w:next w:val="CommentText"/>
    <w:link w:val="CommentSubjectChar"/>
    <w:rsid w:val="000F38C7"/>
    <w:rPr>
      <w:b/>
      <w:bCs/>
    </w:rPr>
  </w:style>
  <w:style w:type="character" w:customStyle="1" w:styleId="CommentSubjectChar">
    <w:name w:val="Comment Subject Char"/>
    <w:basedOn w:val="CommentTextChar"/>
    <w:link w:val="CommentSubject"/>
    <w:rsid w:val="000F38C7"/>
    <w:rPr>
      <w:b/>
      <w:bCs/>
    </w:rPr>
  </w:style>
  <w:style w:type="character" w:customStyle="1" w:styleId="Heading7Char">
    <w:name w:val="Heading 7 Char"/>
    <w:basedOn w:val="DefaultParagraphFont"/>
    <w:link w:val="Heading7"/>
    <w:rsid w:val="00130BFE"/>
    <w:rPr>
      <w:b/>
      <w:bCs/>
      <w:szCs w:val="24"/>
    </w:rPr>
  </w:style>
  <w:style w:type="character" w:customStyle="1" w:styleId="HeaderChar">
    <w:name w:val="Header Char"/>
    <w:basedOn w:val="DefaultParagraphFont"/>
    <w:link w:val="Header"/>
    <w:rsid w:val="00130BFE"/>
  </w:style>
  <w:style w:type="character" w:customStyle="1" w:styleId="Heading9Char">
    <w:name w:val="Heading 9 Char"/>
    <w:basedOn w:val="DefaultParagraphFont"/>
    <w:link w:val="Heading9"/>
    <w:rsid w:val="004D4183"/>
    <w:rPr>
      <w:b/>
    </w:rPr>
  </w:style>
  <w:style w:type="paragraph" w:customStyle="1" w:styleId="Default">
    <w:name w:val="Default"/>
    <w:rsid w:val="006C4E91"/>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E71869"/>
    <w:pPr>
      <w:ind w:left="720"/>
      <w:contextualSpacing/>
    </w:pPr>
  </w:style>
  <w:style w:type="character" w:styleId="Hyperlink">
    <w:name w:val="Hyperlink"/>
    <w:basedOn w:val="DefaultParagraphFont"/>
    <w:rsid w:val="00396A26"/>
    <w:rPr>
      <w:color w:val="0000FF" w:themeColor="hyperlink"/>
      <w:u w:val="single"/>
    </w:rPr>
  </w:style>
  <w:style w:type="character" w:styleId="FollowedHyperlink">
    <w:name w:val="FollowedHyperlink"/>
    <w:basedOn w:val="DefaultParagraphFont"/>
    <w:rsid w:val="00B163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hysics.nist.gov/Pub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s.nist.gov/WeightsAndMeasures/Metric/mpo_pubs.cfm" TargetMode="External"/><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publications.cf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hyperlink" Target="mailto:srminfo@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085DD-934E-4767-AED2-F935CA8C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2212</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Barber, Chuck</cp:lastModifiedBy>
  <cp:revision>3</cp:revision>
  <cp:lastPrinted>2015-12-31T13:29:00Z</cp:lastPrinted>
  <dcterms:created xsi:type="dcterms:W3CDTF">2015-12-31T13:28:00Z</dcterms:created>
  <dcterms:modified xsi:type="dcterms:W3CDTF">2015-12-31T13:29:00Z</dcterms:modified>
</cp:coreProperties>
</file>