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E7B" w:rsidRDefault="00A82C50">
      <w:pPr>
        <w:pStyle w:val="Title"/>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2.45pt;margin-top:-19.5pt;width:96pt;height:63.75pt;z-index:-251658752" o:allowincell="f" fillcolor="window">
            <v:imagedata r:id="rId8" o:title=""/>
          </v:shape>
          <o:OLEObject Type="Embed" ProgID="Word.Document.8" ShapeID="_x0000_s1031" DrawAspect="Content" ObjectID="_1360765046" r:id="rId9">
            <o:FieldCodes>\s</o:FieldCodes>
          </o:OLEObject>
        </w:pict>
      </w:r>
      <w:r w:rsidR="00745E7B">
        <w:rPr>
          <w:rFonts w:ascii="Linotext" w:hAnsi="Linotext"/>
        </w:rPr>
        <w:t>National Institute of Standards &amp; Technology</w:t>
      </w:r>
    </w:p>
    <w:p w:rsidR="00745E7B" w:rsidRDefault="00745E7B">
      <w:pPr>
        <w:widowControl w:val="0"/>
        <w:tabs>
          <w:tab w:val="left" w:pos="990"/>
        </w:tabs>
        <w:jc w:val="center"/>
        <w:rPr>
          <w:rFonts w:ascii="Linotext" w:hAnsi="Linotext"/>
        </w:rPr>
      </w:pPr>
    </w:p>
    <w:p w:rsidR="00745E7B" w:rsidRPr="00CA10E8" w:rsidRDefault="00745E7B">
      <w:pPr>
        <w:pStyle w:val="Subtitle"/>
        <w:tabs>
          <w:tab w:val="left" w:pos="990"/>
        </w:tabs>
        <w:rPr>
          <w:rFonts w:ascii="Linotext" w:hAnsi="Linotext"/>
        </w:rPr>
      </w:pPr>
      <w:r w:rsidRPr="00CA10E8">
        <w:rPr>
          <w:rFonts w:ascii="Linotext" w:hAnsi="Linotext"/>
        </w:rPr>
        <w:t>Report of Investigation</w:t>
      </w:r>
    </w:p>
    <w:p w:rsidR="00745E7B" w:rsidRDefault="00745E7B">
      <w:pPr>
        <w:tabs>
          <w:tab w:val="left" w:pos="990"/>
        </w:tabs>
        <w:jc w:val="center"/>
        <w:rPr>
          <w:rFonts w:ascii="Linotext" w:hAnsi="Linotext"/>
        </w:rPr>
      </w:pPr>
    </w:p>
    <w:p w:rsidR="00745E7B" w:rsidRDefault="00745E7B">
      <w:pPr>
        <w:pStyle w:val="Heading5"/>
        <w:rPr>
          <w:rFonts w:ascii="Times New Roman" w:hAnsi="Times New Roman"/>
        </w:rPr>
      </w:pPr>
      <w:r>
        <w:rPr>
          <w:rFonts w:ascii="Times New Roman" w:hAnsi="Times New Roman"/>
        </w:rPr>
        <w:t xml:space="preserve">Reference </w:t>
      </w:r>
      <w:r w:rsidR="00E82F93">
        <w:rPr>
          <w:rFonts w:ascii="Times New Roman" w:hAnsi="Times New Roman"/>
        </w:rPr>
        <w:t>Material </w:t>
      </w:r>
      <w:r>
        <w:rPr>
          <w:rFonts w:ascii="Times New Roman" w:hAnsi="Times New Roman"/>
        </w:rPr>
        <w:t>8491</w:t>
      </w:r>
    </w:p>
    <w:p w:rsidR="00745E7B" w:rsidRDefault="00745E7B">
      <w:pPr>
        <w:jc w:val="center"/>
      </w:pPr>
    </w:p>
    <w:p w:rsidR="00745E7B" w:rsidRPr="00E15157" w:rsidRDefault="00AF6FDB">
      <w:pPr>
        <w:pStyle w:val="Heading9"/>
        <w:rPr>
          <w:rFonts w:ascii="Times New Roman" w:hAnsi="Times New Roman"/>
          <w:sz w:val="28"/>
          <w:szCs w:val="28"/>
        </w:rPr>
      </w:pPr>
      <w:r w:rsidRPr="00AF6FDB">
        <w:rPr>
          <w:rFonts w:ascii="Times New Roman" w:hAnsi="Times New Roman"/>
          <w:sz w:val="28"/>
          <w:szCs w:val="28"/>
        </w:rPr>
        <w:t xml:space="preserve">Sugarcane </w:t>
      </w:r>
      <w:proofErr w:type="spellStart"/>
      <w:r w:rsidRPr="00AF6FDB">
        <w:rPr>
          <w:rFonts w:ascii="Times New Roman" w:hAnsi="Times New Roman"/>
          <w:sz w:val="28"/>
          <w:szCs w:val="28"/>
        </w:rPr>
        <w:t>Bagasse</w:t>
      </w:r>
      <w:proofErr w:type="spellEnd"/>
      <w:r w:rsidRPr="00AF6FDB">
        <w:rPr>
          <w:rFonts w:ascii="Times New Roman" w:hAnsi="Times New Roman"/>
          <w:sz w:val="28"/>
          <w:szCs w:val="28"/>
        </w:rPr>
        <w:t xml:space="preserve"> Whole Biomass Feedstock</w:t>
      </w:r>
    </w:p>
    <w:p w:rsidR="00745E7B" w:rsidRDefault="00745E7B">
      <w:pPr>
        <w:jc w:val="center"/>
      </w:pPr>
    </w:p>
    <w:p w:rsidR="00E73850" w:rsidRPr="00E15157" w:rsidRDefault="00AF6FDB">
      <w:pPr>
        <w:jc w:val="center"/>
        <w:rPr>
          <w:i/>
          <w:sz w:val="24"/>
          <w:szCs w:val="24"/>
        </w:rPr>
      </w:pPr>
      <w:r w:rsidRPr="00AF6FDB">
        <w:rPr>
          <w:i/>
          <w:sz w:val="24"/>
          <w:szCs w:val="24"/>
        </w:rPr>
        <w:t xml:space="preserve">A Joint Material of the </w:t>
      </w:r>
    </w:p>
    <w:p w:rsidR="00745E7B" w:rsidRPr="00E15157" w:rsidRDefault="00AF6FDB">
      <w:pPr>
        <w:jc w:val="center"/>
        <w:rPr>
          <w:sz w:val="24"/>
          <w:szCs w:val="24"/>
        </w:rPr>
      </w:pPr>
      <w:r w:rsidRPr="00AF6FDB">
        <w:rPr>
          <w:i/>
          <w:sz w:val="24"/>
          <w:szCs w:val="24"/>
        </w:rPr>
        <w:t>International Energy Agency (IEA) Biomass Annex, National Renewable Energy Laboratory (NREL), and NIST</w:t>
      </w:r>
    </w:p>
    <w:p w:rsidR="00745E7B" w:rsidRDefault="00745E7B"/>
    <w:p w:rsidR="00745E7B" w:rsidRDefault="00D0016F" w:rsidP="00200C7D">
      <w:pPr>
        <w:jc w:val="both"/>
      </w:pPr>
      <w:r>
        <w:t xml:space="preserve">This </w:t>
      </w:r>
      <w:r w:rsidR="00745E7B">
        <w:t>Reference Material</w:t>
      </w:r>
      <w:r w:rsidR="00055DD9">
        <w:t> </w:t>
      </w:r>
      <w:r w:rsidR="00745E7B">
        <w:t xml:space="preserve">(RM) </w:t>
      </w:r>
      <w:r>
        <w:t>is</w:t>
      </w:r>
      <w:r w:rsidR="00745E7B">
        <w:t xml:space="preserve"> intended primarily for use in evaluating analytical methods for the determination of summative composition of </w:t>
      </w:r>
      <w:proofErr w:type="spellStart"/>
      <w:r w:rsidR="00745E7B">
        <w:t>lignocellulosic</w:t>
      </w:r>
      <w:proofErr w:type="spellEnd"/>
      <w:r w:rsidR="00745E7B">
        <w:t xml:space="preserve"> material.  The RM can also be used for quality assurance when assigning values to in-house control materials.  The whole </w:t>
      </w:r>
      <w:r w:rsidR="000228F4">
        <w:t xml:space="preserve">herbaceous </w:t>
      </w:r>
      <w:r w:rsidR="00745E7B">
        <w:t xml:space="preserve">biomass material </w:t>
      </w:r>
      <w:r>
        <w:t>is</w:t>
      </w:r>
      <w:r w:rsidR="00745E7B">
        <w:t xml:space="preserve"> derived from sugarcane </w:t>
      </w:r>
      <w:proofErr w:type="spellStart"/>
      <w:r w:rsidR="00745E7B">
        <w:t>bagasse</w:t>
      </w:r>
      <w:proofErr w:type="spellEnd"/>
      <w:r w:rsidR="00745E7B">
        <w:t xml:space="preserve"> (</w:t>
      </w:r>
      <w:proofErr w:type="spellStart"/>
      <w:r w:rsidR="00745E7B">
        <w:rPr>
          <w:i/>
        </w:rPr>
        <w:t>Saccharum</w:t>
      </w:r>
      <w:proofErr w:type="spellEnd"/>
      <w:r w:rsidR="009C4C2D">
        <w:rPr>
          <w:i/>
        </w:rPr>
        <w:t> </w:t>
      </w:r>
      <w:r w:rsidR="00745E7B" w:rsidRPr="004B3722">
        <w:t>spp.</w:t>
      </w:r>
      <w:r w:rsidR="00745E7B">
        <w:t>)</w:t>
      </w:r>
      <w:r w:rsidR="00BE3314">
        <w:t xml:space="preserve">.  </w:t>
      </w:r>
      <w:r w:rsidR="00745E7B">
        <w:t xml:space="preserve">A unit of </w:t>
      </w:r>
      <w:r>
        <w:t>the</w:t>
      </w:r>
      <w:r w:rsidR="00745E7B">
        <w:t xml:space="preserve"> RM consists of five </w:t>
      </w:r>
      <w:proofErr w:type="spellStart"/>
      <w:r w:rsidR="00745E7B">
        <w:t>single</w:t>
      </w:r>
      <w:r w:rsidR="00E15157">
        <w:noBreakHyphen/>
      </w:r>
      <w:r w:rsidR="00745E7B">
        <w:t>use</w:t>
      </w:r>
      <w:proofErr w:type="spellEnd"/>
      <w:r w:rsidR="00745E7B">
        <w:t xml:space="preserve"> </w:t>
      </w:r>
      <w:r w:rsidR="003958BB">
        <w:t>M</w:t>
      </w:r>
      <w:r w:rsidR="00745E7B">
        <w:t>ylar bags of whole biomass, each containing approximately 10</w:t>
      </w:r>
      <w:r w:rsidR="009C4C2D">
        <w:t> </w:t>
      </w:r>
      <w:r w:rsidR="00745E7B">
        <w:t>g of material.</w:t>
      </w:r>
    </w:p>
    <w:p w:rsidR="00745E7B" w:rsidRDefault="00745E7B" w:rsidP="00200C7D">
      <w:pPr>
        <w:jc w:val="both"/>
      </w:pPr>
    </w:p>
    <w:p w:rsidR="00745E7B" w:rsidRPr="00A84615" w:rsidRDefault="00745E7B" w:rsidP="00A84615">
      <w:pPr>
        <w:jc w:val="both"/>
      </w:pPr>
      <w:r>
        <w:rPr>
          <w:b/>
        </w:rPr>
        <w:t xml:space="preserve">Reference </w:t>
      </w:r>
      <w:r w:rsidR="002C5E37">
        <w:rPr>
          <w:b/>
        </w:rPr>
        <w:t xml:space="preserve">Mass Fraction </w:t>
      </w:r>
      <w:r>
        <w:rPr>
          <w:b/>
        </w:rPr>
        <w:t>Values:</w:t>
      </w:r>
      <w:r w:rsidR="00911F9D" w:rsidRPr="00911F9D">
        <w:t xml:space="preserve"> </w:t>
      </w:r>
      <w:r>
        <w:t xml:space="preserve"> The reference values for </w:t>
      </w:r>
      <w:r w:rsidR="00DB066B">
        <w:t xml:space="preserve">water extractives, </w:t>
      </w:r>
      <w:r>
        <w:t xml:space="preserve">ethanol extractives, </w:t>
      </w:r>
      <w:r w:rsidR="00DB066B">
        <w:t xml:space="preserve">sucrose, </w:t>
      </w:r>
      <w:proofErr w:type="spellStart"/>
      <w:r w:rsidR="00DB066B">
        <w:t>glucan</w:t>
      </w:r>
      <w:proofErr w:type="spellEnd"/>
      <w:r w:rsidR="00DB066B">
        <w:t xml:space="preserve">, </w:t>
      </w:r>
      <w:proofErr w:type="spellStart"/>
      <w:r w:rsidR="00DB066B">
        <w:t>xylan</w:t>
      </w:r>
      <w:proofErr w:type="spellEnd"/>
      <w:r w:rsidR="00DB066B">
        <w:t xml:space="preserve">, </w:t>
      </w:r>
      <w:proofErr w:type="spellStart"/>
      <w:r w:rsidR="00DB066B">
        <w:t>arabinan</w:t>
      </w:r>
      <w:proofErr w:type="spellEnd"/>
      <w:r w:rsidR="00DB066B">
        <w:t xml:space="preserve">, </w:t>
      </w:r>
      <w:proofErr w:type="spellStart"/>
      <w:r w:rsidR="00DB066B">
        <w:t>galactan</w:t>
      </w:r>
      <w:proofErr w:type="spellEnd"/>
      <w:r w:rsidR="00DB066B">
        <w:t xml:space="preserve">, </w:t>
      </w:r>
      <w:proofErr w:type="spellStart"/>
      <w:r w:rsidR="00DB066B">
        <w:t>mannan</w:t>
      </w:r>
      <w:proofErr w:type="spellEnd"/>
      <w:r w:rsidR="00DB066B">
        <w:t xml:space="preserve">, total lignin, </w:t>
      </w:r>
      <w:proofErr w:type="spellStart"/>
      <w:r w:rsidR="00DB066B">
        <w:t>acid</w:t>
      </w:r>
      <w:r w:rsidR="00A30D69">
        <w:noBreakHyphen/>
      </w:r>
      <w:r w:rsidR="00DB066B">
        <w:t>insoluble</w:t>
      </w:r>
      <w:proofErr w:type="spellEnd"/>
      <w:r w:rsidR="00DB066B">
        <w:t xml:space="preserve"> residue, </w:t>
      </w:r>
      <w:proofErr w:type="spellStart"/>
      <w:r w:rsidR="00DB066B">
        <w:t>acid</w:t>
      </w:r>
      <w:r w:rsidR="0089374A">
        <w:noBreakHyphen/>
      </w:r>
      <w:r w:rsidR="00DB066B">
        <w:t>soluble</w:t>
      </w:r>
      <w:proofErr w:type="spellEnd"/>
      <w:r w:rsidR="00DB066B">
        <w:t xml:space="preserve"> lignin, </w:t>
      </w:r>
      <w:r w:rsidR="00624E2E">
        <w:t>nitrogen (for calculation of protein)</w:t>
      </w:r>
      <w:r w:rsidR="00DB066B">
        <w:t xml:space="preserve">, acetyl, </w:t>
      </w:r>
      <w:proofErr w:type="spellStart"/>
      <w:r w:rsidR="00DB066B">
        <w:t>extractives</w:t>
      </w:r>
      <w:r w:rsidR="00A30D69">
        <w:noBreakHyphen/>
      </w:r>
      <w:r w:rsidR="00DB066B">
        <w:t>free</w:t>
      </w:r>
      <w:proofErr w:type="spellEnd"/>
      <w:r w:rsidR="00DB066B">
        <w:t xml:space="preserve"> ash, and whole ash</w:t>
      </w:r>
      <w:r>
        <w:t xml:space="preserve"> are listed in Table</w:t>
      </w:r>
      <w:r w:rsidR="00055DD9">
        <w:t> </w:t>
      </w:r>
      <w:r>
        <w:t>1</w:t>
      </w:r>
      <w:r w:rsidR="002C5E37">
        <w:t xml:space="preserve"> and are reported as mass fractions</w:t>
      </w:r>
      <w:r w:rsidR="00A76C06">
        <w:t xml:space="preserve"> on </w:t>
      </w:r>
      <w:r w:rsidR="00E942D6">
        <w:t xml:space="preserve">a </w:t>
      </w:r>
      <w:proofErr w:type="spellStart"/>
      <w:r w:rsidR="00200A2E">
        <w:t>dry</w:t>
      </w:r>
      <w:r w:rsidR="00AF44B4">
        <w:noBreakHyphen/>
      </w:r>
      <w:r w:rsidR="00200A2E">
        <w:t>mass</w:t>
      </w:r>
      <w:proofErr w:type="spellEnd"/>
      <w:r w:rsidR="00200A2E">
        <w:t xml:space="preserve"> </w:t>
      </w:r>
      <w:r w:rsidR="00A76C06">
        <w:t>basis</w:t>
      </w:r>
      <w:r w:rsidR="00A84615">
        <w:t> [1]</w:t>
      </w:r>
      <w:r>
        <w:t xml:space="preserve">.  These reference values are derived from results reported in an </w:t>
      </w:r>
      <w:proofErr w:type="spellStart"/>
      <w:r>
        <w:t>interlaboratory</w:t>
      </w:r>
      <w:proofErr w:type="spellEnd"/>
      <w:r>
        <w:t xml:space="preserve"> comparison </w:t>
      </w:r>
      <w:r w:rsidR="00D0016F">
        <w:t xml:space="preserve">exercise </w:t>
      </w:r>
      <w:r>
        <w:t>organized by the National Renewable Energy Laboratory</w:t>
      </w:r>
      <w:r w:rsidR="00055DD9">
        <w:t> </w:t>
      </w:r>
      <w:r>
        <w:t>(NREL</w:t>
      </w:r>
      <w:r w:rsidR="00D0016F">
        <w:t xml:space="preserve">, </w:t>
      </w:r>
      <w:r>
        <w:t>Golden,</w:t>
      </w:r>
      <w:r w:rsidR="00055DD9">
        <w:t> </w:t>
      </w:r>
      <w:r>
        <w:t>CO</w:t>
      </w:r>
      <w:r w:rsidR="00D0016F">
        <w:t>) and NIST</w:t>
      </w:r>
      <w:r>
        <w:t xml:space="preserve">.  The participating laboratories used </w:t>
      </w:r>
      <w:r w:rsidR="00D0016F">
        <w:t xml:space="preserve">their </w:t>
      </w:r>
      <w:r w:rsidR="00A84615">
        <w:t xml:space="preserve">established </w:t>
      </w:r>
      <w:r>
        <w:t>analytical protocols</w:t>
      </w:r>
      <w:r w:rsidRPr="00A84615">
        <w:t xml:space="preserve">. </w:t>
      </w:r>
      <w:r w:rsidR="00A84615" w:rsidRPr="00A84615">
        <w:t xml:space="preserve"> </w:t>
      </w:r>
      <w:r w:rsidR="00D0016F" w:rsidRPr="00A84615">
        <w:t xml:space="preserve">A NIST reference value is a noncertified value that is the best estimate of the true value based on available data; however, the value does not meet the NIST criteria for certification and is provided with associated uncertainties that may reflect only measurement reproducibility, may not include all sources of uncertainty, </w:t>
      </w:r>
      <w:r w:rsidR="00AF44B4">
        <w:t>and/</w:t>
      </w:r>
      <w:r w:rsidR="00D0016F" w:rsidRPr="00A84615">
        <w:t>or may reflect a lack of sufficient statistical agreement among multiple analytical methods</w:t>
      </w:r>
      <w:r w:rsidR="00A84615" w:rsidRPr="00A84615">
        <w:t> [2]</w:t>
      </w:r>
      <w:r w:rsidR="00D0016F" w:rsidRPr="00A84615">
        <w:t>.</w:t>
      </w:r>
    </w:p>
    <w:p w:rsidR="00745E7B" w:rsidRDefault="00745E7B" w:rsidP="00200C7D">
      <w:pPr>
        <w:pStyle w:val="Header"/>
        <w:tabs>
          <w:tab w:val="clear" w:pos="4320"/>
          <w:tab w:val="clear" w:pos="8640"/>
        </w:tabs>
        <w:jc w:val="both"/>
      </w:pPr>
    </w:p>
    <w:p w:rsidR="00745E7B" w:rsidRDefault="00745E7B" w:rsidP="00200C7D">
      <w:pPr>
        <w:jc w:val="both"/>
        <w:rPr>
          <w:snapToGrid w:val="0"/>
        </w:rPr>
      </w:pPr>
      <w:r>
        <w:rPr>
          <w:b/>
          <w:snapToGrid w:val="0"/>
        </w:rPr>
        <w:t>Expiration of Reference Values:</w:t>
      </w:r>
      <w:r>
        <w:rPr>
          <w:snapToGrid w:val="0"/>
        </w:rPr>
        <w:t xml:space="preserve">  </w:t>
      </w:r>
      <w:r w:rsidR="00217AC1" w:rsidRPr="00217AC1">
        <w:rPr>
          <w:b/>
          <w:snapToGrid w:val="0"/>
        </w:rPr>
        <w:t>RM 8491</w:t>
      </w:r>
      <w:r w:rsidR="00E15157" w:rsidRPr="00E15157">
        <w:rPr>
          <w:iCs/>
        </w:rPr>
        <w:t xml:space="preserve"> </w:t>
      </w:r>
      <w:r w:rsidR="00E15157" w:rsidRPr="00B703FE">
        <w:rPr>
          <w:iCs/>
        </w:rPr>
        <w:t>is valid, within the measurement uncertainty specified, until</w:t>
      </w:r>
      <w:r>
        <w:rPr>
          <w:snapToGrid w:val="0"/>
        </w:rPr>
        <w:t xml:space="preserve"> </w:t>
      </w:r>
      <w:r>
        <w:rPr>
          <w:b/>
          <w:snapToGrid w:val="0"/>
        </w:rPr>
        <w:t>01</w:t>
      </w:r>
      <w:r w:rsidR="00055DD9">
        <w:rPr>
          <w:b/>
          <w:snapToGrid w:val="0"/>
        </w:rPr>
        <w:t> </w:t>
      </w:r>
      <w:r>
        <w:rPr>
          <w:b/>
          <w:snapToGrid w:val="0"/>
        </w:rPr>
        <w:t>June</w:t>
      </w:r>
      <w:r w:rsidR="00055DD9">
        <w:rPr>
          <w:b/>
          <w:snapToGrid w:val="0"/>
        </w:rPr>
        <w:t> </w:t>
      </w:r>
      <w:r w:rsidR="00CA10E8">
        <w:rPr>
          <w:b/>
          <w:snapToGrid w:val="0"/>
        </w:rPr>
        <w:t>2020</w:t>
      </w:r>
      <w:r>
        <w:rPr>
          <w:snapToGrid w:val="0"/>
        </w:rPr>
        <w:t>, provided the RM</w:t>
      </w:r>
      <w:r w:rsidR="00746E12">
        <w:rPr>
          <w:snapToGrid w:val="0"/>
        </w:rPr>
        <w:t xml:space="preserve"> is</w:t>
      </w:r>
      <w:r>
        <w:rPr>
          <w:snapToGrid w:val="0"/>
        </w:rPr>
        <w:t xml:space="preserve"> handled and stored in accordance with the instructions given in this </w:t>
      </w:r>
      <w:r w:rsidR="00AF44B4">
        <w:rPr>
          <w:snapToGrid w:val="0"/>
        </w:rPr>
        <w:t xml:space="preserve">Report of Investigation (see “Instructions for Storage and Use”).  This report is </w:t>
      </w:r>
      <w:r>
        <w:rPr>
          <w:snapToGrid w:val="0"/>
        </w:rPr>
        <w:t xml:space="preserve">nullified if the RM </w:t>
      </w:r>
      <w:r w:rsidR="0089374A">
        <w:rPr>
          <w:snapToGrid w:val="0"/>
        </w:rPr>
        <w:t xml:space="preserve">is </w:t>
      </w:r>
      <w:r w:rsidR="00AF44B4">
        <w:rPr>
          <w:snapToGrid w:val="0"/>
        </w:rPr>
        <w:t xml:space="preserve">damaged, </w:t>
      </w:r>
      <w:r>
        <w:rPr>
          <w:snapToGrid w:val="0"/>
        </w:rPr>
        <w:t>contaminated</w:t>
      </w:r>
      <w:r w:rsidR="004B3722">
        <w:rPr>
          <w:snapToGrid w:val="0"/>
        </w:rPr>
        <w:t>,</w:t>
      </w:r>
      <w:r>
        <w:rPr>
          <w:snapToGrid w:val="0"/>
        </w:rPr>
        <w:t xml:space="preserve"> or </w:t>
      </w:r>
      <w:r w:rsidR="00AF44B4">
        <w:rPr>
          <w:snapToGrid w:val="0"/>
        </w:rPr>
        <w:t xml:space="preserve">otherwise </w:t>
      </w:r>
      <w:r>
        <w:rPr>
          <w:snapToGrid w:val="0"/>
        </w:rPr>
        <w:t>modified.</w:t>
      </w:r>
    </w:p>
    <w:p w:rsidR="00D0016F" w:rsidRDefault="00D0016F" w:rsidP="00200C7D">
      <w:pPr>
        <w:jc w:val="both"/>
        <w:rPr>
          <w:snapToGrid w:val="0"/>
        </w:rPr>
      </w:pPr>
    </w:p>
    <w:p w:rsidR="00D0016F" w:rsidRDefault="004B3722" w:rsidP="00200C7D">
      <w:pPr>
        <w:widowControl w:val="0"/>
        <w:jc w:val="both"/>
      </w:pPr>
      <w:r>
        <w:rPr>
          <w:b/>
        </w:rPr>
        <w:t>Maintenance of RM:</w:t>
      </w:r>
      <w:r>
        <w:t xml:space="preserve">  NIST will monitor this RM over the period of its validity.  If substantive technical changes occur that affect the value assignment before the expiration of this report, NIST will notify the purchaser.  </w:t>
      </w:r>
      <w:r w:rsidR="0089374A">
        <w:t>Registration (see attached sheet) will facilitate notification.</w:t>
      </w:r>
    </w:p>
    <w:p w:rsidR="00D0016F" w:rsidRDefault="00D0016F" w:rsidP="00200C7D">
      <w:pPr>
        <w:widowControl w:val="0"/>
        <w:jc w:val="both"/>
      </w:pPr>
    </w:p>
    <w:p w:rsidR="00D0016F" w:rsidRPr="000A4D15" w:rsidRDefault="00F43FFC" w:rsidP="000A4D15">
      <w:pPr>
        <w:widowControl w:val="0"/>
        <w:jc w:val="both"/>
      </w:pPr>
      <w:r>
        <w:t>Overall direction and</w:t>
      </w:r>
      <w:r w:rsidR="00745E7B">
        <w:t xml:space="preserve"> coordination of the technical measurements leading to the </w:t>
      </w:r>
      <w:r w:rsidR="00D0016F">
        <w:t xml:space="preserve">original </w:t>
      </w:r>
      <w:r w:rsidR="00745E7B">
        <w:t>value assignment</w:t>
      </w:r>
      <w:r w:rsidR="004F16A9">
        <w:t>s</w:t>
      </w:r>
      <w:r w:rsidR="00745E7B">
        <w:t xml:space="preserve"> of th</w:t>
      </w:r>
      <w:r w:rsidR="004F16A9">
        <w:t xml:space="preserve">is </w:t>
      </w:r>
      <w:r w:rsidR="00745E7B">
        <w:t xml:space="preserve">RM </w:t>
      </w:r>
      <w:r w:rsidR="00F60952">
        <w:t xml:space="preserve">were </w:t>
      </w:r>
      <w:r w:rsidR="00745E7B">
        <w:t>performed by F.A.</w:t>
      </w:r>
      <w:r w:rsidR="00055DD9">
        <w:t> </w:t>
      </w:r>
      <w:r w:rsidR="00745E7B">
        <w:t>Agblevor, Virginia Polytechnic Institute and State University, Blacksburg,</w:t>
      </w:r>
      <w:r w:rsidR="00055DD9">
        <w:t> </w:t>
      </w:r>
      <w:r w:rsidR="00745E7B">
        <w:t>VA (formerly of NREL)</w:t>
      </w:r>
      <w:r w:rsidR="00055DD9">
        <w:t> </w:t>
      </w:r>
      <w:r w:rsidR="00CB3454">
        <w:t>[3</w:t>
      </w:r>
      <w:r w:rsidR="00AD7A86">
        <w:t>–</w:t>
      </w:r>
      <w:r w:rsidR="00CB3454">
        <w:t>5]</w:t>
      </w:r>
      <w:r w:rsidR="00745E7B">
        <w:t>.</w:t>
      </w:r>
      <w:r w:rsidR="00D0016F">
        <w:t xml:space="preserve">  </w:t>
      </w:r>
      <w:r w:rsidRPr="000A4D15">
        <w:t>Direction and c</w:t>
      </w:r>
      <w:r w:rsidR="00D0016F" w:rsidRPr="000A4D15">
        <w:t xml:space="preserve">oordination of the technical measurements leading to the </w:t>
      </w:r>
      <w:proofErr w:type="spellStart"/>
      <w:r w:rsidR="00D0016F" w:rsidRPr="000A4D15">
        <w:t>recharacterization</w:t>
      </w:r>
      <w:proofErr w:type="spellEnd"/>
      <w:r w:rsidR="00D0016F" w:rsidRPr="000A4D15">
        <w:t xml:space="preserve"> of this RM </w:t>
      </w:r>
      <w:r w:rsidR="00E942D6" w:rsidRPr="000A4D15">
        <w:t>w</w:t>
      </w:r>
      <w:r w:rsidR="00E942D6">
        <w:t>ere</w:t>
      </w:r>
      <w:r w:rsidR="00E942D6" w:rsidRPr="000A4D15">
        <w:t xml:space="preserve"> </w:t>
      </w:r>
      <w:r w:rsidR="00D0016F" w:rsidRPr="000A4D15">
        <w:t>performed by D.W.</w:t>
      </w:r>
      <w:r w:rsidR="00CA10E8" w:rsidRPr="000A4D15">
        <w:t> </w:t>
      </w:r>
      <w:r w:rsidR="00D0016F" w:rsidRPr="000A4D15">
        <w:t xml:space="preserve">Templeton of the NREL National </w:t>
      </w:r>
      <w:proofErr w:type="spellStart"/>
      <w:r w:rsidR="00D0016F" w:rsidRPr="000A4D15">
        <w:t>Bioenergy</w:t>
      </w:r>
      <w:proofErr w:type="spellEnd"/>
      <w:r w:rsidR="00D0016F" w:rsidRPr="000A4D15">
        <w:t xml:space="preserve"> Center and K.E.</w:t>
      </w:r>
      <w:r w:rsidR="003E5737">
        <w:t> </w:t>
      </w:r>
      <w:r w:rsidR="00D0016F" w:rsidRPr="000A4D15">
        <w:t>Sharpless of the NIST Analytical Chemistry Division.</w:t>
      </w:r>
    </w:p>
    <w:p w:rsidR="00745E7B" w:rsidRDefault="00745E7B" w:rsidP="00200C7D">
      <w:pPr>
        <w:jc w:val="both"/>
        <w:rPr>
          <w:snapToGrid w:val="0"/>
          <w:spacing w:val="4"/>
        </w:rPr>
      </w:pPr>
    </w:p>
    <w:p w:rsidR="00745E7B" w:rsidRDefault="00745E7B" w:rsidP="00200C7D">
      <w:pPr>
        <w:pStyle w:val="BodyText"/>
        <w:rPr>
          <w:rFonts w:ascii="Times New Roman" w:hAnsi="Times New Roman"/>
        </w:rPr>
      </w:pPr>
      <w:r>
        <w:rPr>
          <w:rFonts w:ascii="Times New Roman" w:hAnsi="Times New Roman"/>
        </w:rPr>
        <w:t>Statistical consultation and analysis were performed by S.B.</w:t>
      </w:r>
      <w:r w:rsidR="00055DD9">
        <w:rPr>
          <w:rFonts w:ascii="Times New Roman" w:hAnsi="Times New Roman"/>
        </w:rPr>
        <w:t> </w:t>
      </w:r>
      <w:r>
        <w:rPr>
          <w:rFonts w:ascii="Times New Roman" w:hAnsi="Times New Roman"/>
        </w:rPr>
        <w:t xml:space="preserve">Schiller </w:t>
      </w:r>
      <w:r w:rsidR="00D0016F">
        <w:rPr>
          <w:rFonts w:ascii="Times New Roman" w:hAnsi="Times New Roman"/>
        </w:rPr>
        <w:t>and J.H.</w:t>
      </w:r>
      <w:r w:rsidR="00055DD9">
        <w:rPr>
          <w:rFonts w:ascii="Times New Roman" w:hAnsi="Times New Roman"/>
        </w:rPr>
        <w:t> </w:t>
      </w:r>
      <w:r w:rsidR="00D0016F">
        <w:rPr>
          <w:rFonts w:ascii="Times New Roman" w:hAnsi="Times New Roman"/>
        </w:rPr>
        <w:t xml:space="preserve">Yen </w:t>
      </w:r>
      <w:r>
        <w:rPr>
          <w:rFonts w:ascii="Times New Roman" w:hAnsi="Times New Roman"/>
        </w:rPr>
        <w:t>of the NIST Statistical Engineering Division.</w:t>
      </w:r>
    </w:p>
    <w:p w:rsidR="00745E7B" w:rsidRDefault="00745E7B" w:rsidP="00200C7D">
      <w:pPr>
        <w:jc w:val="both"/>
        <w:rPr>
          <w:b/>
          <w:snapToGrid w:val="0"/>
        </w:rPr>
      </w:pPr>
    </w:p>
    <w:p w:rsidR="00CA10E8" w:rsidRDefault="00AF44B4" w:rsidP="00200C7D">
      <w:pPr>
        <w:widowControl w:val="0"/>
        <w:jc w:val="both"/>
      </w:pPr>
      <w:r>
        <w:t>S</w:t>
      </w:r>
      <w:r w:rsidR="00D0016F">
        <w:t>upport aspects involved</w:t>
      </w:r>
      <w:r>
        <w:t xml:space="preserve"> in</w:t>
      </w:r>
      <w:r w:rsidR="00D0016F">
        <w:t xml:space="preserve"> the issuance of this RM were coordinated through the NIST Measurement Services Division.</w:t>
      </w:r>
    </w:p>
    <w:p w:rsidR="00D0016F" w:rsidRDefault="00D0016F" w:rsidP="00D0016F">
      <w:pPr>
        <w:widowControl w:val="0"/>
        <w:jc w:val="both"/>
      </w:pPr>
    </w:p>
    <w:p w:rsidR="00055DD9" w:rsidRDefault="00055DD9" w:rsidP="00D0016F">
      <w:pPr>
        <w:widowControl w:val="0"/>
        <w:jc w:val="both"/>
      </w:pPr>
    </w:p>
    <w:p w:rsidR="00D0016F" w:rsidRDefault="00D0016F" w:rsidP="00055DD9">
      <w:pPr>
        <w:keepNext/>
        <w:keepLines/>
        <w:tabs>
          <w:tab w:val="right" w:pos="9360"/>
        </w:tabs>
        <w:jc w:val="both"/>
      </w:pPr>
      <w:r>
        <w:tab/>
        <w:t>Stephen</w:t>
      </w:r>
      <w:r w:rsidR="00055DD9">
        <w:t> </w:t>
      </w:r>
      <w:r>
        <w:t>A.</w:t>
      </w:r>
      <w:r w:rsidR="00055DD9">
        <w:t> </w:t>
      </w:r>
      <w:r>
        <w:t>Wise,</w:t>
      </w:r>
      <w:r w:rsidR="00055DD9">
        <w:t> </w:t>
      </w:r>
      <w:r>
        <w:t>Chief</w:t>
      </w:r>
    </w:p>
    <w:p w:rsidR="00D0016F" w:rsidRDefault="00D0016F" w:rsidP="00055DD9">
      <w:pPr>
        <w:keepNext/>
        <w:keepLines/>
        <w:tabs>
          <w:tab w:val="right" w:pos="9360"/>
        </w:tabs>
        <w:jc w:val="both"/>
      </w:pPr>
      <w:r>
        <w:tab/>
        <w:t>Analytical</w:t>
      </w:r>
      <w:r w:rsidR="00055DD9">
        <w:t> </w:t>
      </w:r>
      <w:r>
        <w:t>Chemistry</w:t>
      </w:r>
      <w:r w:rsidR="00055DD9">
        <w:t> </w:t>
      </w:r>
      <w:r>
        <w:t>Division</w:t>
      </w:r>
    </w:p>
    <w:p w:rsidR="00D0016F" w:rsidRDefault="00D0016F" w:rsidP="00055DD9">
      <w:pPr>
        <w:keepNext/>
        <w:keepLines/>
        <w:tabs>
          <w:tab w:val="right" w:pos="9360"/>
        </w:tabs>
        <w:jc w:val="both"/>
      </w:pPr>
      <w:r>
        <w:tab/>
      </w:r>
    </w:p>
    <w:p w:rsidR="00D0016F" w:rsidRDefault="00D0016F" w:rsidP="00055DD9">
      <w:pPr>
        <w:keepNext/>
        <w:keepLines/>
        <w:tabs>
          <w:tab w:val="right" w:pos="9360"/>
        </w:tabs>
        <w:jc w:val="both"/>
      </w:pPr>
      <w:smartTag w:uri="urn:schemas-microsoft-com:office:smarttags" w:element="City">
        <w:r>
          <w:t>Gaithersburg</w:t>
        </w:r>
      </w:smartTag>
      <w:r>
        <w:t>,</w:t>
      </w:r>
      <w:r w:rsidR="00055DD9">
        <w:t> </w:t>
      </w:r>
      <w:r>
        <w:t>MD</w:t>
      </w:r>
      <w:r w:rsidR="00055DD9">
        <w:t> </w:t>
      </w:r>
      <w:r>
        <w:t>20899</w:t>
      </w:r>
      <w:r>
        <w:tab/>
        <w:t>Robert</w:t>
      </w:r>
      <w:r w:rsidR="00055DD9">
        <w:t> </w:t>
      </w:r>
      <w:r>
        <w:t>L.</w:t>
      </w:r>
      <w:r w:rsidR="00055DD9">
        <w:t> </w:t>
      </w:r>
      <w:r>
        <w:t>Watters,</w:t>
      </w:r>
      <w:r w:rsidR="00055DD9">
        <w:t> </w:t>
      </w:r>
      <w:r>
        <w:t>Jr.,</w:t>
      </w:r>
      <w:r w:rsidR="00055DD9">
        <w:t> </w:t>
      </w:r>
      <w:r>
        <w:t>Chief</w:t>
      </w:r>
    </w:p>
    <w:p w:rsidR="00D0016F" w:rsidRDefault="001042FD" w:rsidP="00D0016F">
      <w:pPr>
        <w:widowControl w:val="0"/>
        <w:tabs>
          <w:tab w:val="right" w:pos="9360"/>
        </w:tabs>
        <w:jc w:val="both"/>
      </w:pPr>
      <w:r>
        <w:t xml:space="preserve">Report </w:t>
      </w:r>
      <w:r w:rsidR="00D0016F">
        <w:t xml:space="preserve">Issue Date:  </w:t>
      </w:r>
      <w:r w:rsidR="00F60952">
        <w:t>28 </w:t>
      </w:r>
      <w:r w:rsidR="00A5112B">
        <w:t>February </w:t>
      </w:r>
      <w:r w:rsidR="00D0016F">
        <w:t>20</w:t>
      </w:r>
      <w:r w:rsidR="00F67053">
        <w:t>11</w:t>
      </w:r>
      <w:r w:rsidR="00D0016F">
        <w:tab/>
        <w:t>Measurement</w:t>
      </w:r>
      <w:r w:rsidR="00055DD9">
        <w:t> </w:t>
      </w:r>
      <w:r w:rsidR="00D0016F">
        <w:t>Services</w:t>
      </w:r>
      <w:r w:rsidR="00055DD9">
        <w:t> </w:t>
      </w:r>
      <w:r w:rsidR="00D0016F">
        <w:t>Division</w:t>
      </w:r>
    </w:p>
    <w:p w:rsidR="00F67053" w:rsidRPr="00F67053" w:rsidRDefault="00F67053" w:rsidP="001042FD">
      <w:pPr>
        <w:keepLines/>
        <w:jc w:val="both"/>
        <w:rPr>
          <w:i/>
          <w:sz w:val="16"/>
          <w:szCs w:val="16"/>
        </w:rPr>
      </w:pPr>
      <w:r w:rsidRPr="00F67053">
        <w:rPr>
          <w:i/>
          <w:sz w:val="16"/>
          <w:szCs w:val="16"/>
        </w:rPr>
        <w:t>Report Revision History on Last Page</w:t>
      </w:r>
    </w:p>
    <w:p w:rsidR="00DB066B" w:rsidRDefault="00745E7B" w:rsidP="001042FD">
      <w:pPr>
        <w:keepLines/>
        <w:jc w:val="both"/>
      </w:pPr>
      <w:r>
        <w:br w:type="page"/>
      </w:r>
      <w:r w:rsidR="00DB066B">
        <w:lastRenderedPageBreak/>
        <w:t>Collaborating inves</w:t>
      </w:r>
      <w:r w:rsidR="00B044FC">
        <w:t>tigators and laboratories were:</w:t>
      </w:r>
      <w:r w:rsidR="001042FD">
        <w:t xml:space="preserve">  </w:t>
      </w:r>
      <w:r w:rsidR="00DB066B">
        <w:t>Y.Y.</w:t>
      </w:r>
      <w:r w:rsidR="00D027AB">
        <w:t> </w:t>
      </w:r>
      <w:r w:rsidR="00DB066B">
        <w:t>Lee,</w:t>
      </w:r>
      <w:r w:rsidR="00996B5D">
        <w:t xml:space="preserve"> L.</w:t>
      </w:r>
      <w:r w:rsidR="00D027AB">
        <w:t> </w:t>
      </w:r>
      <w:r w:rsidR="00996B5D">
        <w:t>Kang,</w:t>
      </w:r>
      <w:r w:rsidR="00DB066B">
        <w:t xml:space="preserve"> Auburn </w:t>
      </w:r>
      <w:r w:rsidR="00BF343B">
        <w:t>University</w:t>
      </w:r>
      <w:r w:rsidR="00DB066B">
        <w:t>, Auburn,</w:t>
      </w:r>
      <w:r w:rsidR="00B044FC">
        <w:t> </w:t>
      </w:r>
      <w:r w:rsidR="00DB066B">
        <w:t>AL;</w:t>
      </w:r>
      <w:r w:rsidR="004B3722">
        <w:t xml:space="preserve"> </w:t>
      </w:r>
      <w:r w:rsidR="00DB066B">
        <w:t>L.R.</w:t>
      </w:r>
      <w:r w:rsidR="00D027AB">
        <w:t> </w:t>
      </w:r>
      <w:r w:rsidR="00DB066B">
        <w:t>Madsen II,</w:t>
      </w:r>
      <w:r w:rsidR="00996B5D">
        <w:t xml:space="preserve"> C.</w:t>
      </w:r>
      <w:r w:rsidR="00D027AB">
        <w:t> </w:t>
      </w:r>
      <w:proofErr w:type="spellStart"/>
      <w:r w:rsidR="00996B5D">
        <w:t>Verret</w:t>
      </w:r>
      <w:proofErr w:type="spellEnd"/>
      <w:r w:rsidR="004C4AC8">
        <w:t>,</w:t>
      </w:r>
      <w:r w:rsidR="00DB066B">
        <w:t xml:space="preserve"> Audubon Sugar Institute – Louisiana State University Agricultural Center, St.</w:t>
      </w:r>
      <w:r w:rsidR="00B044FC">
        <w:t> </w:t>
      </w:r>
      <w:r w:rsidR="00DB066B">
        <w:t>Gabriel,</w:t>
      </w:r>
      <w:r w:rsidR="00B044FC">
        <w:t> </w:t>
      </w:r>
      <w:r w:rsidR="00DB066B">
        <w:t>LA;</w:t>
      </w:r>
      <w:r w:rsidR="001042FD">
        <w:t xml:space="preserve"> </w:t>
      </w:r>
      <w:r w:rsidR="004C4AC8">
        <w:t>J.</w:t>
      </w:r>
      <w:r w:rsidR="00D027AB">
        <w:t> </w:t>
      </w:r>
      <w:r w:rsidR="004C4AC8">
        <w:t>Saddler, R.</w:t>
      </w:r>
      <w:r w:rsidR="00D027AB">
        <w:t> </w:t>
      </w:r>
      <w:r w:rsidR="004C4AC8">
        <w:t>Chandra, P.</w:t>
      </w:r>
      <w:r w:rsidR="00D027AB">
        <w:t> </w:t>
      </w:r>
      <w:r w:rsidR="004C4AC8">
        <w:t>Chung, University of British Columbia, Vancouver,</w:t>
      </w:r>
      <w:r w:rsidR="00B044FC">
        <w:t> </w:t>
      </w:r>
      <w:r w:rsidR="004C4AC8">
        <w:t>BC, Canada;</w:t>
      </w:r>
      <w:r w:rsidR="001042FD">
        <w:t xml:space="preserve"> </w:t>
      </w:r>
      <w:r w:rsidR="00996B5D">
        <w:t>C.</w:t>
      </w:r>
      <w:r w:rsidR="00D027AB">
        <w:t> </w:t>
      </w:r>
      <w:r w:rsidR="00996B5D">
        <w:t>Wyman, T.</w:t>
      </w:r>
      <w:r w:rsidR="00D027AB">
        <w:t> </w:t>
      </w:r>
      <w:r w:rsidR="00996B5D">
        <w:t xml:space="preserve">Zhang, </w:t>
      </w:r>
      <w:r w:rsidR="00DB066B">
        <w:t>J.</w:t>
      </w:r>
      <w:r w:rsidR="00D027AB">
        <w:t> </w:t>
      </w:r>
      <w:proofErr w:type="spellStart"/>
      <w:r w:rsidR="00DB066B">
        <w:t>DeMartini</w:t>
      </w:r>
      <w:proofErr w:type="spellEnd"/>
      <w:r w:rsidR="00DB066B">
        <w:t>, M.</w:t>
      </w:r>
      <w:r w:rsidR="00D027AB">
        <w:t> </w:t>
      </w:r>
      <w:proofErr w:type="spellStart"/>
      <w:r w:rsidR="00DB066B">
        <w:t>Ebrik</w:t>
      </w:r>
      <w:proofErr w:type="spellEnd"/>
      <w:r w:rsidR="00DB066B">
        <w:t>, University of Califor</w:t>
      </w:r>
      <w:r w:rsidR="00055DD9">
        <w:t>nia – Riverside, Riverside,</w:t>
      </w:r>
      <w:r w:rsidR="00B044FC">
        <w:t> </w:t>
      </w:r>
      <w:r w:rsidR="00055DD9">
        <w:t>CA;</w:t>
      </w:r>
      <w:r w:rsidR="001042FD">
        <w:t xml:space="preserve"> </w:t>
      </w:r>
      <w:r w:rsidR="00DB066B">
        <w:t>F.</w:t>
      </w:r>
      <w:r w:rsidR="00D027AB">
        <w:t> </w:t>
      </w:r>
      <w:r w:rsidR="00DB066B">
        <w:t>Matt, J.</w:t>
      </w:r>
      <w:r w:rsidR="00D027AB">
        <w:t> </w:t>
      </w:r>
      <w:r w:rsidR="00DB066B">
        <w:t>Zhu,</w:t>
      </w:r>
      <w:r w:rsidR="00D36D60">
        <w:t xml:space="preserve"> </w:t>
      </w:r>
      <w:r w:rsidR="00D36D60" w:rsidRPr="00D36D60">
        <w:t>J.</w:t>
      </w:r>
      <w:r w:rsidR="00D027AB">
        <w:t> </w:t>
      </w:r>
      <w:proofErr w:type="spellStart"/>
      <w:r w:rsidR="00D36D60" w:rsidRPr="00D36D60">
        <w:t>Ahn</w:t>
      </w:r>
      <w:proofErr w:type="spellEnd"/>
      <w:r w:rsidR="00D36D60" w:rsidRPr="00D36D60">
        <w:t>, S.R.</w:t>
      </w:r>
      <w:r w:rsidR="00D027AB">
        <w:t> </w:t>
      </w:r>
      <w:r w:rsidR="00D36D60" w:rsidRPr="00D36D60">
        <w:t>Kim, Analytical Chemistry and Microscopy Lab,</w:t>
      </w:r>
      <w:r w:rsidR="00DB066B">
        <w:t xml:space="preserve"> Forest Products Laboratory</w:t>
      </w:r>
      <w:r w:rsidR="00055DD9">
        <w:t>, Madison,</w:t>
      </w:r>
      <w:r w:rsidR="00B044FC">
        <w:t> </w:t>
      </w:r>
      <w:r w:rsidR="00055DD9">
        <w:t>WI;</w:t>
      </w:r>
      <w:r w:rsidR="001042FD">
        <w:t xml:space="preserve"> </w:t>
      </w:r>
      <w:r w:rsidR="00DB066B">
        <w:t>G.</w:t>
      </w:r>
      <w:r w:rsidR="00D027AB">
        <w:t> </w:t>
      </w:r>
      <w:r w:rsidR="00DB066B">
        <w:t>Gresham,</w:t>
      </w:r>
      <w:r w:rsidR="00996B5D">
        <w:t xml:space="preserve"> M</w:t>
      </w:r>
      <w:r w:rsidR="00D36D60">
        <w:t>.</w:t>
      </w:r>
      <w:r w:rsidR="00D027AB">
        <w:t> </w:t>
      </w:r>
      <w:r w:rsidR="00996B5D">
        <w:t>Cortez, J.</w:t>
      </w:r>
      <w:r w:rsidR="00D027AB">
        <w:t> </w:t>
      </w:r>
      <w:r w:rsidR="00996B5D">
        <w:t>Eaton, S.</w:t>
      </w:r>
      <w:r w:rsidR="00D027AB">
        <w:t> </w:t>
      </w:r>
      <w:r w:rsidR="00996B5D">
        <w:t>Morgan, M.</w:t>
      </w:r>
      <w:r w:rsidR="00D027AB">
        <w:t> </w:t>
      </w:r>
      <w:r w:rsidR="00996B5D">
        <w:t>Weston,</w:t>
      </w:r>
      <w:r w:rsidR="00DB066B">
        <w:t xml:space="preserve"> Idaho Nation</w:t>
      </w:r>
      <w:r w:rsidR="00055DD9">
        <w:t>al Laboratory, Idaho Falls,</w:t>
      </w:r>
      <w:r w:rsidR="00B044FC">
        <w:t> </w:t>
      </w:r>
      <w:r w:rsidR="00055DD9">
        <w:t>ID;</w:t>
      </w:r>
      <w:r w:rsidR="001042FD">
        <w:t xml:space="preserve"> </w:t>
      </w:r>
      <w:r w:rsidR="00DB066B">
        <w:t>M.</w:t>
      </w:r>
      <w:r w:rsidR="00D027AB">
        <w:t> </w:t>
      </w:r>
      <w:r w:rsidR="00DB066B">
        <w:t xml:space="preserve">Quinn, </w:t>
      </w:r>
      <w:r w:rsidR="00996B5D">
        <w:t>E.</w:t>
      </w:r>
      <w:r w:rsidR="00D027AB">
        <w:t> </w:t>
      </w:r>
      <w:r w:rsidR="00996B5D">
        <w:t>Boyd, J.</w:t>
      </w:r>
      <w:r w:rsidR="00D027AB">
        <w:t> </w:t>
      </w:r>
      <w:r w:rsidR="00996B5D">
        <w:t xml:space="preserve">Fletcher, </w:t>
      </w:r>
      <w:proofErr w:type="spellStart"/>
      <w:r w:rsidR="00DB066B">
        <w:t>Microbac</w:t>
      </w:r>
      <w:proofErr w:type="spellEnd"/>
      <w:r w:rsidR="00DB066B">
        <w:t xml:space="preserve"> Laboratories </w:t>
      </w:r>
      <w:r w:rsidR="00055DD9">
        <w:t>– Hauser Division, Boulder,</w:t>
      </w:r>
      <w:r w:rsidR="00B044FC">
        <w:t> </w:t>
      </w:r>
      <w:r w:rsidR="00055DD9">
        <w:t>CO;</w:t>
      </w:r>
      <w:r w:rsidR="001042FD">
        <w:t xml:space="preserve"> </w:t>
      </w:r>
      <w:r w:rsidR="00C15DB0">
        <w:t>I.</w:t>
      </w:r>
      <w:r w:rsidR="009D77A4">
        <w:t> </w:t>
      </w:r>
      <w:r w:rsidR="00DB066B">
        <w:t xml:space="preserve">Ibarra, </w:t>
      </w:r>
      <w:r w:rsidR="00996B5D">
        <w:t>P.</w:t>
      </w:r>
      <w:r w:rsidR="00D027AB">
        <w:t> </w:t>
      </w:r>
      <w:r w:rsidR="00996B5D">
        <w:t>Lopez, K.</w:t>
      </w:r>
      <w:r w:rsidR="00D027AB">
        <w:t> </w:t>
      </w:r>
      <w:r w:rsidR="00996B5D">
        <w:t>Shaffer,</w:t>
      </w:r>
      <w:r w:rsidR="00D36D60">
        <w:t xml:space="preserve"> </w:t>
      </w:r>
      <w:r w:rsidR="00DB066B">
        <w:t xml:space="preserve">Monsanto, Ankeny, IA; </w:t>
      </w:r>
      <w:r w:rsidR="001042FD">
        <w:t xml:space="preserve"> </w:t>
      </w:r>
      <w:r w:rsidR="00DB066B">
        <w:t>D.W.</w:t>
      </w:r>
      <w:r w:rsidR="00D027AB">
        <w:t> </w:t>
      </w:r>
      <w:r w:rsidR="00DB066B">
        <w:t>Templeton,</w:t>
      </w:r>
      <w:r w:rsidR="00996B5D">
        <w:t xml:space="preserve"> R.</w:t>
      </w:r>
      <w:r w:rsidR="00D027AB">
        <w:t> </w:t>
      </w:r>
      <w:r w:rsidR="00996B5D">
        <w:t>Ness, E.</w:t>
      </w:r>
      <w:r w:rsidR="00D027AB">
        <w:t> </w:t>
      </w:r>
      <w:r w:rsidR="00996B5D">
        <w:t>Fisk,</w:t>
      </w:r>
      <w:r w:rsidR="00055DD9">
        <w:t xml:space="preserve"> NREL, Golden,</w:t>
      </w:r>
      <w:r w:rsidR="00B044FC">
        <w:t> </w:t>
      </w:r>
      <w:r w:rsidR="00055DD9">
        <w:t>CO;</w:t>
      </w:r>
      <w:r w:rsidR="001042FD">
        <w:t xml:space="preserve"> </w:t>
      </w:r>
      <w:r w:rsidR="00DB066B">
        <w:t>M.</w:t>
      </w:r>
      <w:r w:rsidR="00D027AB">
        <w:t> </w:t>
      </w:r>
      <w:proofErr w:type="spellStart"/>
      <w:r w:rsidR="00DB066B">
        <w:t>Penner</w:t>
      </w:r>
      <w:proofErr w:type="spellEnd"/>
      <w:r w:rsidR="00DB066B">
        <w:t>,</w:t>
      </w:r>
      <w:r w:rsidR="00996B5D">
        <w:t xml:space="preserve"> J.</w:t>
      </w:r>
      <w:r w:rsidR="00D027AB">
        <w:t> </w:t>
      </w:r>
      <w:r w:rsidR="00996B5D">
        <w:t>Goby,</w:t>
      </w:r>
      <w:r w:rsidR="00BF030D">
        <w:t xml:space="preserve"> </w:t>
      </w:r>
      <w:r w:rsidR="00BF030D" w:rsidRPr="00BF030D">
        <w:t>T</w:t>
      </w:r>
      <w:r w:rsidR="00BF030D">
        <w:t>.</w:t>
      </w:r>
      <w:r w:rsidR="00D027AB">
        <w:t> </w:t>
      </w:r>
      <w:proofErr w:type="spellStart"/>
      <w:r w:rsidR="00BF030D" w:rsidRPr="00BF030D">
        <w:t>Junyusen</w:t>
      </w:r>
      <w:proofErr w:type="spellEnd"/>
      <w:r w:rsidR="00BF030D">
        <w:t>,</w:t>
      </w:r>
      <w:r w:rsidR="00DB066B">
        <w:t xml:space="preserve"> Oregon </w:t>
      </w:r>
      <w:r w:rsidR="00055DD9">
        <w:t>State University, Corvallis,</w:t>
      </w:r>
      <w:r w:rsidR="00B044FC">
        <w:t> </w:t>
      </w:r>
      <w:r w:rsidR="00055DD9">
        <w:t>OR;</w:t>
      </w:r>
      <w:r w:rsidR="001042FD">
        <w:t xml:space="preserve"> </w:t>
      </w:r>
      <w:r w:rsidR="00DB066B">
        <w:t>B.</w:t>
      </w:r>
      <w:r w:rsidR="00D027AB">
        <w:t> </w:t>
      </w:r>
      <w:proofErr w:type="spellStart"/>
      <w:r w:rsidR="00DB066B">
        <w:t>Dien</w:t>
      </w:r>
      <w:proofErr w:type="spellEnd"/>
      <w:r w:rsidR="00DB066B">
        <w:t>,</w:t>
      </w:r>
      <w:r w:rsidR="00996B5D">
        <w:t xml:space="preserve"> P.</w:t>
      </w:r>
      <w:r w:rsidR="00D027AB">
        <w:t> </w:t>
      </w:r>
      <w:r w:rsidR="00996B5D">
        <w:t>O’Bryan,</w:t>
      </w:r>
      <w:r w:rsidR="00DB066B">
        <w:t xml:space="preserve"> U.S.</w:t>
      </w:r>
      <w:r w:rsidR="00716ED7">
        <w:t> </w:t>
      </w:r>
      <w:r w:rsidR="00DB066B">
        <w:t>Department of Agriculture, Agricultural Research Service, Peoria,</w:t>
      </w:r>
      <w:r w:rsidR="00B044FC">
        <w:t> </w:t>
      </w:r>
      <w:r w:rsidR="00DB066B">
        <w:t>IL.</w:t>
      </w:r>
    </w:p>
    <w:p w:rsidR="00DB066B" w:rsidRDefault="00DB066B" w:rsidP="00055DD9">
      <w:pPr>
        <w:ind w:left="360" w:hanging="360"/>
        <w:jc w:val="both"/>
      </w:pPr>
    </w:p>
    <w:p w:rsidR="00745E7B" w:rsidRDefault="00B044FC">
      <w:pPr>
        <w:rPr>
          <w:b/>
        </w:rPr>
      </w:pPr>
      <w:r>
        <w:rPr>
          <w:b/>
        </w:rPr>
        <w:t>INSTRUCTIONS FOR STORAGE AND USE</w:t>
      </w:r>
    </w:p>
    <w:p w:rsidR="002B5396" w:rsidRDefault="002B5396" w:rsidP="002B5396">
      <w:pPr>
        <w:keepLines/>
        <w:jc w:val="both"/>
        <w:rPr>
          <w:spacing w:val="-2"/>
          <w:kern w:val="2"/>
        </w:rPr>
      </w:pPr>
    </w:p>
    <w:p w:rsidR="00691F3F" w:rsidRDefault="00716ED7" w:rsidP="00866D2A">
      <w:pPr>
        <w:keepLines/>
        <w:jc w:val="both"/>
      </w:pPr>
      <w:r w:rsidRPr="00B904A8">
        <w:rPr>
          <w:spacing w:val="-2"/>
          <w:kern w:val="2"/>
        </w:rPr>
        <w:t>The material should be stored at controlled room temperature (20</w:t>
      </w:r>
      <w:r w:rsidR="00055DD9">
        <w:rPr>
          <w:spacing w:val="-2"/>
          <w:kern w:val="2"/>
        </w:rPr>
        <w:t> </w:t>
      </w:r>
      <w:r w:rsidRPr="00B904A8">
        <w:rPr>
          <w:spacing w:val="-2"/>
          <w:kern w:val="2"/>
        </w:rPr>
        <w:t>°C</w:t>
      </w:r>
      <w:r w:rsidR="00055DD9">
        <w:rPr>
          <w:spacing w:val="-2"/>
          <w:kern w:val="2"/>
        </w:rPr>
        <w:t> </w:t>
      </w:r>
      <w:r w:rsidRPr="00B904A8">
        <w:rPr>
          <w:spacing w:val="-2"/>
          <w:kern w:val="2"/>
        </w:rPr>
        <w:t>to</w:t>
      </w:r>
      <w:r w:rsidR="00055DD9">
        <w:rPr>
          <w:spacing w:val="-2"/>
          <w:kern w:val="2"/>
        </w:rPr>
        <w:t> </w:t>
      </w:r>
      <w:r w:rsidRPr="00B904A8">
        <w:rPr>
          <w:spacing w:val="-2"/>
          <w:kern w:val="2"/>
        </w:rPr>
        <w:t>25</w:t>
      </w:r>
      <w:r w:rsidR="00055DD9">
        <w:rPr>
          <w:spacing w:val="-2"/>
          <w:kern w:val="2"/>
        </w:rPr>
        <w:t> </w:t>
      </w:r>
      <w:r w:rsidRPr="00B904A8">
        <w:rPr>
          <w:spacing w:val="-2"/>
          <w:kern w:val="2"/>
        </w:rPr>
        <w:t xml:space="preserve">°C), in an unopened packet, until needed.  </w:t>
      </w:r>
      <w:r w:rsidR="00691F3F">
        <w:rPr>
          <w:kern w:val="2"/>
        </w:rPr>
        <w:t xml:space="preserve">Prior to removal of a test portion for analysis, the contents of a packet of material should be mixed thoroughly.  For </w:t>
      </w:r>
      <w:r w:rsidR="00BE3314">
        <w:rPr>
          <w:kern w:val="2"/>
        </w:rPr>
        <w:t>reference</w:t>
      </w:r>
      <w:r w:rsidR="00691F3F">
        <w:rPr>
          <w:kern w:val="2"/>
        </w:rPr>
        <w:t xml:space="preserve"> values to be valid, test portions</w:t>
      </w:r>
      <w:r w:rsidR="00FD7302">
        <w:rPr>
          <w:kern w:val="2"/>
        </w:rPr>
        <w:t xml:space="preserve"> for extraction</w:t>
      </w:r>
      <w:r w:rsidR="00BE3314">
        <w:rPr>
          <w:kern w:val="2"/>
        </w:rPr>
        <w:t xml:space="preserve"> </w:t>
      </w:r>
      <w:r w:rsidR="00691F3F">
        <w:rPr>
          <w:kern w:val="2"/>
        </w:rPr>
        <w:t xml:space="preserve">equal to or greater than </w:t>
      </w:r>
      <w:r w:rsidR="00CB3454">
        <w:rPr>
          <w:kern w:val="2"/>
        </w:rPr>
        <w:t>1</w:t>
      </w:r>
      <w:r w:rsidR="00055DD9">
        <w:rPr>
          <w:kern w:val="2"/>
        </w:rPr>
        <w:t> </w:t>
      </w:r>
      <w:r w:rsidR="00CB3454">
        <w:rPr>
          <w:kern w:val="2"/>
        </w:rPr>
        <w:t>g</w:t>
      </w:r>
      <w:r w:rsidR="00FD7302">
        <w:rPr>
          <w:kern w:val="2"/>
        </w:rPr>
        <w:t xml:space="preserve"> and test portions for hydrolysis equal to or greater than </w:t>
      </w:r>
      <w:r w:rsidR="000228F4">
        <w:rPr>
          <w:kern w:val="2"/>
        </w:rPr>
        <w:t>3</w:t>
      </w:r>
      <w:r w:rsidR="00FD7302">
        <w:rPr>
          <w:kern w:val="2"/>
        </w:rPr>
        <w:t>00</w:t>
      </w:r>
      <w:r w:rsidR="00055DD9">
        <w:rPr>
          <w:kern w:val="2"/>
        </w:rPr>
        <w:t> </w:t>
      </w:r>
      <w:r w:rsidR="00FD7302">
        <w:rPr>
          <w:kern w:val="2"/>
        </w:rPr>
        <w:t>mg</w:t>
      </w:r>
      <w:r w:rsidR="00691F3F">
        <w:rPr>
          <w:kern w:val="2"/>
        </w:rPr>
        <w:t xml:space="preserve"> should be used.  </w:t>
      </w:r>
      <w:r w:rsidR="00CB3454">
        <w:rPr>
          <w:kern w:val="2"/>
        </w:rPr>
        <w:t xml:space="preserve">Test portions should be analyzed </w:t>
      </w:r>
      <w:r w:rsidR="00CB3454">
        <w:t xml:space="preserve">as received and results converted to a </w:t>
      </w:r>
      <w:proofErr w:type="spellStart"/>
      <w:r w:rsidR="00CB3454">
        <w:t>dry</w:t>
      </w:r>
      <w:r w:rsidR="0089374A">
        <w:noBreakHyphen/>
      </w:r>
      <w:r w:rsidR="00CB3454">
        <w:t>mass</w:t>
      </w:r>
      <w:proofErr w:type="spellEnd"/>
      <w:r w:rsidR="00CB3454">
        <w:t xml:space="preserve"> basis by determining moisture content on a separate test portion.  Moisture content should be determined by drying in a </w:t>
      </w:r>
      <w:proofErr w:type="spellStart"/>
      <w:r w:rsidR="00CB3454">
        <w:t>forced</w:t>
      </w:r>
      <w:r w:rsidR="00E24FAF">
        <w:noBreakHyphen/>
      </w:r>
      <w:r w:rsidR="00CB3454">
        <w:t>air</w:t>
      </w:r>
      <w:proofErr w:type="spellEnd"/>
      <w:r w:rsidR="00CB3454">
        <w:t xml:space="preserve"> oven at 105</w:t>
      </w:r>
      <w:r w:rsidR="00055DD9">
        <w:t> </w:t>
      </w:r>
      <w:r w:rsidR="00CB3454" w:rsidRPr="0090509E">
        <w:sym w:font="Symbol" w:char="F0B0"/>
      </w:r>
      <w:r w:rsidR="00CB3454">
        <w:t>C.</w:t>
      </w:r>
      <w:r w:rsidR="00A35B24">
        <w:rPr>
          <w:kern w:val="2"/>
        </w:rPr>
        <w:t xml:space="preserve">  </w:t>
      </w:r>
      <w:r w:rsidR="009C4C2D" w:rsidRPr="00B904A8">
        <w:t>The</w:t>
      </w:r>
      <w:r w:rsidR="004F16A9">
        <w:t xml:space="preserve"> value assignments</w:t>
      </w:r>
      <w:r w:rsidR="009C4C2D" w:rsidRPr="00B904A8">
        <w:t xml:space="preserve"> do not apply to contents of previously opened and stored </w:t>
      </w:r>
      <w:r w:rsidR="009C4C2D">
        <w:t>packets</w:t>
      </w:r>
      <w:r w:rsidR="009C4C2D" w:rsidRPr="00B904A8">
        <w:t xml:space="preserve"> as the stability of </w:t>
      </w:r>
      <w:proofErr w:type="spellStart"/>
      <w:r w:rsidR="00BE3314">
        <w:rPr>
          <w:kern w:val="2"/>
        </w:rPr>
        <w:t>measurands</w:t>
      </w:r>
      <w:proofErr w:type="spellEnd"/>
      <w:r w:rsidR="00691F3F">
        <w:rPr>
          <w:kern w:val="2"/>
        </w:rPr>
        <w:t xml:space="preserve"> in opened packets has not been investigated.</w:t>
      </w:r>
    </w:p>
    <w:p w:rsidR="00691F3F" w:rsidRDefault="00691F3F"/>
    <w:p w:rsidR="00745E7B" w:rsidRDefault="00745E7B">
      <w:pPr>
        <w:rPr>
          <w:b/>
        </w:rPr>
      </w:pPr>
      <w:r>
        <w:rPr>
          <w:b/>
        </w:rPr>
        <w:t xml:space="preserve">PREPARATION AND </w:t>
      </w:r>
      <w:proofErr w:type="gramStart"/>
      <w:r w:rsidR="00691F3F">
        <w:rPr>
          <w:b/>
        </w:rPr>
        <w:t>ANALYSIS</w:t>
      </w:r>
      <w:r w:rsidR="00055DD9" w:rsidRPr="00055DD9">
        <w:rPr>
          <w:b/>
          <w:vertAlign w:val="superscript"/>
        </w:rPr>
        <w:t>(</w:t>
      </w:r>
      <w:proofErr w:type="gramEnd"/>
      <w:r>
        <w:rPr>
          <w:rStyle w:val="FootnoteReference"/>
          <w:b/>
        </w:rPr>
        <w:footnoteReference w:id="1"/>
      </w:r>
      <w:r w:rsidR="00055DD9" w:rsidRPr="00055DD9">
        <w:rPr>
          <w:b/>
          <w:vertAlign w:val="superscript"/>
        </w:rPr>
        <w:t>)</w:t>
      </w:r>
    </w:p>
    <w:p w:rsidR="002B5396" w:rsidRDefault="002B5396">
      <w:pPr>
        <w:jc w:val="both"/>
        <w:rPr>
          <w:b/>
        </w:rPr>
      </w:pPr>
    </w:p>
    <w:p w:rsidR="00745E7B" w:rsidRDefault="00691F3F">
      <w:pPr>
        <w:jc w:val="both"/>
      </w:pPr>
      <w:r w:rsidRPr="00BC6BF7">
        <w:rPr>
          <w:b/>
        </w:rPr>
        <w:t xml:space="preserve">Material Acquisition and Preparation:  </w:t>
      </w:r>
      <w:r w:rsidR="00CA10E8">
        <w:t>In 1991, a</w:t>
      </w:r>
      <w:r w:rsidR="00745E7B">
        <w:t>s part of the International Energy Agency</w:t>
      </w:r>
      <w:r w:rsidR="00055DD9">
        <w:t> </w:t>
      </w:r>
      <w:r w:rsidR="00745E7B">
        <w:t xml:space="preserve">(IEA) Voluntary Standards Activity Group’s work, four biomass samples were selected for use as test materials for a worldwide </w:t>
      </w:r>
      <w:proofErr w:type="spellStart"/>
      <w:r w:rsidR="00200C7D">
        <w:t>interlaboratory</w:t>
      </w:r>
      <w:proofErr w:type="spellEnd"/>
      <w:r w:rsidR="00200C7D">
        <w:t xml:space="preserve"> comparison </w:t>
      </w:r>
      <w:r w:rsidR="00745E7B">
        <w:t>of the Uppsala Method for biomass analysis</w:t>
      </w:r>
      <w:r w:rsidR="00055DD9">
        <w:t> </w:t>
      </w:r>
      <w:r w:rsidR="00745E7B">
        <w:t>[</w:t>
      </w:r>
      <w:r w:rsidR="00CB3454">
        <w:t>6</w:t>
      </w:r>
      <w:r w:rsidR="00745E7B">
        <w:t>].</w:t>
      </w:r>
      <w:r w:rsidR="00CA10E8">
        <w:t xml:space="preserve">  </w:t>
      </w:r>
      <w:r w:rsidR="001A0AEE">
        <w:t>The material for production of RM</w:t>
      </w:r>
      <w:r w:rsidR="00055DD9">
        <w:t> </w:t>
      </w:r>
      <w:r w:rsidR="001A0AEE">
        <w:t xml:space="preserve">8491 </w:t>
      </w:r>
      <w:r w:rsidR="00745E7B">
        <w:t>was supplied by K.K.</w:t>
      </w:r>
      <w:r w:rsidR="00055DD9">
        <w:t> </w:t>
      </w:r>
      <w:r w:rsidR="00745E7B">
        <w:t>Wu,</w:t>
      </w:r>
      <w:r w:rsidR="00055DD9">
        <w:t> </w:t>
      </w:r>
      <w:r w:rsidR="00745E7B">
        <w:t>Hawaii Sugar Planters Association</w:t>
      </w:r>
      <w:r w:rsidR="00055DD9">
        <w:t> </w:t>
      </w:r>
      <w:r w:rsidR="00745E7B">
        <w:t xml:space="preserve">(HSPA), </w:t>
      </w:r>
      <w:proofErr w:type="gramStart"/>
      <w:r w:rsidR="00745E7B">
        <w:t>Aiea</w:t>
      </w:r>
      <w:proofErr w:type="gramEnd"/>
      <w:r w:rsidR="00745E7B">
        <w:t xml:space="preserve"> Heights Drive, HI.  The fresh </w:t>
      </w:r>
      <w:proofErr w:type="spellStart"/>
      <w:r w:rsidR="00745E7B">
        <w:t>bagasse</w:t>
      </w:r>
      <w:proofErr w:type="spellEnd"/>
      <w:r w:rsidR="00745E7B">
        <w:t xml:space="preserve"> was derived from sugarcane clone</w:t>
      </w:r>
      <w:r w:rsidR="00055DD9">
        <w:t> </w:t>
      </w:r>
      <w:r w:rsidR="00745E7B">
        <w:t>H65</w:t>
      </w:r>
      <w:r w:rsidR="00EF6AEF">
        <w:noBreakHyphen/>
      </w:r>
      <w:r w:rsidR="00745E7B">
        <w:t>7052</w:t>
      </w:r>
      <w:r w:rsidR="00055DD9">
        <w:t> </w:t>
      </w:r>
      <w:r w:rsidR="00745E7B">
        <w:t>(</w:t>
      </w:r>
      <w:proofErr w:type="spellStart"/>
      <w:r w:rsidR="00745E7B">
        <w:rPr>
          <w:i/>
        </w:rPr>
        <w:t>Saccharum</w:t>
      </w:r>
      <w:proofErr w:type="spellEnd"/>
      <w:r w:rsidR="00745E7B">
        <w:rPr>
          <w:i/>
        </w:rPr>
        <w:t xml:space="preserve"> </w:t>
      </w:r>
      <w:r w:rsidR="00745E7B" w:rsidRPr="005C4B92">
        <w:t>spp. hybrid</w:t>
      </w:r>
      <w:r w:rsidR="00745E7B">
        <w:t xml:space="preserve">).  The sugarcane crop was planted at the </w:t>
      </w:r>
      <w:proofErr w:type="spellStart"/>
      <w:r w:rsidR="00745E7B">
        <w:t>Kunia</w:t>
      </w:r>
      <w:proofErr w:type="spellEnd"/>
      <w:r w:rsidR="00745E7B">
        <w:t xml:space="preserve"> substation of HSPA on the Island of Oahu,</w:t>
      </w:r>
      <w:r w:rsidR="00EF6AEF">
        <w:t> </w:t>
      </w:r>
      <w:r w:rsidR="00745E7B">
        <w:t xml:space="preserve">HI and was </w:t>
      </w:r>
      <w:proofErr w:type="spellStart"/>
      <w:r w:rsidR="00745E7B">
        <w:t>drip</w:t>
      </w:r>
      <w:r w:rsidR="00EF6AEF">
        <w:noBreakHyphen/>
      </w:r>
      <w:r w:rsidR="00745E7B">
        <w:t>irrigated</w:t>
      </w:r>
      <w:proofErr w:type="spellEnd"/>
      <w:r w:rsidR="00745E7B">
        <w:t xml:space="preserve"> to maturity</w:t>
      </w:r>
      <w:r w:rsidR="00055DD9">
        <w:t> </w:t>
      </w:r>
      <w:r w:rsidR="00745E7B">
        <w:t>(24</w:t>
      </w:r>
      <w:r w:rsidR="00EF6AEF">
        <w:t> </w:t>
      </w:r>
      <w:r w:rsidR="00745E7B">
        <w:t>months).  The sugarcane field was then burned</w:t>
      </w:r>
      <w:r w:rsidR="00571097">
        <w:t>,</w:t>
      </w:r>
      <w:r w:rsidR="00745E7B">
        <w:t xml:space="preserve"> and the sugarcane stalks were harvested by bulldozing the field.  The stalks were collected and trucked to a crushing mill where they were washed, crushed, and the juice extracted.  A sample of </w:t>
      </w:r>
      <w:proofErr w:type="spellStart"/>
      <w:r w:rsidR="00745E7B">
        <w:t>bagasse</w:t>
      </w:r>
      <w:proofErr w:type="spellEnd"/>
      <w:r w:rsidR="00745E7B">
        <w:t xml:space="preserve"> (40</w:t>
      </w:r>
      <w:r w:rsidR="00055DD9">
        <w:t> </w:t>
      </w:r>
      <w:r w:rsidR="00745E7B">
        <w:t>% moisture) was collected from the sugar mill and air-dried at room temperature for 10</w:t>
      </w:r>
      <w:r w:rsidR="00055DD9">
        <w:t> </w:t>
      </w:r>
      <w:r w:rsidR="00745E7B">
        <w:t>days.  About 90</w:t>
      </w:r>
      <w:r w:rsidR="006326F7">
        <w:t> </w:t>
      </w:r>
      <w:r w:rsidR="00745E7B">
        <w:t xml:space="preserve">kg of the air-dried sugarcane </w:t>
      </w:r>
      <w:proofErr w:type="spellStart"/>
      <w:r w:rsidR="00745E7B">
        <w:t>bagasse</w:t>
      </w:r>
      <w:proofErr w:type="spellEnd"/>
      <w:r w:rsidR="00745E7B">
        <w:t xml:space="preserve"> was then shipped without any further processing to NIST.  The material was visually inspected</w:t>
      </w:r>
      <w:r w:rsidR="00200C7D">
        <w:t xml:space="preserve"> for mold</w:t>
      </w:r>
      <w:r w:rsidR="00745E7B">
        <w:t xml:space="preserve"> (no mold was visible) at NIST and then stored in the general warehouse at room temperature for nine months prior to milling.  The moisture content of the dried </w:t>
      </w:r>
      <w:proofErr w:type="spellStart"/>
      <w:r w:rsidR="00745E7B">
        <w:t>bagasse</w:t>
      </w:r>
      <w:proofErr w:type="spellEnd"/>
      <w:r w:rsidR="00745E7B">
        <w:t xml:space="preserve"> as received was 6</w:t>
      </w:r>
      <w:r w:rsidR="009C4C2D">
        <w:t> </w:t>
      </w:r>
      <w:r w:rsidR="00745E7B">
        <w:t>%</w:t>
      </w:r>
      <w:r w:rsidR="009C4C2D">
        <w:t> </w:t>
      </w:r>
      <w:r w:rsidR="00200C7D">
        <w:t>(mass</w:t>
      </w:r>
      <w:r w:rsidR="009C4C2D">
        <w:t> </w:t>
      </w:r>
      <w:r w:rsidR="00200C7D">
        <w:t>fraction)</w:t>
      </w:r>
      <w:r w:rsidR="00745E7B">
        <w:t>.</w:t>
      </w:r>
    </w:p>
    <w:p w:rsidR="00745E7B" w:rsidRDefault="00745E7B">
      <w:pPr>
        <w:jc w:val="both"/>
      </w:pPr>
    </w:p>
    <w:p w:rsidR="00691F3F" w:rsidRDefault="00200C7D" w:rsidP="00691F3F">
      <w:pPr>
        <w:jc w:val="both"/>
        <w:rPr>
          <w:rStyle w:val="normal0"/>
        </w:rPr>
      </w:pPr>
      <w:r>
        <w:t>Prior to milling</w:t>
      </w:r>
      <w:r w:rsidR="00745E7B">
        <w:t xml:space="preserve">, the material was </w:t>
      </w:r>
      <w:r w:rsidR="00C15DB0">
        <w:t xml:space="preserve">again </w:t>
      </w:r>
      <w:r w:rsidR="00745E7B">
        <w:t xml:space="preserve">visually inspected for mold </w:t>
      </w:r>
      <w:r w:rsidR="00C15DB0">
        <w:t xml:space="preserve">(no mold was visible) </w:t>
      </w:r>
      <w:r w:rsidR="00745E7B">
        <w:t>and shredded plastic</w:t>
      </w:r>
      <w:r w:rsidR="0009457F">
        <w:t xml:space="preserve">, an artifact of the </w:t>
      </w:r>
      <w:r w:rsidR="00745E7B">
        <w:t>irrigation</w:t>
      </w:r>
      <w:r w:rsidR="0009457F">
        <w:t xml:space="preserve"> system</w:t>
      </w:r>
      <w:r w:rsidR="00745E7B">
        <w:t xml:space="preserve"> and the method </w:t>
      </w:r>
      <w:r w:rsidR="0009457F">
        <w:t xml:space="preserve">harvesting. </w:t>
      </w:r>
      <w:r w:rsidR="00745E7B">
        <w:t xml:space="preserve"> The shredded </w:t>
      </w:r>
      <w:r w:rsidR="0009457F">
        <w:t>plastic was removed</w:t>
      </w:r>
      <w:r w:rsidR="00745E7B">
        <w:t xml:space="preserve"> by hand before the </w:t>
      </w:r>
      <w:proofErr w:type="spellStart"/>
      <w:r w:rsidR="00745E7B">
        <w:t>bagasse</w:t>
      </w:r>
      <w:proofErr w:type="spellEnd"/>
      <w:r w:rsidR="00745E7B">
        <w:t xml:space="preserve"> was </w:t>
      </w:r>
      <w:r w:rsidR="0009457F">
        <w:t>Wiley-</w:t>
      </w:r>
      <w:r w:rsidR="00745E7B">
        <w:t xml:space="preserve">milled </w:t>
      </w:r>
      <w:r w:rsidR="0009457F">
        <w:t>to pass</w:t>
      </w:r>
      <w:r w:rsidR="00745E7B">
        <w:t xml:space="preserve"> a 2</w:t>
      </w:r>
      <w:r w:rsidR="00C93243">
        <w:t> </w:t>
      </w:r>
      <w:r w:rsidR="00745E7B">
        <w:t xml:space="preserve">mm mesh screen.  During the milling operation, the cutting blades were continuously water-cooled to prevent overheating of the material.  The milled samples were then sieved and the </w:t>
      </w:r>
      <w:r w:rsidR="00D83772">
        <w:t>fraction of material between 190 </w:t>
      </w:r>
      <w:proofErr w:type="spellStart"/>
      <w:r w:rsidR="00D83772">
        <w:t>μm</w:t>
      </w:r>
      <w:proofErr w:type="spellEnd"/>
      <w:r w:rsidR="00D83772">
        <w:t xml:space="preserve"> and 850</w:t>
      </w:r>
      <w:r w:rsidR="00B044FC">
        <w:t> </w:t>
      </w:r>
      <w:proofErr w:type="spellStart"/>
      <w:r w:rsidR="00D83772">
        <w:t>μm</w:t>
      </w:r>
      <w:proofErr w:type="spellEnd"/>
      <w:r w:rsidR="00D83772">
        <w:t xml:space="preserve"> (74</w:t>
      </w:r>
      <w:r w:rsidR="00B044FC">
        <w:t> </w:t>
      </w:r>
      <w:r w:rsidR="00D83772">
        <w:t>and 20</w:t>
      </w:r>
      <w:r w:rsidR="00B044FC">
        <w:t> </w:t>
      </w:r>
      <w:r w:rsidR="00D83772">
        <w:t xml:space="preserve">mesh) </w:t>
      </w:r>
      <w:r w:rsidR="00745E7B">
        <w:t xml:space="preserve">was collected.  </w:t>
      </w:r>
      <w:r w:rsidR="0009457F">
        <w:t>The bulk material was</w:t>
      </w:r>
      <w:r w:rsidR="00CA10E8">
        <w:t xml:space="preserve"> irradiated with </w:t>
      </w:r>
      <w:r w:rsidR="0009457F" w:rsidRPr="0009457F">
        <w:rPr>
          <w:vertAlign w:val="superscript"/>
        </w:rPr>
        <w:t>60</w:t>
      </w:r>
      <w:r w:rsidR="0009457F">
        <w:t>Co</w:t>
      </w:r>
      <w:r w:rsidR="00CA10E8">
        <w:t xml:space="preserve"> </w:t>
      </w:r>
      <w:r w:rsidR="0009457F">
        <w:t xml:space="preserve">to an absorbed dose of </w:t>
      </w:r>
      <w:r w:rsidR="00716ED7">
        <w:t>25</w:t>
      </w:r>
      <w:r w:rsidR="00B044FC">
        <w:t> </w:t>
      </w:r>
      <w:proofErr w:type="spellStart"/>
      <w:r w:rsidR="00716ED7">
        <w:t>kGy</w:t>
      </w:r>
      <w:proofErr w:type="spellEnd"/>
      <w:r w:rsidR="00716ED7">
        <w:t xml:space="preserve"> to 46</w:t>
      </w:r>
      <w:r w:rsidR="00B044FC">
        <w:t> </w:t>
      </w:r>
      <w:proofErr w:type="spellStart"/>
      <w:r w:rsidR="00716ED7">
        <w:t>kGy</w:t>
      </w:r>
      <w:proofErr w:type="spellEnd"/>
      <w:r w:rsidR="0009457F">
        <w:t xml:space="preserve"> (Neutron Products, Inc., </w:t>
      </w:r>
      <w:r w:rsidR="00CA10E8">
        <w:t>Dickerson,</w:t>
      </w:r>
      <w:r w:rsidR="00B044FC">
        <w:t> </w:t>
      </w:r>
      <w:r w:rsidR="00CA10E8">
        <w:t>MD</w:t>
      </w:r>
      <w:r w:rsidR="00D83772">
        <w:t>)</w:t>
      </w:r>
      <w:r w:rsidR="00CA10E8">
        <w:t>.  The irradiated samples were then packaged in 10</w:t>
      </w:r>
      <w:r w:rsidR="00716ED7">
        <w:t> </w:t>
      </w:r>
      <w:r w:rsidR="00CA10E8">
        <w:t xml:space="preserve">g quantities in </w:t>
      </w:r>
      <w:r w:rsidR="003958BB">
        <w:t>M</w:t>
      </w:r>
      <w:r w:rsidR="00CA10E8">
        <w:t>ylar bags.</w:t>
      </w:r>
      <w:r w:rsidR="00CC0AAC">
        <w:t xml:space="preserve"> </w:t>
      </w:r>
    </w:p>
    <w:p w:rsidR="00745E7B" w:rsidRDefault="00745E7B">
      <w:pPr>
        <w:jc w:val="both"/>
      </w:pPr>
    </w:p>
    <w:p w:rsidR="00CA10E8" w:rsidRDefault="00745E7B">
      <w:pPr>
        <w:jc w:val="both"/>
      </w:pPr>
      <w:r>
        <w:rPr>
          <w:b/>
        </w:rPr>
        <w:t>Homogeneity Assessment:</w:t>
      </w:r>
      <w:r>
        <w:t xml:space="preserve">  About 27</w:t>
      </w:r>
      <w:r w:rsidR="00B044FC">
        <w:t> </w:t>
      </w:r>
      <w:r>
        <w:t xml:space="preserve">kg of the fraction </w:t>
      </w:r>
      <w:r w:rsidR="00D83772">
        <w:t xml:space="preserve">of material </w:t>
      </w:r>
      <w:r w:rsidR="008337F3">
        <w:t>between 190</w:t>
      </w:r>
      <w:r w:rsidR="00055DD9">
        <w:t> </w:t>
      </w:r>
      <w:proofErr w:type="spellStart"/>
      <w:r w:rsidR="008337F3">
        <w:t>μm</w:t>
      </w:r>
      <w:proofErr w:type="spellEnd"/>
      <w:r w:rsidR="008337F3">
        <w:t xml:space="preserve"> and 850</w:t>
      </w:r>
      <w:r w:rsidR="00055DD9">
        <w:t> </w:t>
      </w:r>
      <w:proofErr w:type="spellStart"/>
      <w:r w:rsidR="008337F3">
        <w:t>μm</w:t>
      </w:r>
      <w:proofErr w:type="spellEnd"/>
      <w:r w:rsidR="008337F3">
        <w:t xml:space="preserve"> (74</w:t>
      </w:r>
      <w:r w:rsidR="00055DD9">
        <w:t> </w:t>
      </w:r>
      <w:r w:rsidR="008337F3">
        <w:t>and 20</w:t>
      </w:r>
      <w:r w:rsidR="00055DD9">
        <w:t> </w:t>
      </w:r>
      <w:r w:rsidR="008337F3">
        <w:t xml:space="preserve">mesh) </w:t>
      </w:r>
      <w:r>
        <w:t>was thoroughly homogenized in a large cone blender for 45</w:t>
      </w:r>
      <w:r w:rsidR="00B044FC">
        <w:t> </w:t>
      </w:r>
      <w:r>
        <w:t>min.  S</w:t>
      </w:r>
      <w:r w:rsidR="00DA1549">
        <w:t>even</w:t>
      </w:r>
      <w:r>
        <w:t xml:space="preserve"> samples of the homogenized material were sent to NREL where they were tested for uniformity by </w:t>
      </w:r>
      <w:proofErr w:type="spellStart"/>
      <w:r>
        <w:t>pyrolysis</w:t>
      </w:r>
      <w:proofErr w:type="spellEnd"/>
      <w:r>
        <w:t xml:space="preserve"> mass spectrometry.  Aliquots (3</w:t>
      </w:r>
      <w:r w:rsidR="00B044FC">
        <w:t> </w:t>
      </w:r>
      <w:r w:rsidR="00200C7D">
        <w:t>×</w:t>
      </w:r>
      <w:r w:rsidR="00B044FC">
        <w:t> </w:t>
      </w:r>
      <w:r w:rsidR="0089374A">
        <w:t>30 </w:t>
      </w:r>
      <w:r>
        <w:t xml:space="preserve">mg) were drawn from each of the </w:t>
      </w:r>
      <w:r w:rsidR="00DA1549">
        <w:t>seven</w:t>
      </w:r>
      <w:r>
        <w:t xml:space="preserve"> samples and </w:t>
      </w:r>
      <w:proofErr w:type="spellStart"/>
      <w:r>
        <w:t>pyrolyzed</w:t>
      </w:r>
      <w:proofErr w:type="spellEnd"/>
      <w:r>
        <w:t xml:space="preserve"> at 600</w:t>
      </w:r>
      <w:r w:rsidR="00B044FC">
        <w:t> </w:t>
      </w:r>
      <w:r>
        <w:t xml:space="preserve">°C.  The </w:t>
      </w:r>
      <w:proofErr w:type="spellStart"/>
      <w:r>
        <w:t>pyrolyzates</w:t>
      </w:r>
      <w:proofErr w:type="spellEnd"/>
      <w:r>
        <w:t xml:space="preserve"> were analyzed using </w:t>
      </w:r>
      <w:r w:rsidR="00CA10E8">
        <w:t>a</w:t>
      </w:r>
      <w:r>
        <w:t xml:space="preserve"> molecular beam mass spectrometer [</w:t>
      </w:r>
      <w:r w:rsidR="00CB3454">
        <w:t>7</w:t>
      </w:r>
      <w:r>
        <w:t>].  Multivariate analysis techniques</w:t>
      </w:r>
      <w:r w:rsidR="00B044FC">
        <w:t> </w:t>
      </w:r>
      <w:r>
        <w:t>[</w:t>
      </w:r>
      <w:r w:rsidR="00CB3454">
        <w:t>8</w:t>
      </w:r>
      <w:r>
        <w:t xml:space="preserve">] were used to analyze the </w:t>
      </w:r>
      <w:proofErr w:type="spellStart"/>
      <w:r>
        <w:t>pyrolysis</w:t>
      </w:r>
      <w:proofErr w:type="spellEnd"/>
      <w:r>
        <w:t xml:space="preserve"> mass spectral data</w:t>
      </w:r>
      <w:r w:rsidR="00593E73">
        <w:t>,</w:t>
      </w:r>
      <w:r>
        <w:t xml:space="preserve"> and the relative variation in concentration of carbohydrate and lignin </w:t>
      </w:r>
      <w:proofErr w:type="spellStart"/>
      <w:r>
        <w:t>pyrolysis</w:t>
      </w:r>
      <w:proofErr w:type="spellEnd"/>
      <w:r>
        <w:t xml:space="preserve"> p</w:t>
      </w:r>
      <w:r w:rsidR="00DA1549">
        <w:t>roducts was estimated for the seven</w:t>
      </w:r>
      <w:r>
        <w:t xml:space="preserve"> samples.  No significant differences were detected in the concentrations of the cell wall components of the </w:t>
      </w:r>
      <w:r w:rsidR="00DA1549">
        <w:t>seven</w:t>
      </w:r>
      <w:r>
        <w:t xml:space="preserve"> samples.  The material was therefore </w:t>
      </w:r>
      <w:r w:rsidR="00521098">
        <w:t>determined to be</w:t>
      </w:r>
      <w:r>
        <w:t xml:space="preserve"> adequately uniform for polymeric constituent analysis. </w:t>
      </w:r>
    </w:p>
    <w:p w:rsidR="00600308" w:rsidRDefault="00600308" w:rsidP="00691F3F">
      <w:pPr>
        <w:jc w:val="both"/>
        <w:rPr>
          <w:b/>
        </w:rPr>
      </w:pPr>
    </w:p>
    <w:p w:rsidR="00691F3F" w:rsidRDefault="00BF030D" w:rsidP="00691F3F">
      <w:pPr>
        <w:jc w:val="both"/>
      </w:pPr>
      <w:r w:rsidRPr="005F5EED">
        <w:rPr>
          <w:b/>
        </w:rPr>
        <w:t xml:space="preserve">Analytical Approach for Determination of </w:t>
      </w:r>
      <w:r>
        <w:rPr>
          <w:b/>
        </w:rPr>
        <w:t>Composition</w:t>
      </w:r>
      <w:r w:rsidRPr="005F5EED">
        <w:rPr>
          <w:b/>
        </w:rPr>
        <w:t>:</w:t>
      </w:r>
      <w:r w:rsidRPr="005F5EED">
        <w:t xml:space="preserve">  Value assignment of the concentrations of the </w:t>
      </w:r>
      <w:r>
        <w:t xml:space="preserve">summative composition of </w:t>
      </w:r>
      <w:proofErr w:type="spellStart"/>
      <w:r>
        <w:t>lignocellulosic</w:t>
      </w:r>
      <w:proofErr w:type="spellEnd"/>
      <w:r>
        <w:t xml:space="preserve"> material was based on the analytical methods and parameters provided in Table</w:t>
      </w:r>
      <w:r w:rsidR="00B044FC">
        <w:t> </w:t>
      </w:r>
      <w:r w:rsidR="00866D2A">
        <w:t>2.  Laboratories used their established</w:t>
      </w:r>
      <w:r>
        <w:t xml:space="preserve"> analytical methods</w:t>
      </w:r>
      <w:r w:rsidR="00866D2A">
        <w:t xml:space="preserve">, </w:t>
      </w:r>
      <w:r>
        <w:t>analyzed</w:t>
      </w:r>
      <w:r w:rsidR="00982DF8">
        <w:t xml:space="preserve"> single</w:t>
      </w:r>
      <w:r>
        <w:t xml:space="preserve"> test portions from each of three packets of material</w:t>
      </w:r>
      <w:r w:rsidR="00866D2A">
        <w:t xml:space="preserve"> and</w:t>
      </w:r>
      <w:r w:rsidR="00AE71A7">
        <w:t xml:space="preserve"> </w:t>
      </w:r>
      <w:r w:rsidR="00982DF8">
        <w:t xml:space="preserve">a </w:t>
      </w:r>
      <w:proofErr w:type="spellStart"/>
      <w:r w:rsidR="00982DF8">
        <w:t>two</w:t>
      </w:r>
      <w:r w:rsidR="0089374A">
        <w:noBreakHyphen/>
      </w:r>
      <w:r w:rsidR="00982DF8">
        <w:t>stage</w:t>
      </w:r>
      <w:proofErr w:type="spellEnd"/>
      <w:r w:rsidR="00AE71A7">
        <w:t xml:space="preserve"> H</w:t>
      </w:r>
      <w:r w:rsidR="00AE71A7" w:rsidRPr="00AE71A7">
        <w:rPr>
          <w:vertAlign w:val="subscript"/>
        </w:rPr>
        <w:t>2</w:t>
      </w:r>
      <w:r w:rsidR="00AE71A7">
        <w:t>SO</w:t>
      </w:r>
      <w:r w:rsidR="00AE71A7" w:rsidRPr="00AE71A7">
        <w:rPr>
          <w:vertAlign w:val="subscript"/>
        </w:rPr>
        <w:t>4</w:t>
      </w:r>
      <w:r w:rsidR="00C93243">
        <w:t xml:space="preserve"> hydrolysis method</w:t>
      </w:r>
      <w:r w:rsidR="00AE71A7">
        <w:t xml:space="preserve"> similar to th</w:t>
      </w:r>
      <w:r w:rsidR="00C93243">
        <w:t>at</w:t>
      </w:r>
      <w:r w:rsidR="00AE71A7">
        <w:t xml:space="preserve"> described by NREL</w:t>
      </w:r>
      <w:r w:rsidR="00B044FC">
        <w:t> </w:t>
      </w:r>
      <w:r w:rsidR="00CB3454">
        <w:t>[9]</w:t>
      </w:r>
      <w:r>
        <w:t>.</w:t>
      </w:r>
    </w:p>
    <w:p w:rsidR="00BF030D" w:rsidRDefault="00BF030D" w:rsidP="00691F3F">
      <w:pPr>
        <w:jc w:val="both"/>
        <w:rPr>
          <w:kern w:val="2"/>
        </w:rPr>
      </w:pPr>
    </w:p>
    <w:p w:rsidR="00EE5595" w:rsidRDefault="00691F3F">
      <w:pPr>
        <w:jc w:val="both"/>
      </w:pPr>
      <w:r>
        <w:rPr>
          <w:b/>
          <w:kern w:val="2"/>
        </w:rPr>
        <w:t>Value Assignment:</w:t>
      </w:r>
      <w:r>
        <w:rPr>
          <w:kern w:val="2"/>
        </w:rPr>
        <w:t xml:space="preserve">  The </w:t>
      </w:r>
      <w:r w:rsidR="0009457F">
        <w:rPr>
          <w:kern w:val="2"/>
        </w:rPr>
        <w:t>median</w:t>
      </w:r>
      <w:r w:rsidR="0047404F">
        <w:rPr>
          <w:kern w:val="2"/>
        </w:rPr>
        <w:t>s</w:t>
      </w:r>
      <w:r w:rsidR="0009457F">
        <w:rPr>
          <w:kern w:val="2"/>
        </w:rPr>
        <w:t xml:space="preserve"> of the laboratories’ means</w:t>
      </w:r>
      <w:r>
        <w:rPr>
          <w:kern w:val="2"/>
        </w:rPr>
        <w:t xml:space="preserve"> were used to calculate assigned values.</w:t>
      </w:r>
      <w:r w:rsidR="001E78F6">
        <w:rPr>
          <w:kern w:val="2"/>
        </w:rPr>
        <w:t xml:space="preserve">  Values of zero that were reported were included in these calculations.</w:t>
      </w:r>
      <w:r w:rsidR="00F97726" w:rsidRPr="00F97726">
        <w:t xml:space="preserve"> </w:t>
      </w:r>
      <w:r w:rsidR="00EF6AEF">
        <w:t xml:space="preserve"> </w:t>
      </w:r>
      <w:r w:rsidR="00F97726" w:rsidRPr="00F97726">
        <w:t xml:space="preserve">The expanded uncertainty, </w:t>
      </w:r>
      <w:r w:rsidR="00F97726" w:rsidRPr="00F97726">
        <w:rPr>
          <w:i/>
        </w:rPr>
        <w:t>U</w:t>
      </w:r>
      <w:r w:rsidR="00F97726" w:rsidRPr="00F97726">
        <w:t xml:space="preserve">, is calculated as </w:t>
      </w:r>
      <w:proofErr w:type="spellStart"/>
      <w:r w:rsidR="00F97726" w:rsidRPr="00F97726">
        <w:rPr>
          <w:i/>
        </w:rPr>
        <w:t>ku</w:t>
      </w:r>
      <w:r w:rsidR="00F97726" w:rsidRPr="00F97726">
        <w:rPr>
          <w:vertAlign w:val="subscript"/>
        </w:rPr>
        <w:t>c</w:t>
      </w:r>
      <w:proofErr w:type="spellEnd"/>
      <w:r w:rsidR="00F97726" w:rsidRPr="00F97726">
        <w:t xml:space="preserve">, where </w:t>
      </w:r>
      <w:proofErr w:type="spellStart"/>
      <w:r w:rsidR="00F97726" w:rsidRPr="00F97726">
        <w:rPr>
          <w:i/>
        </w:rPr>
        <w:t>u</w:t>
      </w:r>
      <w:r w:rsidR="00F97726" w:rsidRPr="00F97726">
        <w:rPr>
          <w:vertAlign w:val="subscript"/>
        </w:rPr>
        <w:t>c</w:t>
      </w:r>
      <w:proofErr w:type="spellEnd"/>
      <w:r w:rsidR="00F97726" w:rsidRPr="00F97726">
        <w:t xml:space="preserve"> incorporates the observed difference between the individual laboratory results, consistent with the ISO Guide</w:t>
      </w:r>
      <w:r w:rsidR="00423E9B">
        <w:t xml:space="preserve"> [10] </w:t>
      </w:r>
      <w:r w:rsidR="00F97726" w:rsidRPr="00F97726">
        <w:t xml:space="preserve">and its Supplement [11], and </w:t>
      </w:r>
      <w:r w:rsidR="00F97726" w:rsidRPr="00F97726">
        <w:rPr>
          <w:i/>
        </w:rPr>
        <w:t>k</w:t>
      </w:r>
      <w:r w:rsidR="00F97726" w:rsidRPr="00F97726">
        <w:t xml:space="preserve"> is a coverage factor corresponding to </w:t>
      </w:r>
      <w:r w:rsidR="003958BB" w:rsidRPr="00F97726">
        <w:t>approximately</w:t>
      </w:r>
      <w:r w:rsidR="00B87DE6">
        <w:t xml:space="preserve"> 95 % </w:t>
      </w:r>
      <w:r w:rsidR="00F97726" w:rsidRPr="00F97726">
        <w:t xml:space="preserve">confidence for each </w:t>
      </w:r>
      <w:proofErr w:type="spellStart"/>
      <w:r w:rsidR="00F97726" w:rsidRPr="00F97726">
        <w:t>analyte</w:t>
      </w:r>
      <w:proofErr w:type="spellEnd"/>
      <w:r w:rsidR="00F97726" w:rsidRPr="00F97726">
        <w:t>.</w:t>
      </w:r>
    </w:p>
    <w:p w:rsidR="002D3D5C" w:rsidRPr="00866D2A" w:rsidRDefault="002D3D5C">
      <w:pPr>
        <w:jc w:val="both"/>
        <w:rPr>
          <w:sz w:val="18"/>
          <w:szCs w:val="18"/>
        </w:rPr>
      </w:pPr>
    </w:p>
    <w:p w:rsidR="007666B1" w:rsidRPr="00866D2A" w:rsidRDefault="007666B1">
      <w:pPr>
        <w:jc w:val="both"/>
        <w:rPr>
          <w:sz w:val="18"/>
          <w:szCs w:val="18"/>
        </w:rPr>
      </w:pPr>
    </w:p>
    <w:tbl>
      <w:tblPr>
        <w:tblW w:w="9212" w:type="dxa"/>
        <w:jc w:val="center"/>
        <w:tblLook w:val="04A0"/>
      </w:tblPr>
      <w:tblGrid>
        <w:gridCol w:w="3887"/>
        <w:gridCol w:w="1429"/>
        <w:gridCol w:w="2048"/>
        <w:gridCol w:w="1848"/>
      </w:tblGrid>
      <w:tr w:rsidR="00C72FBC" w:rsidTr="007B5030">
        <w:trPr>
          <w:jc w:val="center"/>
        </w:trPr>
        <w:tc>
          <w:tcPr>
            <w:tcW w:w="9212" w:type="dxa"/>
            <w:gridSpan w:val="4"/>
          </w:tcPr>
          <w:p w:rsidR="00C72FBC" w:rsidRDefault="00C72FBC" w:rsidP="002B5396">
            <w:pPr>
              <w:spacing w:line="480" w:lineRule="auto"/>
              <w:jc w:val="center"/>
            </w:pPr>
            <w:r>
              <w:t>Table 1.  Reference Mass Fraction Values</w:t>
            </w:r>
            <w:r w:rsidRPr="00854ADC">
              <w:rPr>
                <w:vertAlign w:val="superscript"/>
              </w:rPr>
              <w:t>(a)</w:t>
            </w:r>
            <w:r>
              <w:t xml:space="preserve"> for Constituents in RM 8491</w:t>
            </w:r>
          </w:p>
        </w:tc>
      </w:tr>
      <w:tr w:rsidR="00C72FBC" w:rsidTr="007B5030">
        <w:trPr>
          <w:jc w:val="center"/>
        </w:trPr>
        <w:tc>
          <w:tcPr>
            <w:tcW w:w="3887" w:type="dxa"/>
          </w:tcPr>
          <w:p w:rsidR="00C72FBC" w:rsidRDefault="00C72FBC" w:rsidP="00B910CB">
            <w:pPr>
              <w:jc w:val="both"/>
            </w:pPr>
          </w:p>
        </w:tc>
        <w:tc>
          <w:tcPr>
            <w:tcW w:w="1429" w:type="dxa"/>
          </w:tcPr>
          <w:p w:rsidR="00C72FBC" w:rsidRDefault="00C72FBC" w:rsidP="00B910CB">
            <w:pPr>
              <w:jc w:val="center"/>
            </w:pPr>
            <w:r w:rsidRPr="00B57A55">
              <w:t>Mass Fraction</w:t>
            </w:r>
          </w:p>
          <w:p w:rsidR="00C72FBC" w:rsidRDefault="00C72FBC" w:rsidP="007B5030">
            <w:pPr>
              <w:spacing w:after="120"/>
              <w:jc w:val="center"/>
            </w:pPr>
            <w:r w:rsidRPr="00B57A55">
              <w:t>(%)</w:t>
            </w:r>
          </w:p>
        </w:tc>
        <w:tc>
          <w:tcPr>
            <w:tcW w:w="2048" w:type="dxa"/>
          </w:tcPr>
          <w:p w:rsidR="00C72FBC" w:rsidRPr="00216253" w:rsidRDefault="00C72FBC" w:rsidP="00B910CB">
            <w:pPr>
              <w:jc w:val="center"/>
            </w:pPr>
            <w:r w:rsidRPr="00216253">
              <w:t>Expanded Uncertainty</w:t>
            </w:r>
          </w:p>
          <w:p w:rsidR="00C72FBC" w:rsidRDefault="00C72FBC" w:rsidP="007B5030">
            <w:pPr>
              <w:spacing w:after="120"/>
              <w:jc w:val="center"/>
            </w:pPr>
            <w:r>
              <w:t>(%)</w:t>
            </w:r>
          </w:p>
        </w:tc>
        <w:tc>
          <w:tcPr>
            <w:tcW w:w="1848" w:type="dxa"/>
          </w:tcPr>
          <w:p w:rsidR="00C72FBC" w:rsidRDefault="00C72FBC" w:rsidP="0089374A">
            <w:pPr>
              <w:jc w:val="center"/>
            </w:pPr>
            <w:r w:rsidRPr="00C72FBC">
              <w:t xml:space="preserve">Coverage </w:t>
            </w:r>
            <w:r>
              <w:t>F</w:t>
            </w:r>
            <w:r w:rsidRPr="00C72FBC">
              <w:t>actor</w:t>
            </w:r>
            <w:r w:rsidR="00216253">
              <w:t>,</w:t>
            </w:r>
            <w:r w:rsidR="0089374A">
              <w:t> </w:t>
            </w:r>
            <w:r w:rsidRPr="00854ADC">
              <w:rPr>
                <w:i/>
              </w:rPr>
              <w:t>k</w:t>
            </w:r>
          </w:p>
        </w:tc>
      </w:tr>
      <w:tr w:rsidR="00C72FBC" w:rsidTr="007B5030">
        <w:trPr>
          <w:jc w:val="center"/>
        </w:trPr>
        <w:tc>
          <w:tcPr>
            <w:tcW w:w="3887" w:type="dxa"/>
          </w:tcPr>
          <w:p w:rsidR="00C72FBC" w:rsidRDefault="00C72FBC" w:rsidP="00B910CB">
            <w:pPr>
              <w:ind w:right="-98"/>
              <w:jc w:val="both"/>
            </w:pPr>
            <w:r>
              <w:t>Water Extractives</w:t>
            </w:r>
          </w:p>
        </w:tc>
        <w:tc>
          <w:tcPr>
            <w:tcW w:w="1429" w:type="dxa"/>
          </w:tcPr>
          <w:p w:rsidR="00C72FBC" w:rsidRDefault="00C72FBC" w:rsidP="00B910CB">
            <w:pPr>
              <w:tabs>
                <w:tab w:val="decimal" w:pos="576"/>
              </w:tabs>
              <w:jc w:val="both"/>
            </w:pPr>
            <w:r>
              <w:t>4.1</w:t>
            </w:r>
          </w:p>
        </w:tc>
        <w:tc>
          <w:tcPr>
            <w:tcW w:w="2048" w:type="dxa"/>
          </w:tcPr>
          <w:p w:rsidR="00C72FBC" w:rsidRDefault="00C72FBC" w:rsidP="007B5030">
            <w:pPr>
              <w:tabs>
                <w:tab w:val="decimal" w:pos="902"/>
              </w:tabs>
              <w:jc w:val="both"/>
            </w:pPr>
            <w:r>
              <w:t>1.0</w:t>
            </w:r>
          </w:p>
        </w:tc>
        <w:tc>
          <w:tcPr>
            <w:tcW w:w="1848" w:type="dxa"/>
          </w:tcPr>
          <w:p w:rsidR="00C72FBC" w:rsidRDefault="00C72FBC" w:rsidP="007B5030">
            <w:pPr>
              <w:tabs>
                <w:tab w:val="decimal" w:pos="654"/>
              </w:tabs>
              <w:jc w:val="both"/>
            </w:pPr>
            <w:r>
              <w:t>2.20</w:t>
            </w:r>
          </w:p>
        </w:tc>
      </w:tr>
      <w:tr w:rsidR="00C72FBC" w:rsidTr="007B5030">
        <w:trPr>
          <w:jc w:val="center"/>
        </w:trPr>
        <w:tc>
          <w:tcPr>
            <w:tcW w:w="3887" w:type="dxa"/>
          </w:tcPr>
          <w:p w:rsidR="00C72FBC" w:rsidRDefault="00714E40" w:rsidP="00714E40">
            <w:pPr>
              <w:ind w:right="-98"/>
              <w:jc w:val="both"/>
            </w:pPr>
            <w:r w:rsidRPr="00854ADC">
              <w:rPr>
                <w:spacing w:val="-4"/>
              </w:rPr>
              <w:t>95</w:t>
            </w:r>
            <w:r>
              <w:rPr>
                <w:spacing w:val="-4"/>
              </w:rPr>
              <w:t> </w:t>
            </w:r>
            <w:r w:rsidR="00C72FBC" w:rsidRPr="00854ADC">
              <w:rPr>
                <w:spacing w:val="-4"/>
              </w:rPr>
              <w:t>% Ethanol Extractives (after water extraction)</w:t>
            </w:r>
          </w:p>
        </w:tc>
        <w:tc>
          <w:tcPr>
            <w:tcW w:w="1429" w:type="dxa"/>
          </w:tcPr>
          <w:p w:rsidR="00C72FBC" w:rsidRDefault="00C72FBC" w:rsidP="00B910CB">
            <w:pPr>
              <w:tabs>
                <w:tab w:val="decimal" w:pos="576"/>
              </w:tabs>
              <w:jc w:val="both"/>
            </w:pPr>
            <w:r>
              <w:t>1.79</w:t>
            </w:r>
          </w:p>
        </w:tc>
        <w:tc>
          <w:tcPr>
            <w:tcW w:w="2048" w:type="dxa"/>
          </w:tcPr>
          <w:p w:rsidR="00C72FBC" w:rsidRDefault="00C72FBC" w:rsidP="007B5030">
            <w:pPr>
              <w:tabs>
                <w:tab w:val="decimal" w:pos="902"/>
              </w:tabs>
              <w:jc w:val="both"/>
            </w:pPr>
            <w:r>
              <w:t>0.21</w:t>
            </w:r>
          </w:p>
        </w:tc>
        <w:tc>
          <w:tcPr>
            <w:tcW w:w="1848" w:type="dxa"/>
          </w:tcPr>
          <w:p w:rsidR="00C72FBC" w:rsidRDefault="00C72FBC" w:rsidP="007B5030">
            <w:pPr>
              <w:tabs>
                <w:tab w:val="decimal" w:pos="654"/>
              </w:tabs>
              <w:jc w:val="both"/>
            </w:pPr>
            <w:r>
              <w:t>2.20</w:t>
            </w:r>
          </w:p>
        </w:tc>
      </w:tr>
      <w:tr w:rsidR="00C72FBC" w:rsidTr="007B5030">
        <w:trPr>
          <w:jc w:val="center"/>
        </w:trPr>
        <w:tc>
          <w:tcPr>
            <w:tcW w:w="3887" w:type="dxa"/>
          </w:tcPr>
          <w:p w:rsidR="00C72FBC" w:rsidRDefault="00C72FBC" w:rsidP="00B910CB">
            <w:pPr>
              <w:ind w:right="-98"/>
              <w:jc w:val="both"/>
            </w:pPr>
            <w:r>
              <w:t>Sucrose</w:t>
            </w:r>
          </w:p>
        </w:tc>
        <w:tc>
          <w:tcPr>
            <w:tcW w:w="1429" w:type="dxa"/>
          </w:tcPr>
          <w:p w:rsidR="00C72FBC" w:rsidRDefault="00C72FBC" w:rsidP="00B910CB">
            <w:pPr>
              <w:tabs>
                <w:tab w:val="decimal" w:pos="576"/>
              </w:tabs>
              <w:jc w:val="both"/>
            </w:pPr>
            <w:r>
              <w:t>0.10</w:t>
            </w:r>
          </w:p>
        </w:tc>
        <w:tc>
          <w:tcPr>
            <w:tcW w:w="2048" w:type="dxa"/>
          </w:tcPr>
          <w:p w:rsidR="00C72FBC" w:rsidRDefault="00C72FBC" w:rsidP="007B5030">
            <w:pPr>
              <w:tabs>
                <w:tab w:val="decimal" w:pos="902"/>
              </w:tabs>
              <w:jc w:val="both"/>
            </w:pPr>
            <w:r>
              <w:t>0.03</w:t>
            </w:r>
          </w:p>
        </w:tc>
        <w:tc>
          <w:tcPr>
            <w:tcW w:w="1848" w:type="dxa"/>
          </w:tcPr>
          <w:p w:rsidR="00C72FBC" w:rsidRDefault="00C72FBC" w:rsidP="007B5030">
            <w:pPr>
              <w:tabs>
                <w:tab w:val="decimal" w:pos="654"/>
              </w:tabs>
              <w:jc w:val="both"/>
            </w:pPr>
            <w:r>
              <w:t>2.20</w:t>
            </w:r>
          </w:p>
        </w:tc>
      </w:tr>
      <w:tr w:rsidR="00C72FBC" w:rsidTr="007B5030">
        <w:trPr>
          <w:jc w:val="center"/>
        </w:trPr>
        <w:tc>
          <w:tcPr>
            <w:tcW w:w="3887" w:type="dxa"/>
          </w:tcPr>
          <w:p w:rsidR="00C72FBC" w:rsidRDefault="00C72FBC" w:rsidP="00B910CB">
            <w:pPr>
              <w:ind w:right="-98"/>
              <w:jc w:val="both"/>
            </w:pPr>
            <w:r>
              <w:t>Whole Ash</w:t>
            </w:r>
          </w:p>
        </w:tc>
        <w:tc>
          <w:tcPr>
            <w:tcW w:w="1429" w:type="dxa"/>
          </w:tcPr>
          <w:p w:rsidR="00C72FBC" w:rsidRDefault="00C72FBC" w:rsidP="00B910CB">
            <w:pPr>
              <w:tabs>
                <w:tab w:val="decimal" w:pos="576"/>
              </w:tabs>
              <w:jc w:val="both"/>
            </w:pPr>
            <w:r>
              <w:t>3.84</w:t>
            </w:r>
          </w:p>
        </w:tc>
        <w:tc>
          <w:tcPr>
            <w:tcW w:w="2048" w:type="dxa"/>
          </w:tcPr>
          <w:p w:rsidR="00C72FBC" w:rsidRDefault="00C72FBC" w:rsidP="007B5030">
            <w:pPr>
              <w:pStyle w:val="Header"/>
              <w:tabs>
                <w:tab w:val="clear" w:pos="4320"/>
                <w:tab w:val="clear" w:pos="8640"/>
                <w:tab w:val="decimal" w:pos="902"/>
              </w:tabs>
            </w:pPr>
            <w:r>
              <w:t>0.26</w:t>
            </w:r>
          </w:p>
        </w:tc>
        <w:tc>
          <w:tcPr>
            <w:tcW w:w="1848" w:type="dxa"/>
          </w:tcPr>
          <w:p w:rsidR="00C72FBC" w:rsidRDefault="00C72FBC" w:rsidP="007B5030">
            <w:pPr>
              <w:pStyle w:val="Header"/>
              <w:tabs>
                <w:tab w:val="clear" w:pos="4320"/>
                <w:tab w:val="clear" w:pos="8640"/>
                <w:tab w:val="decimal" w:pos="654"/>
              </w:tabs>
            </w:pPr>
            <w:r>
              <w:t>2.18</w:t>
            </w:r>
          </w:p>
        </w:tc>
      </w:tr>
      <w:tr w:rsidR="00C72FBC" w:rsidTr="007B5030">
        <w:trPr>
          <w:jc w:val="center"/>
        </w:trPr>
        <w:tc>
          <w:tcPr>
            <w:tcW w:w="3887" w:type="dxa"/>
          </w:tcPr>
          <w:p w:rsidR="00C72FBC" w:rsidRDefault="00C72FBC" w:rsidP="00542DD8">
            <w:pPr>
              <w:ind w:right="-98"/>
              <w:jc w:val="both"/>
            </w:pPr>
            <w:proofErr w:type="spellStart"/>
            <w:r>
              <w:t>Extractives</w:t>
            </w:r>
            <w:r w:rsidR="00542DD8">
              <w:noBreakHyphen/>
            </w:r>
            <w:r>
              <w:t>Free</w:t>
            </w:r>
            <w:proofErr w:type="spellEnd"/>
            <w:r>
              <w:t xml:space="preserve"> Ash</w:t>
            </w:r>
          </w:p>
        </w:tc>
        <w:tc>
          <w:tcPr>
            <w:tcW w:w="1429" w:type="dxa"/>
          </w:tcPr>
          <w:p w:rsidR="00C72FBC" w:rsidRDefault="00C72FBC" w:rsidP="00B910CB">
            <w:pPr>
              <w:tabs>
                <w:tab w:val="decimal" w:pos="576"/>
              </w:tabs>
              <w:jc w:val="both"/>
            </w:pPr>
            <w:r>
              <w:t>3.45</w:t>
            </w:r>
          </w:p>
        </w:tc>
        <w:tc>
          <w:tcPr>
            <w:tcW w:w="2048" w:type="dxa"/>
          </w:tcPr>
          <w:p w:rsidR="00C72FBC" w:rsidRDefault="00C72FBC" w:rsidP="007B5030">
            <w:pPr>
              <w:tabs>
                <w:tab w:val="decimal" w:pos="902"/>
              </w:tabs>
              <w:jc w:val="both"/>
            </w:pPr>
            <w:r>
              <w:t>0.16</w:t>
            </w:r>
          </w:p>
        </w:tc>
        <w:tc>
          <w:tcPr>
            <w:tcW w:w="1848" w:type="dxa"/>
          </w:tcPr>
          <w:p w:rsidR="00C72FBC" w:rsidRDefault="00C72FBC" w:rsidP="007B5030">
            <w:pPr>
              <w:tabs>
                <w:tab w:val="decimal" w:pos="654"/>
              </w:tabs>
              <w:jc w:val="both"/>
            </w:pPr>
            <w:r>
              <w:t>2.26</w:t>
            </w:r>
          </w:p>
        </w:tc>
      </w:tr>
      <w:tr w:rsidR="00C72FBC" w:rsidTr="007B5030">
        <w:trPr>
          <w:jc w:val="center"/>
        </w:trPr>
        <w:tc>
          <w:tcPr>
            <w:tcW w:w="3887" w:type="dxa"/>
          </w:tcPr>
          <w:p w:rsidR="00C72FBC" w:rsidRDefault="00C72FBC" w:rsidP="00B910CB">
            <w:pPr>
              <w:ind w:right="-98"/>
              <w:jc w:val="both"/>
            </w:pPr>
            <w:proofErr w:type="spellStart"/>
            <w:r>
              <w:t>Glucan</w:t>
            </w:r>
            <w:proofErr w:type="spellEnd"/>
          </w:p>
        </w:tc>
        <w:tc>
          <w:tcPr>
            <w:tcW w:w="1429" w:type="dxa"/>
          </w:tcPr>
          <w:p w:rsidR="00C72FBC" w:rsidRDefault="00C72FBC" w:rsidP="00B910CB">
            <w:pPr>
              <w:tabs>
                <w:tab w:val="decimal" w:pos="576"/>
              </w:tabs>
              <w:jc w:val="both"/>
            </w:pPr>
            <w:r>
              <w:t>40.5</w:t>
            </w:r>
          </w:p>
        </w:tc>
        <w:tc>
          <w:tcPr>
            <w:tcW w:w="2048" w:type="dxa"/>
          </w:tcPr>
          <w:p w:rsidR="00C72FBC" w:rsidRDefault="00C72FBC" w:rsidP="007B5030">
            <w:pPr>
              <w:tabs>
                <w:tab w:val="decimal" w:pos="902"/>
              </w:tabs>
              <w:jc w:val="both"/>
            </w:pPr>
            <w:r>
              <w:t>1.4</w:t>
            </w:r>
          </w:p>
        </w:tc>
        <w:tc>
          <w:tcPr>
            <w:tcW w:w="1848" w:type="dxa"/>
          </w:tcPr>
          <w:p w:rsidR="00C72FBC" w:rsidRDefault="00C72FBC" w:rsidP="007B5030">
            <w:pPr>
              <w:tabs>
                <w:tab w:val="decimal" w:pos="654"/>
              </w:tabs>
              <w:jc w:val="both"/>
            </w:pPr>
            <w:r>
              <w:t>2.18</w:t>
            </w:r>
          </w:p>
        </w:tc>
      </w:tr>
      <w:tr w:rsidR="00C72FBC" w:rsidTr="007B5030">
        <w:trPr>
          <w:jc w:val="center"/>
        </w:trPr>
        <w:tc>
          <w:tcPr>
            <w:tcW w:w="3887" w:type="dxa"/>
          </w:tcPr>
          <w:p w:rsidR="00C72FBC" w:rsidRDefault="00C72FBC" w:rsidP="00B910CB">
            <w:pPr>
              <w:ind w:right="-98"/>
              <w:jc w:val="both"/>
            </w:pPr>
            <w:proofErr w:type="spellStart"/>
            <w:r>
              <w:t>Xylan</w:t>
            </w:r>
            <w:proofErr w:type="spellEnd"/>
          </w:p>
        </w:tc>
        <w:tc>
          <w:tcPr>
            <w:tcW w:w="1429" w:type="dxa"/>
          </w:tcPr>
          <w:p w:rsidR="00C72FBC" w:rsidRDefault="00C72FBC" w:rsidP="00B910CB">
            <w:pPr>
              <w:tabs>
                <w:tab w:val="decimal" w:pos="576"/>
              </w:tabs>
              <w:jc w:val="both"/>
            </w:pPr>
            <w:r>
              <w:t>22.04</w:t>
            </w:r>
          </w:p>
        </w:tc>
        <w:tc>
          <w:tcPr>
            <w:tcW w:w="2048" w:type="dxa"/>
          </w:tcPr>
          <w:p w:rsidR="00C72FBC" w:rsidRDefault="00C72FBC" w:rsidP="007B5030">
            <w:pPr>
              <w:tabs>
                <w:tab w:val="decimal" w:pos="902"/>
              </w:tabs>
              <w:jc w:val="both"/>
            </w:pPr>
            <w:r>
              <w:t>0.94</w:t>
            </w:r>
          </w:p>
        </w:tc>
        <w:tc>
          <w:tcPr>
            <w:tcW w:w="1848" w:type="dxa"/>
          </w:tcPr>
          <w:p w:rsidR="00C72FBC" w:rsidRDefault="00C72FBC" w:rsidP="007B5030">
            <w:pPr>
              <w:tabs>
                <w:tab w:val="decimal" w:pos="654"/>
              </w:tabs>
              <w:jc w:val="both"/>
            </w:pPr>
            <w:r>
              <w:t>2.18</w:t>
            </w:r>
          </w:p>
        </w:tc>
      </w:tr>
      <w:tr w:rsidR="00C72FBC" w:rsidTr="007B5030">
        <w:trPr>
          <w:jc w:val="center"/>
        </w:trPr>
        <w:tc>
          <w:tcPr>
            <w:tcW w:w="3887" w:type="dxa"/>
          </w:tcPr>
          <w:p w:rsidR="00C72FBC" w:rsidRDefault="00C72FBC" w:rsidP="00B910CB">
            <w:pPr>
              <w:ind w:right="-98"/>
              <w:jc w:val="both"/>
            </w:pPr>
            <w:proofErr w:type="spellStart"/>
            <w:r>
              <w:t>Arabinan</w:t>
            </w:r>
            <w:proofErr w:type="spellEnd"/>
          </w:p>
        </w:tc>
        <w:tc>
          <w:tcPr>
            <w:tcW w:w="1429" w:type="dxa"/>
          </w:tcPr>
          <w:p w:rsidR="00C72FBC" w:rsidRDefault="00C72FBC" w:rsidP="00B910CB">
            <w:pPr>
              <w:tabs>
                <w:tab w:val="decimal" w:pos="576"/>
              </w:tabs>
              <w:jc w:val="both"/>
            </w:pPr>
            <w:r>
              <w:t>1.49</w:t>
            </w:r>
          </w:p>
        </w:tc>
        <w:tc>
          <w:tcPr>
            <w:tcW w:w="2048" w:type="dxa"/>
          </w:tcPr>
          <w:p w:rsidR="00C72FBC" w:rsidRDefault="00C72FBC" w:rsidP="007B5030">
            <w:pPr>
              <w:tabs>
                <w:tab w:val="decimal" w:pos="902"/>
              </w:tabs>
              <w:jc w:val="both"/>
            </w:pPr>
            <w:r>
              <w:t>0.33</w:t>
            </w:r>
          </w:p>
        </w:tc>
        <w:tc>
          <w:tcPr>
            <w:tcW w:w="1848" w:type="dxa"/>
          </w:tcPr>
          <w:p w:rsidR="00C72FBC" w:rsidRDefault="00C72FBC" w:rsidP="007B5030">
            <w:pPr>
              <w:tabs>
                <w:tab w:val="decimal" w:pos="654"/>
              </w:tabs>
              <w:jc w:val="both"/>
            </w:pPr>
            <w:r>
              <w:t>2.18</w:t>
            </w:r>
          </w:p>
        </w:tc>
      </w:tr>
      <w:tr w:rsidR="00C72FBC" w:rsidTr="007B5030">
        <w:trPr>
          <w:jc w:val="center"/>
        </w:trPr>
        <w:tc>
          <w:tcPr>
            <w:tcW w:w="3887" w:type="dxa"/>
          </w:tcPr>
          <w:p w:rsidR="00C72FBC" w:rsidRDefault="00C72FBC" w:rsidP="00B910CB">
            <w:pPr>
              <w:ind w:right="-98"/>
              <w:jc w:val="both"/>
            </w:pPr>
            <w:proofErr w:type="spellStart"/>
            <w:r>
              <w:t>Galactan</w:t>
            </w:r>
            <w:proofErr w:type="spellEnd"/>
            <w:r w:rsidRPr="00854ADC">
              <w:rPr>
                <w:vertAlign w:val="superscript"/>
              </w:rPr>
              <w:t>(b)</w:t>
            </w:r>
          </w:p>
        </w:tc>
        <w:tc>
          <w:tcPr>
            <w:tcW w:w="1429" w:type="dxa"/>
          </w:tcPr>
          <w:p w:rsidR="00C72FBC" w:rsidRDefault="00C72FBC" w:rsidP="00B910CB">
            <w:pPr>
              <w:tabs>
                <w:tab w:val="decimal" w:pos="576"/>
              </w:tabs>
              <w:jc w:val="both"/>
            </w:pPr>
            <w:r>
              <w:t>0.28</w:t>
            </w:r>
          </w:p>
        </w:tc>
        <w:tc>
          <w:tcPr>
            <w:tcW w:w="2048" w:type="dxa"/>
          </w:tcPr>
          <w:p w:rsidR="00C72FBC" w:rsidRDefault="00C72FBC" w:rsidP="007B5030">
            <w:pPr>
              <w:tabs>
                <w:tab w:val="decimal" w:pos="902"/>
              </w:tabs>
              <w:jc w:val="both"/>
            </w:pPr>
            <w:r>
              <w:t>0.33</w:t>
            </w:r>
          </w:p>
        </w:tc>
        <w:tc>
          <w:tcPr>
            <w:tcW w:w="1848" w:type="dxa"/>
          </w:tcPr>
          <w:p w:rsidR="00C72FBC" w:rsidRDefault="00C72FBC" w:rsidP="007B5030">
            <w:pPr>
              <w:tabs>
                <w:tab w:val="decimal" w:pos="654"/>
              </w:tabs>
              <w:jc w:val="both"/>
            </w:pPr>
            <w:r>
              <w:t>2.20</w:t>
            </w:r>
          </w:p>
        </w:tc>
      </w:tr>
      <w:tr w:rsidR="00C72FBC" w:rsidTr="007B5030">
        <w:trPr>
          <w:jc w:val="center"/>
        </w:trPr>
        <w:tc>
          <w:tcPr>
            <w:tcW w:w="3887" w:type="dxa"/>
          </w:tcPr>
          <w:p w:rsidR="00C72FBC" w:rsidRDefault="00C72FBC" w:rsidP="00B910CB">
            <w:pPr>
              <w:ind w:right="-98"/>
              <w:jc w:val="both"/>
            </w:pPr>
            <w:proofErr w:type="spellStart"/>
            <w:r>
              <w:t>Mannan</w:t>
            </w:r>
            <w:proofErr w:type="spellEnd"/>
            <w:r w:rsidRPr="00854ADC">
              <w:rPr>
                <w:vertAlign w:val="superscript"/>
              </w:rPr>
              <w:t>(</w:t>
            </w:r>
            <w:proofErr w:type="spellStart"/>
            <w:r w:rsidR="00F97726">
              <w:rPr>
                <w:vertAlign w:val="superscript"/>
              </w:rPr>
              <w:t>b,</w:t>
            </w:r>
            <w:r w:rsidRPr="00854ADC">
              <w:rPr>
                <w:vertAlign w:val="superscript"/>
              </w:rPr>
              <w:t>c</w:t>
            </w:r>
            <w:proofErr w:type="spellEnd"/>
            <w:r w:rsidRPr="00854ADC">
              <w:rPr>
                <w:vertAlign w:val="superscript"/>
              </w:rPr>
              <w:t>)</w:t>
            </w:r>
          </w:p>
        </w:tc>
        <w:tc>
          <w:tcPr>
            <w:tcW w:w="1429" w:type="dxa"/>
          </w:tcPr>
          <w:p w:rsidR="00C72FBC" w:rsidRDefault="00C72FBC" w:rsidP="00B910CB">
            <w:pPr>
              <w:tabs>
                <w:tab w:val="decimal" w:pos="576"/>
              </w:tabs>
              <w:jc w:val="both"/>
            </w:pPr>
            <w:r>
              <w:t>0.00</w:t>
            </w:r>
          </w:p>
        </w:tc>
        <w:tc>
          <w:tcPr>
            <w:tcW w:w="2048" w:type="dxa"/>
          </w:tcPr>
          <w:p w:rsidR="00C72FBC" w:rsidRDefault="00C72FBC" w:rsidP="007B5030">
            <w:pPr>
              <w:tabs>
                <w:tab w:val="decimal" w:pos="902"/>
              </w:tabs>
              <w:jc w:val="both"/>
            </w:pPr>
            <w:r>
              <w:t>0.45</w:t>
            </w:r>
          </w:p>
        </w:tc>
        <w:tc>
          <w:tcPr>
            <w:tcW w:w="1848" w:type="dxa"/>
          </w:tcPr>
          <w:p w:rsidR="00C72FBC" w:rsidRDefault="00C72FBC" w:rsidP="007B5030">
            <w:pPr>
              <w:tabs>
                <w:tab w:val="decimal" w:pos="654"/>
              </w:tabs>
              <w:jc w:val="both"/>
            </w:pPr>
            <w:r>
              <w:t>2.00</w:t>
            </w:r>
          </w:p>
        </w:tc>
      </w:tr>
      <w:tr w:rsidR="00C72FBC" w:rsidTr="007B5030">
        <w:trPr>
          <w:jc w:val="center"/>
        </w:trPr>
        <w:tc>
          <w:tcPr>
            <w:tcW w:w="3887" w:type="dxa"/>
          </w:tcPr>
          <w:p w:rsidR="00C72FBC" w:rsidRDefault="00C72FBC" w:rsidP="00B910CB">
            <w:pPr>
              <w:ind w:right="-98"/>
              <w:jc w:val="both"/>
            </w:pPr>
            <w:r>
              <w:t>Structural Sugars</w:t>
            </w:r>
          </w:p>
        </w:tc>
        <w:tc>
          <w:tcPr>
            <w:tcW w:w="1429" w:type="dxa"/>
          </w:tcPr>
          <w:p w:rsidR="00C72FBC" w:rsidRDefault="00C72FBC" w:rsidP="00B910CB">
            <w:pPr>
              <w:tabs>
                <w:tab w:val="decimal" w:pos="576"/>
              </w:tabs>
              <w:jc w:val="both"/>
            </w:pPr>
            <w:r>
              <w:t>65.56</w:t>
            </w:r>
          </w:p>
        </w:tc>
        <w:tc>
          <w:tcPr>
            <w:tcW w:w="2048" w:type="dxa"/>
          </w:tcPr>
          <w:p w:rsidR="00C72FBC" w:rsidRDefault="00C72FBC" w:rsidP="007B5030">
            <w:pPr>
              <w:tabs>
                <w:tab w:val="decimal" w:pos="902"/>
              </w:tabs>
              <w:jc w:val="both"/>
            </w:pPr>
            <w:r>
              <w:t>0.96</w:t>
            </w:r>
          </w:p>
        </w:tc>
        <w:tc>
          <w:tcPr>
            <w:tcW w:w="1848" w:type="dxa"/>
          </w:tcPr>
          <w:p w:rsidR="00C72FBC" w:rsidRDefault="00C72FBC" w:rsidP="007B5030">
            <w:pPr>
              <w:tabs>
                <w:tab w:val="decimal" w:pos="654"/>
              </w:tabs>
              <w:jc w:val="both"/>
            </w:pPr>
            <w:r>
              <w:t>2.18</w:t>
            </w:r>
          </w:p>
        </w:tc>
      </w:tr>
      <w:tr w:rsidR="00C72FBC" w:rsidTr="007B5030">
        <w:trPr>
          <w:jc w:val="center"/>
        </w:trPr>
        <w:tc>
          <w:tcPr>
            <w:tcW w:w="3887" w:type="dxa"/>
          </w:tcPr>
          <w:p w:rsidR="00C72FBC" w:rsidRDefault="00C72FBC" w:rsidP="00B910CB">
            <w:pPr>
              <w:ind w:right="-98"/>
              <w:jc w:val="both"/>
            </w:pPr>
            <w:r>
              <w:t>Total Lignin</w:t>
            </w:r>
            <w:r w:rsidRPr="00854ADC">
              <w:rPr>
                <w:vertAlign w:val="superscript"/>
              </w:rPr>
              <w:t>(d)</w:t>
            </w:r>
          </w:p>
        </w:tc>
        <w:tc>
          <w:tcPr>
            <w:tcW w:w="1429" w:type="dxa"/>
          </w:tcPr>
          <w:p w:rsidR="00C72FBC" w:rsidRDefault="00C72FBC" w:rsidP="00B910CB">
            <w:pPr>
              <w:tabs>
                <w:tab w:val="decimal" w:pos="576"/>
              </w:tabs>
              <w:jc w:val="both"/>
            </w:pPr>
            <w:r>
              <w:t>24.4</w:t>
            </w:r>
          </w:p>
        </w:tc>
        <w:tc>
          <w:tcPr>
            <w:tcW w:w="2048" w:type="dxa"/>
          </w:tcPr>
          <w:p w:rsidR="00C72FBC" w:rsidRDefault="00C72FBC" w:rsidP="007B5030">
            <w:pPr>
              <w:tabs>
                <w:tab w:val="decimal" w:pos="902"/>
              </w:tabs>
              <w:jc w:val="both"/>
            </w:pPr>
            <w:r>
              <w:t>1.3</w:t>
            </w:r>
          </w:p>
        </w:tc>
        <w:tc>
          <w:tcPr>
            <w:tcW w:w="1848" w:type="dxa"/>
          </w:tcPr>
          <w:p w:rsidR="00C72FBC" w:rsidRDefault="00C72FBC" w:rsidP="007B5030">
            <w:pPr>
              <w:tabs>
                <w:tab w:val="decimal" w:pos="654"/>
              </w:tabs>
              <w:jc w:val="both"/>
            </w:pPr>
            <w:r>
              <w:t>2.18</w:t>
            </w:r>
          </w:p>
        </w:tc>
      </w:tr>
      <w:tr w:rsidR="00C72FBC" w:rsidTr="007B5030">
        <w:trPr>
          <w:jc w:val="center"/>
        </w:trPr>
        <w:tc>
          <w:tcPr>
            <w:tcW w:w="3887" w:type="dxa"/>
          </w:tcPr>
          <w:p w:rsidR="00C72FBC" w:rsidRDefault="00C72FBC" w:rsidP="00542DD8">
            <w:pPr>
              <w:ind w:right="-98"/>
              <w:jc w:val="both"/>
            </w:pPr>
            <w:proofErr w:type="spellStart"/>
            <w:r>
              <w:t>Acid</w:t>
            </w:r>
            <w:r w:rsidR="00542DD8">
              <w:noBreakHyphen/>
            </w:r>
            <w:r>
              <w:t>Insoluble</w:t>
            </w:r>
            <w:proofErr w:type="spellEnd"/>
            <w:r>
              <w:t xml:space="preserve"> Residue</w:t>
            </w:r>
          </w:p>
        </w:tc>
        <w:tc>
          <w:tcPr>
            <w:tcW w:w="1429" w:type="dxa"/>
          </w:tcPr>
          <w:p w:rsidR="00C72FBC" w:rsidRDefault="00C72FBC" w:rsidP="00B910CB">
            <w:pPr>
              <w:tabs>
                <w:tab w:val="decimal" w:pos="576"/>
              </w:tabs>
              <w:jc w:val="both"/>
            </w:pPr>
            <w:r>
              <w:t>20.9</w:t>
            </w:r>
          </w:p>
        </w:tc>
        <w:tc>
          <w:tcPr>
            <w:tcW w:w="2048" w:type="dxa"/>
          </w:tcPr>
          <w:p w:rsidR="00C72FBC" w:rsidRDefault="00C72FBC" w:rsidP="007B5030">
            <w:pPr>
              <w:tabs>
                <w:tab w:val="decimal" w:pos="902"/>
              </w:tabs>
              <w:jc w:val="both"/>
            </w:pPr>
            <w:r>
              <w:t>1.7</w:t>
            </w:r>
          </w:p>
        </w:tc>
        <w:tc>
          <w:tcPr>
            <w:tcW w:w="1848" w:type="dxa"/>
          </w:tcPr>
          <w:p w:rsidR="00C72FBC" w:rsidRDefault="00C72FBC" w:rsidP="007B5030">
            <w:pPr>
              <w:tabs>
                <w:tab w:val="decimal" w:pos="654"/>
              </w:tabs>
              <w:jc w:val="both"/>
            </w:pPr>
            <w:r>
              <w:t>2.20</w:t>
            </w:r>
          </w:p>
        </w:tc>
      </w:tr>
      <w:tr w:rsidR="00C72FBC" w:rsidTr="007B5030">
        <w:trPr>
          <w:jc w:val="center"/>
        </w:trPr>
        <w:tc>
          <w:tcPr>
            <w:tcW w:w="3887" w:type="dxa"/>
          </w:tcPr>
          <w:p w:rsidR="00C72FBC" w:rsidRDefault="00C72FBC" w:rsidP="00542DD8">
            <w:pPr>
              <w:ind w:right="-98"/>
              <w:jc w:val="both"/>
            </w:pPr>
            <w:proofErr w:type="spellStart"/>
            <w:r>
              <w:t>Acid</w:t>
            </w:r>
            <w:r w:rsidR="00542DD8">
              <w:noBreakHyphen/>
            </w:r>
            <w:r>
              <w:t>Soluble</w:t>
            </w:r>
            <w:proofErr w:type="spellEnd"/>
            <w:r>
              <w:t xml:space="preserve"> Lignin</w:t>
            </w:r>
          </w:p>
        </w:tc>
        <w:tc>
          <w:tcPr>
            <w:tcW w:w="1429" w:type="dxa"/>
          </w:tcPr>
          <w:p w:rsidR="00C72FBC" w:rsidRDefault="00C72FBC" w:rsidP="00B910CB">
            <w:pPr>
              <w:tabs>
                <w:tab w:val="decimal" w:pos="576"/>
              </w:tabs>
              <w:jc w:val="both"/>
            </w:pPr>
            <w:r>
              <w:t>2.4</w:t>
            </w:r>
          </w:p>
        </w:tc>
        <w:tc>
          <w:tcPr>
            <w:tcW w:w="2048" w:type="dxa"/>
          </w:tcPr>
          <w:p w:rsidR="00C72FBC" w:rsidRDefault="00C72FBC" w:rsidP="007B5030">
            <w:pPr>
              <w:tabs>
                <w:tab w:val="decimal" w:pos="902"/>
              </w:tabs>
              <w:jc w:val="both"/>
            </w:pPr>
            <w:r>
              <w:t>1.6</w:t>
            </w:r>
          </w:p>
        </w:tc>
        <w:tc>
          <w:tcPr>
            <w:tcW w:w="1848" w:type="dxa"/>
          </w:tcPr>
          <w:p w:rsidR="00C72FBC" w:rsidRDefault="00C72FBC" w:rsidP="007B5030">
            <w:pPr>
              <w:tabs>
                <w:tab w:val="decimal" w:pos="654"/>
              </w:tabs>
              <w:jc w:val="both"/>
            </w:pPr>
            <w:r>
              <w:t>2.20</w:t>
            </w:r>
          </w:p>
        </w:tc>
      </w:tr>
      <w:tr w:rsidR="00C72FBC" w:rsidTr="007B5030">
        <w:trPr>
          <w:jc w:val="center"/>
        </w:trPr>
        <w:tc>
          <w:tcPr>
            <w:tcW w:w="3887" w:type="dxa"/>
          </w:tcPr>
          <w:p w:rsidR="00C72FBC" w:rsidRDefault="00C72FBC" w:rsidP="00B910CB">
            <w:pPr>
              <w:ind w:right="-98"/>
              <w:jc w:val="both"/>
            </w:pPr>
            <w:r>
              <w:t>Acetyl</w:t>
            </w:r>
          </w:p>
        </w:tc>
        <w:tc>
          <w:tcPr>
            <w:tcW w:w="1429" w:type="dxa"/>
          </w:tcPr>
          <w:p w:rsidR="00C72FBC" w:rsidRDefault="00C72FBC" w:rsidP="00B910CB">
            <w:pPr>
              <w:tabs>
                <w:tab w:val="decimal" w:pos="576"/>
              </w:tabs>
              <w:jc w:val="both"/>
            </w:pPr>
            <w:r>
              <w:t>3.19</w:t>
            </w:r>
          </w:p>
        </w:tc>
        <w:tc>
          <w:tcPr>
            <w:tcW w:w="2048" w:type="dxa"/>
          </w:tcPr>
          <w:p w:rsidR="00C72FBC" w:rsidRDefault="00C72FBC" w:rsidP="007B5030">
            <w:pPr>
              <w:tabs>
                <w:tab w:val="decimal" w:pos="902"/>
              </w:tabs>
              <w:jc w:val="both"/>
            </w:pPr>
            <w:r>
              <w:t>0.81</w:t>
            </w:r>
          </w:p>
        </w:tc>
        <w:tc>
          <w:tcPr>
            <w:tcW w:w="1848" w:type="dxa"/>
          </w:tcPr>
          <w:p w:rsidR="00C72FBC" w:rsidRDefault="00C72FBC" w:rsidP="007B5030">
            <w:pPr>
              <w:tabs>
                <w:tab w:val="decimal" w:pos="654"/>
              </w:tabs>
              <w:jc w:val="both"/>
            </w:pPr>
            <w:r>
              <w:t>2.23</w:t>
            </w:r>
          </w:p>
        </w:tc>
      </w:tr>
      <w:tr w:rsidR="00C72FBC" w:rsidTr="007B5030">
        <w:trPr>
          <w:jc w:val="center"/>
        </w:trPr>
        <w:tc>
          <w:tcPr>
            <w:tcW w:w="3887" w:type="dxa"/>
          </w:tcPr>
          <w:p w:rsidR="00C72FBC" w:rsidRDefault="00C72FBC" w:rsidP="00B910CB">
            <w:pPr>
              <w:ind w:right="-98"/>
              <w:jc w:val="both"/>
            </w:pPr>
            <w:r w:rsidRPr="00854ADC">
              <w:rPr>
                <w:spacing w:val="-4"/>
              </w:rPr>
              <w:t>Nitrogen</w:t>
            </w:r>
          </w:p>
        </w:tc>
        <w:tc>
          <w:tcPr>
            <w:tcW w:w="1429" w:type="dxa"/>
          </w:tcPr>
          <w:p w:rsidR="00C72FBC" w:rsidRDefault="00C72FBC" w:rsidP="00B910CB">
            <w:pPr>
              <w:tabs>
                <w:tab w:val="decimal" w:pos="576"/>
              </w:tabs>
              <w:jc w:val="both"/>
            </w:pPr>
            <w:r>
              <w:t>0.21</w:t>
            </w:r>
          </w:p>
        </w:tc>
        <w:tc>
          <w:tcPr>
            <w:tcW w:w="2048" w:type="dxa"/>
          </w:tcPr>
          <w:p w:rsidR="00C72FBC" w:rsidRDefault="00C72FBC" w:rsidP="007B5030">
            <w:pPr>
              <w:tabs>
                <w:tab w:val="decimal" w:pos="902"/>
              </w:tabs>
              <w:jc w:val="both"/>
            </w:pPr>
            <w:r>
              <w:t>0.10</w:t>
            </w:r>
          </w:p>
        </w:tc>
        <w:tc>
          <w:tcPr>
            <w:tcW w:w="1848" w:type="dxa"/>
          </w:tcPr>
          <w:p w:rsidR="00C72FBC" w:rsidRDefault="00C72FBC" w:rsidP="007B5030">
            <w:pPr>
              <w:tabs>
                <w:tab w:val="decimal" w:pos="654"/>
              </w:tabs>
              <w:jc w:val="both"/>
            </w:pPr>
            <w:r>
              <w:t>2.31</w:t>
            </w:r>
          </w:p>
        </w:tc>
      </w:tr>
      <w:tr w:rsidR="00C72FBC" w:rsidTr="007B5030">
        <w:trPr>
          <w:jc w:val="center"/>
        </w:trPr>
        <w:tc>
          <w:tcPr>
            <w:tcW w:w="3887" w:type="dxa"/>
          </w:tcPr>
          <w:p w:rsidR="00C72FBC" w:rsidRDefault="00C72FBC" w:rsidP="00B910CB">
            <w:pPr>
              <w:ind w:right="-98"/>
              <w:jc w:val="both"/>
            </w:pPr>
            <w:r>
              <w:t>Total Component Closure</w:t>
            </w:r>
            <w:r w:rsidRPr="00854ADC">
              <w:rPr>
                <w:vertAlign w:val="superscript"/>
              </w:rPr>
              <w:t>(e)</w:t>
            </w:r>
          </w:p>
        </w:tc>
        <w:tc>
          <w:tcPr>
            <w:tcW w:w="1429" w:type="dxa"/>
          </w:tcPr>
          <w:p w:rsidR="00C72FBC" w:rsidRDefault="00C72FBC" w:rsidP="00B910CB">
            <w:pPr>
              <w:tabs>
                <w:tab w:val="decimal" w:pos="576"/>
              </w:tabs>
              <w:jc w:val="both"/>
            </w:pPr>
            <w:r>
              <w:t>102.4</w:t>
            </w:r>
          </w:p>
        </w:tc>
        <w:tc>
          <w:tcPr>
            <w:tcW w:w="2048" w:type="dxa"/>
          </w:tcPr>
          <w:p w:rsidR="00C72FBC" w:rsidRDefault="00C72FBC" w:rsidP="007B5030">
            <w:pPr>
              <w:tabs>
                <w:tab w:val="decimal" w:pos="902"/>
              </w:tabs>
              <w:jc w:val="both"/>
            </w:pPr>
            <w:r>
              <w:t>1.8</w:t>
            </w:r>
          </w:p>
        </w:tc>
        <w:tc>
          <w:tcPr>
            <w:tcW w:w="1848" w:type="dxa"/>
          </w:tcPr>
          <w:p w:rsidR="00C72FBC" w:rsidRDefault="00C72FBC" w:rsidP="007B5030">
            <w:pPr>
              <w:tabs>
                <w:tab w:val="decimal" w:pos="654"/>
              </w:tabs>
              <w:jc w:val="both"/>
            </w:pPr>
            <w:r>
              <w:t>2.26</w:t>
            </w:r>
          </w:p>
        </w:tc>
      </w:tr>
    </w:tbl>
    <w:p w:rsidR="002D3D5C" w:rsidRDefault="002D3D5C" w:rsidP="009A588F">
      <w:pPr>
        <w:tabs>
          <w:tab w:val="decimal" w:pos="6300"/>
          <w:tab w:val="left" w:pos="6930"/>
          <w:tab w:val="decimal" w:pos="7650"/>
        </w:tabs>
        <w:spacing w:line="276" w:lineRule="auto"/>
        <w:ind w:left="-11"/>
        <w:rPr>
          <w:spacing w:val="-4"/>
          <w:sz w:val="18"/>
          <w:szCs w:val="18"/>
        </w:rPr>
      </w:pPr>
    </w:p>
    <w:p w:rsidR="007666B1" w:rsidRPr="00B910CB" w:rsidRDefault="007666B1" w:rsidP="009A588F">
      <w:pPr>
        <w:tabs>
          <w:tab w:val="decimal" w:pos="6300"/>
          <w:tab w:val="left" w:pos="6930"/>
          <w:tab w:val="decimal" w:pos="7650"/>
        </w:tabs>
        <w:spacing w:line="276" w:lineRule="auto"/>
        <w:ind w:left="-11"/>
        <w:rPr>
          <w:spacing w:val="-4"/>
          <w:sz w:val="18"/>
          <w:szCs w:val="18"/>
        </w:rPr>
      </w:pPr>
    </w:p>
    <w:p w:rsidR="00D22F59" w:rsidRPr="00852A55" w:rsidRDefault="009A588F" w:rsidP="00781034">
      <w:pPr>
        <w:tabs>
          <w:tab w:val="left" w:pos="-720"/>
          <w:tab w:val="left" w:pos="180"/>
          <w:tab w:val="left" w:pos="900"/>
          <w:tab w:val="decimal" w:pos="2520"/>
          <w:tab w:val="left" w:pos="2970"/>
          <w:tab w:val="decimal" w:pos="3510"/>
          <w:tab w:val="decimal" w:pos="5310"/>
          <w:tab w:val="left" w:pos="5760"/>
          <w:tab w:val="left" w:pos="6120"/>
        </w:tabs>
        <w:ind w:left="180" w:hanging="191"/>
        <w:jc w:val="both"/>
        <w:rPr>
          <w:sz w:val="18"/>
          <w:szCs w:val="18"/>
        </w:rPr>
      </w:pPr>
      <w:r w:rsidRPr="009A588F">
        <w:rPr>
          <w:sz w:val="18"/>
          <w:szCs w:val="18"/>
          <w:vertAlign w:val="superscript"/>
        </w:rPr>
        <w:t>(a)</w:t>
      </w:r>
      <w:r w:rsidR="00EF6AEF">
        <w:rPr>
          <w:sz w:val="18"/>
          <w:szCs w:val="18"/>
          <w:vertAlign w:val="superscript"/>
        </w:rPr>
        <w:tab/>
      </w:r>
      <w:r w:rsidR="00852A55" w:rsidRPr="00852A55">
        <w:rPr>
          <w:sz w:val="18"/>
          <w:szCs w:val="18"/>
        </w:rPr>
        <w:t>Each</w:t>
      </w:r>
      <w:r w:rsidR="00313918">
        <w:rPr>
          <w:sz w:val="18"/>
          <w:szCs w:val="18"/>
        </w:rPr>
        <w:t xml:space="preserve"> </w:t>
      </w:r>
      <w:r w:rsidR="00852A55" w:rsidRPr="00852A55">
        <w:rPr>
          <w:sz w:val="18"/>
          <w:szCs w:val="18"/>
        </w:rPr>
        <w:t>value is the median of the mean results provided by the collaborating laboratories</w:t>
      </w:r>
      <w:r w:rsidR="00AF44B4">
        <w:rPr>
          <w:sz w:val="18"/>
          <w:szCs w:val="18"/>
        </w:rPr>
        <w:t xml:space="preserve"> and </w:t>
      </w:r>
      <w:r w:rsidR="00C64DE3">
        <w:rPr>
          <w:sz w:val="18"/>
          <w:szCs w:val="18"/>
        </w:rPr>
        <w:t>is</w:t>
      </w:r>
      <w:r w:rsidR="00AF44B4">
        <w:rPr>
          <w:sz w:val="18"/>
          <w:szCs w:val="18"/>
        </w:rPr>
        <w:t xml:space="preserve"> reported on a </w:t>
      </w:r>
      <w:proofErr w:type="spellStart"/>
      <w:r w:rsidR="00AF44B4">
        <w:rPr>
          <w:sz w:val="18"/>
          <w:szCs w:val="18"/>
        </w:rPr>
        <w:t>dry</w:t>
      </w:r>
      <w:r w:rsidR="00542DD8">
        <w:rPr>
          <w:sz w:val="18"/>
          <w:szCs w:val="18"/>
        </w:rPr>
        <w:noBreakHyphen/>
      </w:r>
      <w:r w:rsidR="00AF44B4">
        <w:rPr>
          <w:sz w:val="18"/>
          <w:szCs w:val="18"/>
        </w:rPr>
        <w:t>mass</w:t>
      </w:r>
      <w:proofErr w:type="spellEnd"/>
      <w:r w:rsidR="00AF44B4">
        <w:rPr>
          <w:sz w:val="18"/>
          <w:szCs w:val="18"/>
        </w:rPr>
        <w:t xml:space="preserve"> basis</w:t>
      </w:r>
      <w:r w:rsidR="00852A55" w:rsidRPr="00852A55">
        <w:rPr>
          <w:sz w:val="18"/>
          <w:szCs w:val="18"/>
        </w:rPr>
        <w:t>.</w:t>
      </w:r>
    </w:p>
    <w:p w:rsidR="00EE505A" w:rsidRDefault="009A588F" w:rsidP="00781034">
      <w:pPr>
        <w:tabs>
          <w:tab w:val="left" w:pos="-720"/>
          <w:tab w:val="left" w:pos="180"/>
          <w:tab w:val="left" w:pos="900"/>
          <w:tab w:val="decimal" w:pos="2520"/>
          <w:tab w:val="left" w:pos="2970"/>
          <w:tab w:val="decimal" w:pos="3510"/>
          <w:tab w:val="decimal" w:pos="5310"/>
          <w:tab w:val="left" w:pos="5760"/>
          <w:tab w:val="left" w:pos="6120"/>
        </w:tabs>
        <w:ind w:left="180" w:hanging="191"/>
        <w:jc w:val="both"/>
        <w:rPr>
          <w:sz w:val="18"/>
          <w:szCs w:val="18"/>
        </w:rPr>
      </w:pPr>
      <w:r w:rsidRPr="009A588F">
        <w:rPr>
          <w:sz w:val="18"/>
          <w:szCs w:val="18"/>
          <w:vertAlign w:val="superscript"/>
        </w:rPr>
        <w:t>(</w:t>
      </w:r>
      <w:r>
        <w:rPr>
          <w:sz w:val="18"/>
          <w:szCs w:val="18"/>
          <w:vertAlign w:val="superscript"/>
        </w:rPr>
        <w:t>b</w:t>
      </w:r>
      <w:r w:rsidRPr="009A588F">
        <w:rPr>
          <w:sz w:val="18"/>
          <w:szCs w:val="18"/>
          <w:vertAlign w:val="superscript"/>
        </w:rPr>
        <w:t>)</w:t>
      </w:r>
      <w:r w:rsidR="00EF6AEF">
        <w:rPr>
          <w:sz w:val="18"/>
          <w:szCs w:val="18"/>
          <w:vertAlign w:val="superscript"/>
        </w:rPr>
        <w:tab/>
      </w:r>
      <w:r w:rsidR="000228F4" w:rsidRPr="00852A55">
        <w:rPr>
          <w:sz w:val="18"/>
          <w:szCs w:val="18"/>
        </w:rPr>
        <w:t xml:space="preserve">The </w:t>
      </w:r>
      <w:r w:rsidR="000228F4">
        <w:rPr>
          <w:sz w:val="18"/>
          <w:szCs w:val="18"/>
        </w:rPr>
        <w:t xml:space="preserve">expanded </w:t>
      </w:r>
      <w:r w:rsidR="000228F4" w:rsidRPr="00852A55">
        <w:rPr>
          <w:sz w:val="18"/>
          <w:szCs w:val="18"/>
        </w:rPr>
        <w:t xml:space="preserve">uncertainty </w:t>
      </w:r>
      <w:r w:rsidR="000228F4">
        <w:rPr>
          <w:sz w:val="18"/>
          <w:szCs w:val="18"/>
        </w:rPr>
        <w:t xml:space="preserve">provided </w:t>
      </w:r>
      <w:r w:rsidR="000228F4" w:rsidRPr="00852A55">
        <w:rPr>
          <w:sz w:val="18"/>
          <w:szCs w:val="18"/>
        </w:rPr>
        <w:t>is symmetrical, but the lower bound for the mass fraction is zero.</w:t>
      </w:r>
    </w:p>
    <w:p w:rsidR="00F97726" w:rsidRDefault="009A588F" w:rsidP="00781034">
      <w:pPr>
        <w:tabs>
          <w:tab w:val="left" w:pos="-720"/>
          <w:tab w:val="left" w:pos="180"/>
          <w:tab w:val="left" w:pos="900"/>
          <w:tab w:val="decimal" w:pos="2520"/>
          <w:tab w:val="left" w:pos="2970"/>
          <w:tab w:val="decimal" w:pos="3510"/>
          <w:tab w:val="decimal" w:pos="5310"/>
          <w:tab w:val="left" w:pos="5760"/>
          <w:tab w:val="left" w:pos="6120"/>
        </w:tabs>
        <w:ind w:left="180" w:hanging="191"/>
        <w:jc w:val="both"/>
        <w:rPr>
          <w:sz w:val="18"/>
          <w:szCs w:val="18"/>
        </w:rPr>
      </w:pPr>
      <w:r w:rsidRPr="009A588F">
        <w:rPr>
          <w:sz w:val="18"/>
          <w:szCs w:val="18"/>
          <w:vertAlign w:val="superscript"/>
        </w:rPr>
        <w:t>(</w:t>
      </w:r>
      <w:r>
        <w:rPr>
          <w:sz w:val="18"/>
          <w:szCs w:val="18"/>
          <w:vertAlign w:val="superscript"/>
        </w:rPr>
        <w:t>c</w:t>
      </w:r>
      <w:r w:rsidRPr="009A588F">
        <w:rPr>
          <w:sz w:val="18"/>
          <w:szCs w:val="18"/>
          <w:vertAlign w:val="superscript"/>
        </w:rPr>
        <w:t>)</w:t>
      </w:r>
      <w:r w:rsidR="00EF6AEF">
        <w:rPr>
          <w:sz w:val="18"/>
          <w:szCs w:val="18"/>
        </w:rPr>
        <w:tab/>
      </w:r>
      <w:r w:rsidR="00C71CEB" w:rsidRPr="00EE505A">
        <w:rPr>
          <w:sz w:val="18"/>
          <w:szCs w:val="18"/>
        </w:rPr>
        <w:t>The value is the median of results provided by the collaborating laboratories, most of which reported values of 0.00</w:t>
      </w:r>
      <w:r>
        <w:rPr>
          <w:sz w:val="18"/>
          <w:szCs w:val="18"/>
        </w:rPr>
        <w:t> </w:t>
      </w:r>
      <w:r w:rsidR="00563270">
        <w:rPr>
          <w:sz w:val="18"/>
          <w:szCs w:val="18"/>
        </w:rPr>
        <w:t>%.</w:t>
      </w:r>
      <w:r w:rsidR="00F97726">
        <w:rPr>
          <w:sz w:val="18"/>
          <w:szCs w:val="18"/>
        </w:rPr>
        <w:t xml:space="preserve">  </w:t>
      </w:r>
      <w:r w:rsidR="002D7133" w:rsidRPr="00852A55">
        <w:rPr>
          <w:sz w:val="18"/>
          <w:szCs w:val="18"/>
        </w:rPr>
        <w:t>The expanded uncertainty</w:t>
      </w:r>
      <w:r w:rsidR="00F97726">
        <w:rPr>
          <w:sz w:val="18"/>
          <w:szCs w:val="18"/>
        </w:rPr>
        <w:t xml:space="preserve"> for this constituent was calculated as described above and in</w:t>
      </w:r>
      <w:r w:rsidR="00981646">
        <w:rPr>
          <w:sz w:val="18"/>
          <w:szCs w:val="18"/>
        </w:rPr>
        <w:t xml:space="preserve"> reference </w:t>
      </w:r>
      <w:r w:rsidR="002D7133">
        <w:rPr>
          <w:sz w:val="18"/>
          <w:szCs w:val="18"/>
        </w:rPr>
        <w:t>12</w:t>
      </w:r>
      <w:r w:rsidR="00F97726">
        <w:rPr>
          <w:sz w:val="18"/>
          <w:szCs w:val="18"/>
        </w:rPr>
        <w:t>.</w:t>
      </w:r>
    </w:p>
    <w:p w:rsidR="00C71CEB" w:rsidRDefault="009A588F" w:rsidP="00781034">
      <w:pPr>
        <w:tabs>
          <w:tab w:val="left" w:pos="-720"/>
          <w:tab w:val="left" w:pos="180"/>
          <w:tab w:val="left" w:pos="900"/>
          <w:tab w:val="decimal" w:pos="2520"/>
          <w:tab w:val="left" w:pos="2970"/>
          <w:tab w:val="decimal" w:pos="3510"/>
          <w:tab w:val="decimal" w:pos="5310"/>
          <w:tab w:val="left" w:pos="5760"/>
          <w:tab w:val="left" w:pos="6120"/>
        </w:tabs>
        <w:ind w:left="180" w:hanging="191"/>
        <w:jc w:val="both"/>
        <w:rPr>
          <w:spacing w:val="-2"/>
          <w:sz w:val="18"/>
          <w:szCs w:val="18"/>
        </w:rPr>
      </w:pPr>
      <w:r w:rsidRPr="009A588F">
        <w:rPr>
          <w:sz w:val="18"/>
          <w:szCs w:val="18"/>
          <w:vertAlign w:val="superscript"/>
        </w:rPr>
        <w:t>(</w:t>
      </w:r>
      <w:r>
        <w:rPr>
          <w:sz w:val="18"/>
          <w:szCs w:val="18"/>
          <w:vertAlign w:val="superscript"/>
        </w:rPr>
        <w:t>d</w:t>
      </w:r>
      <w:r w:rsidRPr="009A588F">
        <w:rPr>
          <w:sz w:val="18"/>
          <w:szCs w:val="18"/>
          <w:vertAlign w:val="superscript"/>
        </w:rPr>
        <w:t>)</w:t>
      </w:r>
      <w:r w:rsidR="00EF6AEF">
        <w:rPr>
          <w:sz w:val="18"/>
          <w:szCs w:val="18"/>
          <w:vertAlign w:val="superscript"/>
        </w:rPr>
        <w:tab/>
      </w:r>
      <w:r w:rsidR="000228F4" w:rsidRPr="00EE505A">
        <w:rPr>
          <w:sz w:val="18"/>
          <w:szCs w:val="18"/>
        </w:rPr>
        <w:t>T</w:t>
      </w:r>
      <w:r w:rsidR="000228F4" w:rsidRPr="00EE505A">
        <w:rPr>
          <w:spacing w:val="-2"/>
          <w:sz w:val="18"/>
          <w:szCs w:val="18"/>
        </w:rPr>
        <w:t xml:space="preserve">he value for total lignin is the median of individual values for total lignin reported by the collaborating laboratories and not the mathematical summation of the median values for </w:t>
      </w:r>
      <w:proofErr w:type="spellStart"/>
      <w:r w:rsidR="000228F4" w:rsidRPr="00EE505A">
        <w:rPr>
          <w:spacing w:val="-2"/>
          <w:sz w:val="18"/>
          <w:szCs w:val="18"/>
        </w:rPr>
        <w:t>acid</w:t>
      </w:r>
      <w:r w:rsidR="00542DD8">
        <w:rPr>
          <w:spacing w:val="-2"/>
          <w:sz w:val="18"/>
          <w:szCs w:val="18"/>
        </w:rPr>
        <w:noBreakHyphen/>
      </w:r>
      <w:r w:rsidR="000228F4" w:rsidRPr="00EE505A">
        <w:rPr>
          <w:spacing w:val="-2"/>
          <w:sz w:val="18"/>
          <w:szCs w:val="18"/>
        </w:rPr>
        <w:t>insoluble</w:t>
      </w:r>
      <w:proofErr w:type="spellEnd"/>
      <w:r w:rsidR="000228F4" w:rsidRPr="00EE505A">
        <w:rPr>
          <w:spacing w:val="-2"/>
          <w:sz w:val="18"/>
          <w:szCs w:val="18"/>
        </w:rPr>
        <w:t xml:space="preserve"> residue and </w:t>
      </w:r>
      <w:proofErr w:type="spellStart"/>
      <w:r w:rsidR="000228F4" w:rsidRPr="00EE505A">
        <w:rPr>
          <w:spacing w:val="-2"/>
          <w:sz w:val="18"/>
          <w:szCs w:val="18"/>
        </w:rPr>
        <w:t>acid</w:t>
      </w:r>
      <w:r w:rsidR="00542DD8">
        <w:rPr>
          <w:spacing w:val="-2"/>
          <w:sz w:val="18"/>
          <w:szCs w:val="18"/>
        </w:rPr>
        <w:noBreakHyphen/>
      </w:r>
      <w:r w:rsidR="000228F4" w:rsidRPr="00EE505A">
        <w:rPr>
          <w:spacing w:val="-2"/>
          <w:sz w:val="18"/>
          <w:szCs w:val="18"/>
        </w:rPr>
        <w:t>soluble</w:t>
      </w:r>
      <w:proofErr w:type="spellEnd"/>
      <w:r w:rsidR="000228F4" w:rsidRPr="00EE505A">
        <w:rPr>
          <w:spacing w:val="-2"/>
          <w:sz w:val="18"/>
          <w:szCs w:val="18"/>
        </w:rPr>
        <w:t xml:space="preserve"> lignin.</w:t>
      </w:r>
      <w:r w:rsidR="000228F4">
        <w:rPr>
          <w:spacing w:val="-2"/>
          <w:sz w:val="18"/>
          <w:szCs w:val="18"/>
        </w:rPr>
        <w:t xml:space="preserve"> </w:t>
      </w:r>
    </w:p>
    <w:p w:rsidR="000C0D7C" w:rsidRDefault="009A588F" w:rsidP="00781034">
      <w:pPr>
        <w:tabs>
          <w:tab w:val="left" w:pos="-720"/>
          <w:tab w:val="left" w:pos="180"/>
          <w:tab w:val="left" w:pos="900"/>
          <w:tab w:val="decimal" w:pos="2520"/>
          <w:tab w:val="left" w:pos="2970"/>
          <w:tab w:val="decimal" w:pos="3510"/>
          <w:tab w:val="decimal" w:pos="5310"/>
          <w:tab w:val="left" w:pos="5760"/>
          <w:tab w:val="left" w:pos="6120"/>
        </w:tabs>
        <w:ind w:left="180" w:hanging="191"/>
        <w:jc w:val="both"/>
        <w:rPr>
          <w:sz w:val="18"/>
          <w:szCs w:val="18"/>
        </w:rPr>
      </w:pPr>
      <w:r w:rsidRPr="009A588F">
        <w:rPr>
          <w:sz w:val="18"/>
          <w:szCs w:val="18"/>
          <w:vertAlign w:val="superscript"/>
        </w:rPr>
        <w:t>(</w:t>
      </w:r>
      <w:r>
        <w:rPr>
          <w:sz w:val="18"/>
          <w:szCs w:val="18"/>
          <w:vertAlign w:val="superscript"/>
        </w:rPr>
        <w:t>e</w:t>
      </w:r>
      <w:r w:rsidRPr="009A588F">
        <w:rPr>
          <w:sz w:val="18"/>
          <w:szCs w:val="18"/>
          <w:vertAlign w:val="superscript"/>
        </w:rPr>
        <w:t>)</w:t>
      </w:r>
      <w:r w:rsidR="00EF6AEF">
        <w:rPr>
          <w:sz w:val="18"/>
          <w:szCs w:val="18"/>
          <w:vertAlign w:val="superscript"/>
        </w:rPr>
        <w:tab/>
      </w:r>
      <w:r w:rsidR="00091D0C" w:rsidRPr="00091D0C">
        <w:rPr>
          <w:sz w:val="18"/>
          <w:szCs w:val="18"/>
        </w:rPr>
        <w:t>Theoretically the total component closure is bounded by 0</w:t>
      </w:r>
      <w:r w:rsidR="00571097">
        <w:rPr>
          <w:sz w:val="18"/>
          <w:szCs w:val="18"/>
        </w:rPr>
        <w:t> %</w:t>
      </w:r>
      <w:r w:rsidR="00091D0C" w:rsidRPr="00091D0C">
        <w:rPr>
          <w:sz w:val="18"/>
          <w:szCs w:val="18"/>
        </w:rPr>
        <w:t xml:space="preserve"> and 100</w:t>
      </w:r>
      <w:r w:rsidR="00EB4C40">
        <w:rPr>
          <w:sz w:val="18"/>
          <w:szCs w:val="18"/>
        </w:rPr>
        <w:t> </w:t>
      </w:r>
      <w:r w:rsidR="00091D0C">
        <w:rPr>
          <w:sz w:val="18"/>
          <w:szCs w:val="18"/>
        </w:rPr>
        <w:t>%.  T</w:t>
      </w:r>
      <w:r w:rsidR="00091D0C" w:rsidRPr="00091D0C">
        <w:rPr>
          <w:sz w:val="18"/>
          <w:szCs w:val="18"/>
        </w:rPr>
        <w:t xml:space="preserve">his is calculated </w:t>
      </w:r>
      <w:r w:rsidR="00091D0C">
        <w:rPr>
          <w:sz w:val="18"/>
          <w:szCs w:val="18"/>
        </w:rPr>
        <w:t>as</w:t>
      </w:r>
      <w:r w:rsidR="00091D0C" w:rsidRPr="00091D0C">
        <w:rPr>
          <w:sz w:val="18"/>
          <w:szCs w:val="18"/>
        </w:rPr>
        <w:t xml:space="preserve"> the sum of individual components that can each be over- or under</w:t>
      </w:r>
      <w:r w:rsidR="00542DD8">
        <w:rPr>
          <w:sz w:val="18"/>
          <w:szCs w:val="18"/>
        </w:rPr>
        <w:noBreakHyphen/>
      </w:r>
      <w:r w:rsidR="00091D0C" w:rsidRPr="00091D0C">
        <w:rPr>
          <w:sz w:val="18"/>
          <w:szCs w:val="18"/>
        </w:rPr>
        <w:t>estimated.</w:t>
      </w:r>
    </w:p>
    <w:p w:rsidR="000C0D7C" w:rsidRPr="00866D2A" w:rsidRDefault="000C0D7C">
      <w:pPr>
        <w:rPr>
          <w:sz w:val="18"/>
          <w:szCs w:val="18"/>
        </w:rPr>
      </w:pPr>
    </w:p>
    <w:p w:rsidR="00B910CB" w:rsidRPr="00866D2A" w:rsidRDefault="00B910CB">
      <w:pPr>
        <w:rPr>
          <w:sz w:val="18"/>
          <w:szCs w:val="18"/>
        </w:rPr>
      </w:pPr>
    </w:p>
    <w:tbl>
      <w:tblPr>
        <w:tblW w:w="0" w:type="auto"/>
        <w:tblCellMar>
          <w:left w:w="115" w:type="dxa"/>
          <w:right w:w="115" w:type="dxa"/>
        </w:tblCellMar>
        <w:tblLook w:val="04A0"/>
      </w:tblPr>
      <w:tblGrid>
        <w:gridCol w:w="3175"/>
        <w:gridCol w:w="6127"/>
      </w:tblGrid>
      <w:tr w:rsidR="002709D0" w:rsidTr="00B910CB">
        <w:tc>
          <w:tcPr>
            <w:tcW w:w="9302" w:type="dxa"/>
            <w:gridSpan w:val="2"/>
          </w:tcPr>
          <w:p w:rsidR="002709D0" w:rsidRDefault="00F61671" w:rsidP="00F61671">
            <w:pPr>
              <w:spacing w:line="480" w:lineRule="auto"/>
              <w:jc w:val="center"/>
            </w:pPr>
            <w:r>
              <w:br w:type="page"/>
            </w:r>
            <w:r>
              <w:rPr>
                <w:sz w:val="18"/>
                <w:szCs w:val="18"/>
              </w:rPr>
              <w:br w:type="page"/>
            </w:r>
            <w:r w:rsidR="001042FD">
              <w:rPr>
                <w:sz w:val="18"/>
                <w:szCs w:val="18"/>
              </w:rPr>
              <w:br w:type="page"/>
            </w:r>
            <w:r w:rsidR="00A25363">
              <w:rPr>
                <w:sz w:val="18"/>
                <w:szCs w:val="18"/>
              </w:rPr>
              <w:br w:type="page"/>
            </w:r>
            <w:r w:rsidR="002709D0">
              <w:t>Table 2.  Analytical Methods and Parameters Used for Characterization of RM 8491</w:t>
            </w:r>
            <w:r w:rsidR="002709D0" w:rsidRPr="00EF7384">
              <w:rPr>
                <w:vertAlign w:val="superscript"/>
              </w:rPr>
              <w:t>(a)</w:t>
            </w:r>
          </w:p>
        </w:tc>
      </w:tr>
      <w:tr w:rsidR="002709D0" w:rsidTr="00B910CB">
        <w:tc>
          <w:tcPr>
            <w:tcW w:w="3175" w:type="dxa"/>
          </w:tcPr>
          <w:p w:rsidR="002709D0" w:rsidRDefault="002709D0" w:rsidP="000C0D7C">
            <w:pPr>
              <w:spacing w:after="120"/>
            </w:pPr>
            <w:r>
              <w:t>Extraction method:</w:t>
            </w:r>
          </w:p>
        </w:tc>
        <w:tc>
          <w:tcPr>
            <w:tcW w:w="6127" w:type="dxa"/>
          </w:tcPr>
          <w:p w:rsidR="002709D0" w:rsidRDefault="002709D0" w:rsidP="000C0D7C">
            <w:pPr>
              <w:spacing w:after="120"/>
            </w:pPr>
            <w:proofErr w:type="spellStart"/>
            <w:r>
              <w:t>Soxhlet</w:t>
            </w:r>
            <w:proofErr w:type="spellEnd"/>
            <w:r w:rsidR="00820B46">
              <w:t> </w:t>
            </w:r>
            <w:r>
              <w:t>(6), automated solvent extraction</w:t>
            </w:r>
            <w:r w:rsidR="00820B46">
              <w:t> </w:t>
            </w:r>
            <w:r>
              <w:t xml:space="preserve">(4), </w:t>
            </w:r>
            <w:proofErr w:type="spellStart"/>
            <w:r>
              <w:t>Soxtec</w:t>
            </w:r>
            <w:proofErr w:type="spellEnd"/>
            <w:r w:rsidR="00820B46">
              <w:t> </w:t>
            </w:r>
            <w:r>
              <w:t>(1), not reported</w:t>
            </w:r>
            <w:r w:rsidR="00820B46">
              <w:t> </w:t>
            </w:r>
            <w:r>
              <w:t>(1)</w:t>
            </w:r>
          </w:p>
        </w:tc>
      </w:tr>
      <w:tr w:rsidR="002709D0" w:rsidTr="00B910CB">
        <w:tc>
          <w:tcPr>
            <w:tcW w:w="3175" w:type="dxa"/>
          </w:tcPr>
          <w:p w:rsidR="002709D0" w:rsidRDefault="002709D0" w:rsidP="000C0D7C">
            <w:pPr>
              <w:spacing w:after="120"/>
            </w:pPr>
            <w:r>
              <w:t>Extract concentration method:</w:t>
            </w:r>
          </w:p>
        </w:tc>
        <w:tc>
          <w:tcPr>
            <w:tcW w:w="6127" w:type="dxa"/>
          </w:tcPr>
          <w:p w:rsidR="002709D0" w:rsidRDefault="002709D0" w:rsidP="000C0D7C">
            <w:pPr>
              <w:spacing w:after="120"/>
            </w:pPr>
            <w:proofErr w:type="spellStart"/>
            <w:r>
              <w:t>Rotovap</w:t>
            </w:r>
            <w:proofErr w:type="spellEnd"/>
            <w:r w:rsidR="00820B46">
              <w:t> </w:t>
            </w:r>
            <w:r>
              <w:t xml:space="preserve">(1), </w:t>
            </w:r>
            <w:proofErr w:type="spellStart"/>
            <w:r>
              <w:t>Turbovap</w:t>
            </w:r>
            <w:proofErr w:type="spellEnd"/>
            <w:r w:rsidR="00820B46">
              <w:t> </w:t>
            </w:r>
            <w:r>
              <w:t>(3), hotplate</w:t>
            </w:r>
            <w:r w:rsidR="00C64DE3">
              <w:t> </w:t>
            </w:r>
            <w:r>
              <w:t>or</w:t>
            </w:r>
            <w:r w:rsidR="00C64DE3">
              <w:t> </w:t>
            </w:r>
            <w:r>
              <w:t>oven</w:t>
            </w:r>
            <w:r w:rsidR="00820B46">
              <w:t> </w:t>
            </w:r>
            <w:r>
              <w:t xml:space="preserve">(2), </w:t>
            </w:r>
            <w:proofErr w:type="spellStart"/>
            <w:r>
              <w:t>Soxtec</w:t>
            </w:r>
            <w:proofErr w:type="spellEnd"/>
            <w:r w:rsidR="00820B46">
              <w:t> </w:t>
            </w:r>
            <w:r>
              <w:t>(1), drying</w:t>
            </w:r>
            <w:r w:rsidR="00EB4C40">
              <w:t> </w:t>
            </w:r>
            <w:r>
              <w:t>in</w:t>
            </w:r>
            <w:r w:rsidR="00EB4C40">
              <w:t> </w:t>
            </w:r>
            <w:r>
              <w:t>crucible</w:t>
            </w:r>
            <w:r w:rsidR="00820B46">
              <w:t> </w:t>
            </w:r>
            <w:r>
              <w:t>(1), not reported</w:t>
            </w:r>
            <w:r w:rsidR="00820B46">
              <w:t> </w:t>
            </w:r>
            <w:r>
              <w:t>(4)</w:t>
            </w:r>
          </w:p>
        </w:tc>
      </w:tr>
      <w:tr w:rsidR="002709D0" w:rsidTr="00B910CB">
        <w:tc>
          <w:tcPr>
            <w:tcW w:w="3175" w:type="dxa"/>
          </w:tcPr>
          <w:p w:rsidR="002709D0" w:rsidRDefault="002709D0" w:rsidP="00542DD8">
            <w:pPr>
              <w:spacing w:after="120"/>
            </w:pPr>
            <w:proofErr w:type="spellStart"/>
            <w:r>
              <w:t>Acid</w:t>
            </w:r>
            <w:r w:rsidR="00542DD8">
              <w:noBreakHyphen/>
            </w:r>
            <w:r>
              <w:t>soluble</w:t>
            </w:r>
            <w:proofErr w:type="spellEnd"/>
            <w:r>
              <w:t xml:space="preserve"> lignin</w:t>
            </w:r>
            <w:r w:rsidRPr="00EF7384">
              <w:rPr>
                <w:vertAlign w:val="superscript"/>
              </w:rPr>
              <w:t>(b)</w:t>
            </w:r>
            <w:r>
              <w:t>:</w:t>
            </w:r>
          </w:p>
        </w:tc>
        <w:tc>
          <w:tcPr>
            <w:tcW w:w="6127" w:type="dxa"/>
          </w:tcPr>
          <w:p w:rsidR="002709D0" w:rsidRDefault="002709D0" w:rsidP="007B5030">
            <w:pPr>
              <w:spacing w:after="120"/>
            </w:pPr>
            <w:proofErr w:type="spellStart"/>
            <w:r>
              <w:t>Absorptivity</w:t>
            </w:r>
            <w:proofErr w:type="spellEnd"/>
            <w:r w:rsidR="00C64DE3">
              <w:t> </w:t>
            </w:r>
            <w:r>
              <w:t>of</w:t>
            </w:r>
            <w:r w:rsidR="00C64DE3">
              <w:t> </w:t>
            </w:r>
            <w:r>
              <w:t>25</w:t>
            </w:r>
            <w:r w:rsidR="00820B46">
              <w:t> </w:t>
            </w:r>
            <w:r w:rsidRPr="00DE0875">
              <w:t>L</w:t>
            </w:r>
            <w:r w:rsidR="00820B46">
              <w:t> </w:t>
            </w:r>
            <w:r w:rsidRPr="00DE0875">
              <w:t>g</w:t>
            </w:r>
            <w:r w:rsidR="007B5030">
              <w:rPr>
                <w:vertAlign w:val="superscript"/>
              </w:rPr>
              <w:t>–</w:t>
            </w:r>
            <w:r w:rsidRPr="00EF7384">
              <w:rPr>
                <w:vertAlign w:val="superscript"/>
              </w:rPr>
              <w:t>1</w:t>
            </w:r>
            <w:r w:rsidRPr="00DE0875">
              <w:t>cm</w:t>
            </w:r>
            <w:r w:rsidR="007B5030">
              <w:rPr>
                <w:vertAlign w:val="superscript"/>
              </w:rPr>
              <w:t>–</w:t>
            </w:r>
            <w:r w:rsidRPr="00EF7384">
              <w:rPr>
                <w:vertAlign w:val="superscript"/>
              </w:rPr>
              <w:t>1</w:t>
            </w:r>
            <w:r w:rsidR="00FF5C3E">
              <w:t> </w:t>
            </w:r>
            <w:r>
              <w:t xml:space="preserve">(4), </w:t>
            </w:r>
            <w:proofErr w:type="spellStart"/>
            <w:r>
              <w:t>absorptivity</w:t>
            </w:r>
            <w:proofErr w:type="spellEnd"/>
            <w:r w:rsidR="00C64DE3">
              <w:t> </w:t>
            </w:r>
            <w:r>
              <w:t>of</w:t>
            </w:r>
            <w:r w:rsidR="00C64DE3">
              <w:t> </w:t>
            </w:r>
            <w:r>
              <w:t>15</w:t>
            </w:r>
            <w:r w:rsidR="00FF5C3E">
              <w:t> </w:t>
            </w:r>
            <w:r w:rsidRPr="00DE0875">
              <w:t>L</w:t>
            </w:r>
            <w:r w:rsidR="00FF5C3E">
              <w:t> </w:t>
            </w:r>
            <w:r w:rsidRPr="00DE0875">
              <w:t>g</w:t>
            </w:r>
            <w:r w:rsidR="007B5030">
              <w:rPr>
                <w:vertAlign w:val="superscript"/>
              </w:rPr>
              <w:t>–</w:t>
            </w:r>
            <w:r w:rsidRPr="00EF7384">
              <w:rPr>
                <w:vertAlign w:val="superscript"/>
              </w:rPr>
              <w:t>1</w:t>
            </w:r>
            <w:r w:rsidRPr="00DE0875">
              <w:t>cm</w:t>
            </w:r>
            <w:r w:rsidR="007B5030">
              <w:rPr>
                <w:vertAlign w:val="superscript"/>
              </w:rPr>
              <w:t>–</w:t>
            </w:r>
            <w:r w:rsidRPr="00EF7384">
              <w:rPr>
                <w:vertAlign w:val="superscript"/>
              </w:rPr>
              <w:t>1</w:t>
            </w:r>
            <w:r w:rsidR="00FF5C3E">
              <w:t> </w:t>
            </w:r>
            <w:r>
              <w:t xml:space="preserve">(1), </w:t>
            </w:r>
            <w:proofErr w:type="spellStart"/>
            <w:r w:rsidRPr="00EF7384">
              <w:rPr>
                <w:color w:val="000000"/>
              </w:rPr>
              <w:t>absorptivity</w:t>
            </w:r>
            <w:proofErr w:type="spellEnd"/>
            <w:r w:rsidR="00EB4C40" w:rsidRPr="00EF7384">
              <w:rPr>
                <w:color w:val="000000"/>
              </w:rPr>
              <w:t> </w:t>
            </w:r>
            <w:r w:rsidRPr="00EF7384">
              <w:rPr>
                <w:color w:val="000000"/>
              </w:rPr>
              <w:t>no</w:t>
            </w:r>
            <w:r w:rsidR="001E76C2">
              <w:rPr>
                <w:color w:val="000000"/>
              </w:rPr>
              <w:t>t</w:t>
            </w:r>
            <w:r w:rsidR="00EB4C40" w:rsidRPr="00EF7384">
              <w:rPr>
                <w:color w:val="000000"/>
              </w:rPr>
              <w:t> </w:t>
            </w:r>
            <w:r w:rsidRPr="00EF7384">
              <w:rPr>
                <w:color w:val="000000"/>
              </w:rPr>
              <w:t xml:space="preserve"> reported</w:t>
            </w:r>
            <w:r w:rsidR="00FF5C3E" w:rsidRPr="00EF7384">
              <w:rPr>
                <w:color w:val="000000"/>
              </w:rPr>
              <w:t> </w:t>
            </w:r>
            <w:r w:rsidRPr="00EF7384">
              <w:rPr>
                <w:color w:val="000000"/>
              </w:rPr>
              <w:t xml:space="preserve">(4), no wavelength or </w:t>
            </w:r>
            <w:proofErr w:type="spellStart"/>
            <w:r w:rsidRPr="00EF7384">
              <w:rPr>
                <w:color w:val="000000"/>
              </w:rPr>
              <w:t>absorptivity</w:t>
            </w:r>
            <w:proofErr w:type="spellEnd"/>
            <w:r w:rsidRPr="00EF7384">
              <w:rPr>
                <w:color w:val="000000"/>
              </w:rPr>
              <w:t xml:space="preserve"> reported</w:t>
            </w:r>
            <w:r w:rsidR="00FF5C3E" w:rsidRPr="00EF7384">
              <w:rPr>
                <w:color w:val="000000"/>
              </w:rPr>
              <w:t> </w:t>
            </w:r>
            <w:r w:rsidRPr="00EF7384">
              <w:rPr>
                <w:color w:val="000000"/>
              </w:rPr>
              <w:t>(3)</w:t>
            </w:r>
          </w:p>
        </w:tc>
      </w:tr>
      <w:tr w:rsidR="00866D2A" w:rsidTr="00B910CB">
        <w:tc>
          <w:tcPr>
            <w:tcW w:w="3175" w:type="dxa"/>
          </w:tcPr>
          <w:p w:rsidR="00866D2A" w:rsidRDefault="00866D2A" w:rsidP="0047404F">
            <w:pPr>
              <w:spacing w:after="120"/>
            </w:pPr>
            <w:r>
              <w:t>Detection of free sugar</w:t>
            </w:r>
            <w:r w:rsidR="0047404F">
              <w:t>s</w:t>
            </w:r>
            <w:r>
              <w:t xml:space="preserve"> in water extract:</w:t>
            </w:r>
          </w:p>
        </w:tc>
        <w:tc>
          <w:tcPr>
            <w:tcW w:w="6127" w:type="dxa"/>
          </w:tcPr>
          <w:p w:rsidR="00866D2A" w:rsidRDefault="00866D2A" w:rsidP="00866D2A">
            <w:pPr>
              <w:spacing w:after="120"/>
            </w:pPr>
            <w:r>
              <w:t>Liquid chromatography (8), immobilized enzyme assay (3), not reported (1)</w:t>
            </w:r>
          </w:p>
        </w:tc>
      </w:tr>
      <w:tr w:rsidR="002709D0" w:rsidTr="00B910CB">
        <w:tc>
          <w:tcPr>
            <w:tcW w:w="3175" w:type="dxa"/>
          </w:tcPr>
          <w:p w:rsidR="002709D0" w:rsidRDefault="002709D0" w:rsidP="000C0D7C">
            <w:pPr>
              <w:spacing w:after="120"/>
            </w:pPr>
            <w:r>
              <w:t>Sugar separation column type</w:t>
            </w:r>
            <w:r w:rsidR="00313918">
              <w:t>:</w:t>
            </w:r>
          </w:p>
        </w:tc>
        <w:tc>
          <w:tcPr>
            <w:tcW w:w="6127" w:type="dxa"/>
          </w:tcPr>
          <w:p w:rsidR="002709D0" w:rsidRDefault="002709D0" w:rsidP="000C0D7C">
            <w:pPr>
              <w:spacing w:after="120"/>
            </w:pPr>
            <w:r>
              <w:t>Lead ion</w:t>
            </w:r>
            <w:r w:rsidR="00FF5C3E">
              <w:t> </w:t>
            </w:r>
            <w:r>
              <w:t>(7), amino</w:t>
            </w:r>
            <w:r w:rsidR="00FF5C3E">
              <w:t> </w:t>
            </w:r>
            <w:r>
              <w:t>(3), anion exchange</w:t>
            </w:r>
            <w:r w:rsidR="00FF5C3E">
              <w:t> </w:t>
            </w:r>
            <w:r>
              <w:t>(2), not reported</w:t>
            </w:r>
            <w:r w:rsidR="00FF5C3E">
              <w:t> </w:t>
            </w:r>
            <w:r>
              <w:t>(1)</w:t>
            </w:r>
          </w:p>
        </w:tc>
      </w:tr>
      <w:tr w:rsidR="002709D0" w:rsidTr="00B910CB">
        <w:tc>
          <w:tcPr>
            <w:tcW w:w="3175" w:type="dxa"/>
          </w:tcPr>
          <w:p w:rsidR="002709D0" w:rsidRDefault="002709D0" w:rsidP="000C0D7C">
            <w:pPr>
              <w:spacing w:after="120"/>
            </w:pPr>
            <w:r>
              <w:t>Sugar detection</w:t>
            </w:r>
            <w:r w:rsidR="00313918">
              <w:t>:</w:t>
            </w:r>
          </w:p>
        </w:tc>
        <w:tc>
          <w:tcPr>
            <w:tcW w:w="6127" w:type="dxa"/>
          </w:tcPr>
          <w:p w:rsidR="002709D0" w:rsidRDefault="002709D0" w:rsidP="004F16A9">
            <w:pPr>
              <w:spacing w:after="120"/>
            </w:pPr>
            <w:r>
              <w:t>Refractive index</w:t>
            </w:r>
            <w:r w:rsidR="00FF5C3E">
              <w:t> </w:t>
            </w:r>
            <w:r>
              <w:t xml:space="preserve">(10), pulsed </w:t>
            </w:r>
            <w:proofErr w:type="spellStart"/>
            <w:r>
              <w:t>amperometric</w:t>
            </w:r>
            <w:proofErr w:type="spellEnd"/>
            <w:r w:rsidR="00FF5C3E">
              <w:t> </w:t>
            </w:r>
            <w:r>
              <w:t>(2)</w:t>
            </w:r>
            <w:r w:rsidR="004F16A9">
              <w:t xml:space="preserve"> </w:t>
            </w:r>
            <w:r w:rsidR="004F16A9" w:rsidRPr="004F16A9">
              <w:t>evaporative</w:t>
            </w:r>
            <w:r w:rsidR="004F16A9">
              <w:t> </w:t>
            </w:r>
            <w:r w:rsidR="004F16A9" w:rsidRPr="004F16A9">
              <w:t>light</w:t>
            </w:r>
            <w:r w:rsidR="004F16A9">
              <w:t> </w:t>
            </w:r>
            <w:r w:rsidR="004F16A9" w:rsidRPr="004F16A9">
              <w:t>scattering detection</w:t>
            </w:r>
            <w:r w:rsidR="00FF5C3E" w:rsidRPr="004F16A9">
              <w:t> </w:t>
            </w:r>
            <w:r w:rsidRPr="004F16A9">
              <w:t>(1)</w:t>
            </w:r>
          </w:p>
        </w:tc>
      </w:tr>
      <w:tr w:rsidR="002709D0" w:rsidTr="00B910CB">
        <w:tc>
          <w:tcPr>
            <w:tcW w:w="3175" w:type="dxa"/>
          </w:tcPr>
          <w:p w:rsidR="002709D0" w:rsidRDefault="002709D0" w:rsidP="000C0D7C">
            <w:pPr>
              <w:spacing w:after="120"/>
            </w:pPr>
            <w:r>
              <w:t>Nitrogen</w:t>
            </w:r>
            <w:r w:rsidR="00313918">
              <w:t>:</w:t>
            </w:r>
          </w:p>
        </w:tc>
        <w:tc>
          <w:tcPr>
            <w:tcW w:w="6127" w:type="dxa"/>
          </w:tcPr>
          <w:p w:rsidR="002709D0" w:rsidRDefault="002709D0" w:rsidP="001E76C2">
            <w:pPr>
              <w:spacing w:after="120"/>
            </w:pPr>
            <w:r>
              <w:t>Combustion</w:t>
            </w:r>
            <w:r w:rsidRPr="00FF5C3E">
              <w:t xml:space="preserve"> </w:t>
            </w:r>
            <w:r>
              <w:t>(</w:t>
            </w:r>
            <w:r w:rsidR="00593E73">
              <w:t>4</w:t>
            </w:r>
            <w:r>
              <w:t>),</w:t>
            </w:r>
            <w:r w:rsidR="00593E73">
              <w:t xml:space="preserve"> </w:t>
            </w:r>
            <w:r w:rsidR="001E76C2">
              <w:t>e</w:t>
            </w:r>
            <w:r w:rsidR="00FF5C3E">
              <w:t xml:space="preserve">lectron </w:t>
            </w:r>
            <w:r w:rsidR="001E76C2">
              <w:t>a</w:t>
            </w:r>
            <w:r w:rsidR="00FF5C3E">
              <w:t>ffinity </w:t>
            </w:r>
            <w:r>
              <w:t xml:space="preserve">(1), </w:t>
            </w:r>
            <w:proofErr w:type="spellStart"/>
            <w:r>
              <w:t>Kjeldahl</w:t>
            </w:r>
            <w:proofErr w:type="spellEnd"/>
            <w:r w:rsidR="00FF5C3E">
              <w:t> </w:t>
            </w:r>
            <w:r>
              <w:t>(1), not reported</w:t>
            </w:r>
            <w:r w:rsidR="00FF5C3E">
              <w:t> </w:t>
            </w:r>
            <w:r>
              <w:t>(3)</w:t>
            </w:r>
          </w:p>
        </w:tc>
      </w:tr>
      <w:tr w:rsidR="002709D0" w:rsidTr="00B910CB">
        <w:tc>
          <w:tcPr>
            <w:tcW w:w="3175" w:type="dxa"/>
          </w:tcPr>
          <w:p w:rsidR="002709D0" w:rsidRDefault="002709D0" w:rsidP="000C0D7C">
            <w:pPr>
              <w:spacing w:after="120"/>
            </w:pPr>
            <w:r>
              <w:t>Acetic acid separation column type</w:t>
            </w:r>
            <w:r w:rsidR="0047404F">
              <w:t>:</w:t>
            </w:r>
          </w:p>
        </w:tc>
        <w:tc>
          <w:tcPr>
            <w:tcW w:w="6127" w:type="dxa"/>
          </w:tcPr>
          <w:p w:rsidR="002709D0" w:rsidRDefault="002709D0" w:rsidP="000C0D7C">
            <w:pPr>
              <w:spacing w:after="120"/>
            </w:pPr>
            <w:r>
              <w:t>Hydrogen ion</w:t>
            </w:r>
            <w:r w:rsidR="00FF5C3E">
              <w:t> </w:t>
            </w:r>
            <w:r>
              <w:t>(6), anion exchange</w:t>
            </w:r>
            <w:r w:rsidR="00FF5C3E">
              <w:t> </w:t>
            </w:r>
            <w:r>
              <w:t>(1), not reported</w:t>
            </w:r>
            <w:r w:rsidR="00FF5C3E">
              <w:t> </w:t>
            </w:r>
            <w:r>
              <w:t>(4)</w:t>
            </w:r>
          </w:p>
        </w:tc>
      </w:tr>
    </w:tbl>
    <w:p w:rsidR="009F58DC" w:rsidRDefault="009F58DC" w:rsidP="00B40DF0">
      <w:pPr>
        <w:tabs>
          <w:tab w:val="left" w:pos="-720"/>
          <w:tab w:val="left" w:pos="180"/>
          <w:tab w:val="decimal" w:pos="2520"/>
          <w:tab w:val="left" w:pos="2970"/>
          <w:tab w:val="decimal" w:pos="3510"/>
          <w:tab w:val="decimal" w:pos="5310"/>
          <w:tab w:val="left" w:pos="5760"/>
          <w:tab w:val="left" w:pos="6120"/>
        </w:tabs>
        <w:ind w:left="180" w:hanging="180"/>
        <w:jc w:val="both"/>
        <w:rPr>
          <w:sz w:val="18"/>
          <w:vertAlign w:val="superscript"/>
        </w:rPr>
      </w:pPr>
    </w:p>
    <w:p w:rsidR="00B40DF0" w:rsidRPr="00087274" w:rsidRDefault="00B40DF0" w:rsidP="00B40DF0">
      <w:pPr>
        <w:tabs>
          <w:tab w:val="left" w:pos="-720"/>
          <w:tab w:val="left" w:pos="180"/>
          <w:tab w:val="decimal" w:pos="2520"/>
          <w:tab w:val="left" w:pos="2970"/>
          <w:tab w:val="decimal" w:pos="3510"/>
          <w:tab w:val="decimal" w:pos="5310"/>
          <w:tab w:val="left" w:pos="5760"/>
          <w:tab w:val="left" w:pos="6120"/>
        </w:tabs>
        <w:ind w:left="180" w:hanging="180"/>
        <w:jc w:val="both"/>
        <w:rPr>
          <w:sz w:val="18"/>
          <w:szCs w:val="18"/>
        </w:rPr>
      </w:pPr>
      <w:r>
        <w:rPr>
          <w:sz w:val="18"/>
          <w:vertAlign w:val="superscript"/>
        </w:rPr>
        <w:t>(a)</w:t>
      </w:r>
      <w:r w:rsidR="00EF6AEF">
        <w:rPr>
          <w:sz w:val="18"/>
          <w:vertAlign w:val="superscript"/>
        </w:rPr>
        <w:tab/>
      </w:r>
      <w:r>
        <w:rPr>
          <w:sz w:val="18"/>
          <w:szCs w:val="18"/>
        </w:rPr>
        <w:t>The value in parentheses represents the number of labs reporting the</w:t>
      </w:r>
      <w:r w:rsidR="00367B9C">
        <w:rPr>
          <w:sz w:val="18"/>
          <w:szCs w:val="18"/>
        </w:rPr>
        <w:t>ir</w:t>
      </w:r>
      <w:r>
        <w:rPr>
          <w:sz w:val="18"/>
          <w:szCs w:val="18"/>
        </w:rPr>
        <w:t xml:space="preserve"> use of each method or column.</w:t>
      </w:r>
    </w:p>
    <w:p w:rsidR="002709D0" w:rsidRPr="002709D0" w:rsidRDefault="002709D0" w:rsidP="002709D0">
      <w:pPr>
        <w:tabs>
          <w:tab w:val="left" w:pos="-720"/>
          <w:tab w:val="left" w:pos="180"/>
          <w:tab w:val="decimal" w:pos="2520"/>
          <w:tab w:val="left" w:pos="2970"/>
          <w:tab w:val="decimal" w:pos="3510"/>
          <w:tab w:val="decimal" w:pos="5310"/>
          <w:tab w:val="left" w:pos="5760"/>
          <w:tab w:val="left" w:pos="6120"/>
        </w:tabs>
        <w:ind w:left="180" w:hanging="180"/>
        <w:jc w:val="both"/>
        <w:rPr>
          <w:sz w:val="18"/>
          <w:szCs w:val="18"/>
        </w:rPr>
      </w:pPr>
      <w:r w:rsidRPr="002709D0">
        <w:rPr>
          <w:sz w:val="18"/>
          <w:szCs w:val="18"/>
          <w:vertAlign w:val="superscript"/>
        </w:rPr>
        <w:t>(b)</w:t>
      </w:r>
      <w:r w:rsidR="00EF6AEF">
        <w:rPr>
          <w:sz w:val="18"/>
          <w:szCs w:val="18"/>
          <w:vertAlign w:val="superscript"/>
        </w:rPr>
        <w:tab/>
      </w:r>
      <w:r w:rsidRPr="002709D0">
        <w:rPr>
          <w:sz w:val="18"/>
          <w:szCs w:val="18"/>
        </w:rPr>
        <w:t>All labs reporting information used a wavelength of 240</w:t>
      </w:r>
      <w:r>
        <w:rPr>
          <w:sz w:val="18"/>
          <w:szCs w:val="18"/>
        </w:rPr>
        <w:t> </w:t>
      </w:r>
      <w:r w:rsidRPr="002709D0">
        <w:rPr>
          <w:sz w:val="18"/>
          <w:szCs w:val="18"/>
        </w:rPr>
        <w:t>nm</w:t>
      </w:r>
      <w:r w:rsidR="00EB4C40">
        <w:rPr>
          <w:sz w:val="18"/>
          <w:szCs w:val="18"/>
        </w:rPr>
        <w:t>.</w:t>
      </w:r>
    </w:p>
    <w:p w:rsidR="007666B1" w:rsidRDefault="007666B1">
      <w:r>
        <w:br w:type="page"/>
      </w:r>
    </w:p>
    <w:p w:rsidR="00745E7B" w:rsidRDefault="00745E7B">
      <w:pPr>
        <w:jc w:val="center"/>
      </w:pPr>
      <w:r>
        <w:lastRenderedPageBreak/>
        <w:t>REFERENCES</w:t>
      </w:r>
    </w:p>
    <w:p w:rsidR="002D3D5C" w:rsidRDefault="002D3D5C">
      <w:pPr>
        <w:jc w:val="center"/>
      </w:pPr>
    </w:p>
    <w:p w:rsidR="002C5E37" w:rsidRPr="002C5E37" w:rsidRDefault="002C5E37" w:rsidP="002D3D5C">
      <w:pPr>
        <w:pStyle w:val="BodyTextIndent2"/>
        <w:tabs>
          <w:tab w:val="left" w:pos="540"/>
        </w:tabs>
        <w:ind w:left="540" w:hanging="540"/>
        <w:jc w:val="both"/>
        <w:rPr>
          <w:kern w:val="2"/>
          <w:sz w:val="20"/>
        </w:rPr>
      </w:pPr>
      <w:r w:rsidRPr="002C5E37">
        <w:rPr>
          <w:sz w:val="20"/>
        </w:rPr>
        <w:t>[1]</w:t>
      </w:r>
      <w:r w:rsidRPr="002C5E37">
        <w:rPr>
          <w:sz w:val="20"/>
        </w:rPr>
        <w:tab/>
        <w:t>Thompson</w:t>
      </w:r>
      <w:r w:rsidR="00AB66C8">
        <w:rPr>
          <w:sz w:val="20"/>
        </w:rPr>
        <w:t>,</w:t>
      </w:r>
      <w:r w:rsidR="00DE0A87">
        <w:rPr>
          <w:sz w:val="20"/>
        </w:rPr>
        <w:t> </w:t>
      </w:r>
      <w:r w:rsidRPr="002C5E37">
        <w:rPr>
          <w:sz w:val="20"/>
        </w:rPr>
        <w:t xml:space="preserve">A.; </w:t>
      </w:r>
      <w:r w:rsidRPr="002C5E37">
        <w:rPr>
          <w:kern w:val="2"/>
          <w:sz w:val="20"/>
        </w:rPr>
        <w:t>Taylor,</w:t>
      </w:r>
      <w:r w:rsidR="00DE0A87">
        <w:rPr>
          <w:kern w:val="2"/>
          <w:sz w:val="20"/>
        </w:rPr>
        <w:t> </w:t>
      </w:r>
      <w:r w:rsidRPr="002C5E37">
        <w:rPr>
          <w:kern w:val="2"/>
          <w:sz w:val="20"/>
        </w:rPr>
        <w:t xml:space="preserve">B.N.; </w:t>
      </w:r>
      <w:r w:rsidRPr="002C5E37">
        <w:rPr>
          <w:i/>
          <w:kern w:val="2"/>
          <w:sz w:val="20"/>
        </w:rPr>
        <w:t>Guide for the Use of the International System of Units</w:t>
      </w:r>
      <w:r w:rsidR="00AE773E">
        <w:rPr>
          <w:i/>
          <w:kern w:val="2"/>
          <w:sz w:val="20"/>
        </w:rPr>
        <w:t> </w:t>
      </w:r>
      <w:r w:rsidRPr="002C5E37">
        <w:rPr>
          <w:i/>
          <w:kern w:val="2"/>
          <w:sz w:val="20"/>
        </w:rPr>
        <w:t xml:space="preserve">(SI); </w:t>
      </w:r>
      <w:r w:rsidRPr="002C5E37">
        <w:rPr>
          <w:kern w:val="2"/>
          <w:sz w:val="20"/>
        </w:rPr>
        <w:t>NIST Special Publication</w:t>
      </w:r>
      <w:r w:rsidR="00AE773E">
        <w:rPr>
          <w:kern w:val="2"/>
          <w:sz w:val="20"/>
        </w:rPr>
        <w:t> </w:t>
      </w:r>
      <w:r w:rsidRPr="002C5E37">
        <w:rPr>
          <w:kern w:val="2"/>
          <w:sz w:val="20"/>
        </w:rPr>
        <w:t>811</w:t>
      </w:r>
      <w:r w:rsidR="00781034">
        <w:rPr>
          <w:kern w:val="2"/>
          <w:sz w:val="20"/>
        </w:rPr>
        <w:t>;</w:t>
      </w:r>
      <w:r w:rsidRPr="002C5E37">
        <w:rPr>
          <w:kern w:val="2"/>
          <w:sz w:val="20"/>
        </w:rPr>
        <w:t xml:space="preserve"> U.S. Government Print</w:t>
      </w:r>
      <w:r w:rsidR="00785385">
        <w:rPr>
          <w:kern w:val="2"/>
          <w:sz w:val="20"/>
        </w:rPr>
        <w:t>ing</w:t>
      </w:r>
      <w:r w:rsidRPr="002C5E37">
        <w:rPr>
          <w:kern w:val="2"/>
          <w:sz w:val="20"/>
        </w:rPr>
        <w:t xml:space="preserve"> Office</w:t>
      </w:r>
      <w:r w:rsidR="00781034">
        <w:rPr>
          <w:kern w:val="2"/>
          <w:sz w:val="20"/>
        </w:rPr>
        <w:t>:</w:t>
      </w:r>
      <w:r w:rsidRPr="002C5E37">
        <w:rPr>
          <w:kern w:val="2"/>
          <w:sz w:val="20"/>
        </w:rPr>
        <w:t xml:space="preserve"> Washington,</w:t>
      </w:r>
      <w:r w:rsidR="00DE0A87">
        <w:rPr>
          <w:kern w:val="2"/>
          <w:sz w:val="20"/>
        </w:rPr>
        <w:t> </w:t>
      </w:r>
      <w:r w:rsidRPr="002C5E37">
        <w:rPr>
          <w:kern w:val="2"/>
          <w:sz w:val="20"/>
        </w:rPr>
        <w:t xml:space="preserve">DC (2008); available at </w:t>
      </w:r>
      <w:hyperlink r:id="rId10" w:history="1">
        <w:r w:rsidR="00AE773E" w:rsidRPr="00AE773E">
          <w:rPr>
            <w:rStyle w:val="Hyperlink"/>
          </w:rPr>
          <w:t>http://www.nist.gov/pml/pubs/index.cfm/</w:t>
        </w:r>
      </w:hyperlink>
      <w:r w:rsidR="00AE773E">
        <w:rPr>
          <w:rStyle w:val="Hyperlink"/>
        </w:rPr>
        <w:t xml:space="preserve"> (accessed </w:t>
      </w:r>
      <w:r w:rsidR="0089374A">
        <w:rPr>
          <w:rStyle w:val="Hyperlink"/>
        </w:rPr>
        <w:t>Feb </w:t>
      </w:r>
      <w:r w:rsidR="00AE773E">
        <w:rPr>
          <w:rStyle w:val="Hyperlink"/>
        </w:rPr>
        <w:t>2011)</w:t>
      </w:r>
      <w:r w:rsidRPr="002C5E37">
        <w:rPr>
          <w:kern w:val="2"/>
          <w:sz w:val="20"/>
        </w:rPr>
        <w:t>.</w:t>
      </w:r>
    </w:p>
    <w:p w:rsidR="00AE773E" w:rsidRPr="00AB66C8" w:rsidRDefault="002C5E37" w:rsidP="002D3D5C">
      <w:pPr>
        <w:pStyle w:val="BodyTextIndent2"/>
        <w:tabs>
          <w:tab w:val="left" w:pos="540"/>
        </w:tabs>
        <w:ind w:left="540" w:hanging="540"/>
        <w:jc w:val="both"/>
        <w:rPr>
          <w:sz w:val="20"/>
        </w:rPr>
      </w:pPr>
      <w:r w:rsidRPr="002C5E37">
        <w:rPr>
          <w:kern w:val="2"/>
          <w:sz w:val="20"/>
        </w:rPr>
        <w:t>[2]</w:t>
      </w:r>
      <w:r w:rsidRPr="002C5E37">
        <w:rPr>
          <w:kern w:val="2"/>
          <w:sz w:val="20"/>
        </w:rPr>
        <w:tab/>
      </w:r>
      <w:r w:rsidRPr="00AE773E">
        <w:rPr>
          <w:kern w:val="2"/>
          <w:sz w:val="20"/>
        </w:rPr>
        <w:t>May,</w:t>
      </w:r>
      <w:r w:rsidR="00AE773E" w:rsidRPr="00AE773E">
        <w:rPr>
          <w:kern w:val="2"/>
          <w:sz w:val="20"/>
        </w:rPr>
        <w:t> </w:t>
      </w:r>
      <w:r w:rsidRPr="00AE773E">
        <w:rPr>
          <w:kern w:val="2"/>
          <w:sz w:val="20"/>
        </w:rPr>
        <w:t>W.; Parris,</w:t>
      </w:r>
      <w:r w:rsidR="00AE773E" w:rsidRPr="00AE773E">
        <w:rPr>
          <w:kern w:val="2"/>
          <w:sz w:val="20"/>
        </w:rPr>
        <w:t> </w:t>
      </w:r>
      <w:r w:rsidRPr="00AE773E">
        <w:rPr>
          <w:kern w:val="2"/>
          <w:sz w:val="20"/>
        </w:rPr>
        <w:t>R.; Beck,</w:t>
      </w:r>
      <w:r w:rsidR="00AE773E" w:rsidRPr="00AE773E">
        <w:rPr>
          <w:kern w:val="2"/>
          <w:sz w:val="20"/>
        </w:rPr>
        <w:t> </w:t>
      </w:r>
      <w:r w:rsidRPr="00AE773E">
        <w:rPr>
          <w:kern w:val="2"/>
          <w:sz w:val="20"/>
        </w:rPr>
        <w:t xml:space="preserve">C.; </w:t>
      </w:r>
      <w:proofErr w:type="spellStart"/>
      <w:r w:rsidRPr="00AE773E">
        <w:rPr>
          <w:kern w:val="2"/>
          <w:sz w:val="20"/>
        </w:rPr>
        <w:t>Fassett</w:t>
      </w:r>
      <w:proofErr w:type="spellEnd"/>
      <w:r w:rsidRPr="00AE773E">
        <w:rPr>
          <w:kern w:val="2"/>
          <w:sz w:val="20"/>
        </w:rPr>
        <w:t>,</w:t>
      </w:r>
      <w:r w:rsidR="00AE773E" w:rsidRPr="00AE773E">
        <w:rPr>
          <w:kern w:val="2"/>
          <w:sz w:val="20"/>
        </w:rPr>
        <w:t> </w:t>
      </w:r>
      <w:r w:rsidRPr="00AE773E">
        <w:rPr>
          <w:kern w:val="2"/>
          <w:sz w:val="20"/>
        </w:rPr>
        <w:t>J.; Greenberg,</w:t>
      </w:r>
      <w:r w:rsidR="00AE773E" w:rsidRPr="00AE773E">
        <w:rPr>
          <w:kern w:val="2"/>
          <w:sz w:val="20"/>
        </w:rPr>
        <w:t> </w:t>
      </w:r>
      <w:r w:rsidRPr="00AE773E">
        <w:rPr>
          <w:kern w:val="2"/>
          <w:sz w:val="20"/>
        </w:rPr>
        <w:t>R.; Guenther,</w:t>
      </w:r>
      <w:r w:rsidR="00AE773E" w:rsidRPr="00AE773E">
        <w:rPr>
          <w:kern w:val="2"/>
          <w:sz w:val="20"/>
        </w:rPr>
        <w:t> </w:t>
      </w:r>
      <w:r w:rsidRPr="00AE773E">
        <w:rPr>
          <w:kern w:val="2"/>
          <w:sz w:val="20"/>
        </w:rPr>
        <w:t>F.; Kramer,</w:t>
      </w:r>
      <w:r w:rsidR="00AE773E" w:rsidRPr="00AE773E">
        <w:rPr>
          <w:kern w:val="2"/>
          <w:sz w:val="20"/>
        </w:rPr>
        <w:t> </w:t>
      </w:r>
      <w:r w:rsidRPr="00AE773E">
        <w:rPr>
          <w:kern w:val="2"/>
          <w:sz w:val="20"/>
        </w:rPr>
        <w:t>G..; Wise,</w:t>
      </w:r>
      <w:r w:rsidR="00AE773E" w:rsidRPr="00AE773E">
        <w:rPr>
          <w:kern w:val="2"/>
          <w:sz w:val="20"/>
        </w:rPr>
        <w:t> </w:t>
      </w:r>
      <w:r w:rsidRPr="00AE773E">
        <w:rPr>
          <w:kern w:val="2"/>
          <w:sz w:val="20"/>
        </w:rPr>
        <w:t>S.; Gills,</w:t>
      </w:r>
      <w:r w:rsidR="00AE773E" w:rsidRPr="00AE773E">
        <w:rPr>
          <w:kern w:val="2"/>
          <w:sz w:val="20"/>
        </w:rPr>
        <w:t> </w:t>
      </w:r>
      <w:r w:rsidRPr="00AE773E">
        <w:rPr>
          <w:kern w:val="2"/>
          <w:sz w:val="20"/>
        </w:rPr>
        <w:t>T.; Colbert,</w:t>
      </w:r>
      <w:r w:rsidR="00AE773E" w:rsidRPr="00AE773E">
        <w:rPr>
          <w:kern w:val="2"/>
          <w:sz w:val="20"/>
        </w:rPr>
        <w:t> </w:t>
      </w:r>
      <w:r w:rsidRPr="00AE773E">
        <w:rPr>
          <w:kern w:val="2"/>
          <w:sz w:val="20"/>
        </w:rPr>
        <w:t xml:space="preserve">J.; </w:t>
      </w:r>
      <w:proofErr w:type="spellStart"/>
      <w:r w:rsidRPr="00AE773E">
        <w:rPr>
          <w:kern w:val="2"/>
          <w:sz w:val="20"/>
        </w:rPr>
        <w:t>Gettings</w:t>
      </w:r>
      <w:proofErr w:type="spellEnd"/>
      <w:r w:rsidRPr="00AE773E">
        <w:rPr>
          <w:kern w:val="2"/>
          <w:sz w:val="20"/>
        </w:rPr>
        <w:t>,</w:t>
      </w:r>
      <w:r w:rsidR="00AE773E" w:rsidRPr="00AE773E">
        <w:rPr>
          <w:kern w:val="2"/>
          <w:sz w:val="20"/>
        </w:rPr>
        <w:t> </w:t>
      </w:r>
      <w:r w:rsidRPr="00AE773E">
        <w:rPr>
          <w:kern w:val="2"/>
          <w:sz w:val="20"/>
        </w:rPr>
        <w:t>R.; MacDonal</w:t>
      </w:r>
      <w:r w:rsidR="00AE773E" w:rsidRPr="00AE773E">
        <w:rPr>
          <w:kern w:val="2"/>
          <w:sz w:val="20"/>
        </w:rPr>
        <w:t>d, </w:t>
      </w:r>
      <w:r w:rsidRPr="00AE773E">
        <w:rPr>
          <w:kern w:val="2"/>
          <w:sz w:val="20"/>
        </w:rPr>
        <w:t xml:space="preserve">B.; </w:t>
      </w:r>
      <w:r w:rsidRPr="00AE773E">
        <w:rPr>
          <w:i/>
          <w:kern w:val="2"/>
          <w:sz w:val="20"/>
        </w:rPr>
        <w:t xml:space="preserve">Definitions of Terms and </w:t>
      </w:r>
      <w:r w:rsidR="00BF343B" w:rsidRPr="00AE773E">
        <w:rPr>
          <w:i/>
          <w:kern w:val="2"/>
          <w:sz w:val="20"/>
        </w:rPr>
        <w:t>Modes Used</w:t>
      </w:r>
      <w:r w:rsidRPr="00AE773E">
        <w:rPr>
          <w:i/>
          <w:kern w:val="2"/>
          <w:sz w:val="20"/>
        </w:rPr>
        <w:t xml:space="preserve"> at NIST for </w:t>
      </w:r>
      <w:proofErr w:type="spellStart"/>
      <w:r w:rsidRPr="00AE773E">
        <w:rPr>
          <w:i/>
          <w:kern w:val="2"/>
          <w:sz w:val="20"/>
        </w:rPr>
        <w:t>Value</w:t>
      </w:r>
      <w:r w:rsidR="00A13E06">
        <w:rPr>
          <w:i/>
          <w:kern w:val="2"/>
          <w:sz w:val="20"/>
        </w:rPr>
        <w:noBreakHyphen/>
      </w:r>
      <w:r w:rsidRPr="00AE773E">
        <w:rPr>
          <w:i/>
          <w:kern w:val="2"/>
          <w:sz w:val="20"/>
        </w:rPr>
        <w:t>Assignment</w:t>
      </w:r>
      <w:proofErr w:type="spellEnd"/>
      <w:r w:rsidRPr="00AE773E">
        <w:rPr>
          <w:i/>
          <w:kern w:val="2"/>
          <w:sz w:val="20"/>
        </w:rPr>
        <w:t xml:space="preserve"> of Reference Materials for Chemical Measurements; </w:t>
      </w:r>
      <w:r w:rsidRPr="00AE773E">
        <w:rPr>
          <w:kern w:val="2"/>
          <w:sz w:val="20"/>
        </w:rPr>
        <w:t>NIST Special Publication 260</w:t>
      </w:r>
      <w:r w:rsidR="0089374A">
        <w:rPr>
          <w:kern w:val="2"/>
          <w:sz w:val="20"/>
        </w:rPr>
        <w:noBreakHyphen/>
      </w:r>
      <w:r w:rsidRPr="00AE773E">
        <w:rPr>
          <w:kern w:val="2"/>
          <w:sz w:val="20"/>
        </w:rPr>
        <w:t>136</w:t>
      </w:r>
      <w:r w:rsidR="00781034">
        <w:rPr>
          <w:kern w:val="2"/>
          <w:sz w:val="20"/>
        </w:rPr>
        <w:t>;</w:t>
      </w:r>
      <w:r w:rsidRPr="00AE773E">
        <w:rPr>
          <w:kern w:val="2"/>
          <w:sz w:val="20"/>
        </w:rPr>
        <w:t xml:space="preserve"> U.S. Government Printing Office</w:t>
      </w:r>
      <w:r w:rsidR="00781034">
        <w:rPr>
          <w:kern w:val="2"/>
          <w:sz w:val="20"/>
        </w:rPr>
        <w:t>:</w:t>
      </w:r>
      <w:r w:rsidRPr="00AE773E">
        <w:rPr>
          <w:kern w:val="2"/>
          <w:sz w:val="20"/>
        </w:rPr>
        <w:t xml:space="preserve"> Gaithersburg,</w:t>
      </w:r>
      <w:r w:rsidR="00AE773E" w:rsidRPr="00AE773E">
        <w:rPr>
          <w:kern w:val="2"/>
          <w:sz w:val="20"/>
        </w:rPr>
        <w:t> </w:t>
      </w:r>
      <w:r w:rsidRPr="00AE773E">
        <w:rPr>
          <w:kern w:val="2"/>
          <w:sz w:val="20"/>
        </w:rPr>
        <w:t>MD (2000)</w:t>
      </w:r>
      <w:r w:rsidR="00AE773E" w:rsidRPr="00AE773E">
        <w:rPr>
          <w:kern w:val="2"/>
          <w:sz w:val="20"/>
        </w:rPr>
        <w:t xml:space="preserve">; </w:t>
      </w:r>
      <w:r w:rsidRPr="00AE773E">
        <w:rPr>
          <w:kern w:val="2"/>
          <w:sz w:val="20"/>
        </w:rPr>
        <w:t>available at</w:t>
      </w:r>
      <w:r w:rsidRPr="00AE773E">
        <w:rPr>
          <w:sz w:val="20"/>
        </w:rPr>
        <w:t xml:space="preserve"> </w:t>
      </w:r>
      <w:hyperlink r:id="rId11" w:history="1">
        <w:r w:rsidR="00AE773E" w:rsidRPr="00AE773E">
          <w:rPr>
            <w:rStyle w:val="Hyperlink"/>
          </w:rPr>
          <w:t>http://www.nist.gov/srm/publications.cfm</w:t>
        </w:r>
      </w:hyperlink>
      <w:r w:rsidR="00AE773E">
        <w:rPr>
          <w:rStyle w:val="Hyperlink"/>
        </w:rPr>
        <w:t xml:space="preserve"> (accessed </w:t>
      </w:r>
      <w:r w:rsidR="0089374A">
        <w:rPr>
          <w:rStyle w:val="Hyperlink"/>
        </w:rPr>
        <w:t>Feb </w:t>
      </w:r>
      <w:r w:rsidR="00AE773E" w:rsidRPr="00AB66C8">
        <w:rPr>
          <w:rStyle w:val="Hyperlink"/>
        </w:rPr>
        <w:t>2011)</w:t>
      </w:r>
      <w:r w:rsidR="00AE773E" w:rsidRPr="00AB66C8">
        <w:rPr>
          <w:kern w:val="2"/>
          <w:sz w:val="20"/>
        </w:rPr>
        <w:t>.</w:t>
      </w:r>
    </w:p>
    <w:p w:rsidR="00CB3454" w:rsidRDefault="00CB3454" w:rsidP="002D3D5C">
      <w:pPr>
        <w:pStyle w:val="CommentText"/>
        <w:tabs>
          <w:tab w:val="left" w:pos="540"/>
        </w:tabs>
        <w:ind w:left="540" w:hanging="540"/>
        <w:jc w:val="both"/>
      </w:pPr>
      <w:r w:rsidRPr="00AB66C8">
        <w:t>[3]</w:t>
      </w:r>
      <w:r w:rsidRPr="00AB66C8">
        <w:tab/>
        <w:t>Agblevor</w:t>
      </w:r>
      <w:r w:rsidR="00AB66C8" w:rsidRPr="00AB66C8">
        <w:t>,</w:t>
      </w:r>
      <w:r w:rsidR="00AE773E" w:rsidRPr="00AB66C8">
        <w:t> </w:t>
      </w:r>
      <w:r w:rsidRPr="00AB66C8">
        <w:t>F</w:t>
      </w:r>
      <w:r w:rsidR="00EE505A" w:rsidRPr="00AB66C8">
        <w:t>.;</w:t>
      </w:r>
      <w:r w:rsidRPr="00AB66C8">
        <w:t xml:space="preserve"> Chum</w:t>
      </w:r>
      <w:r w:rsidR="00AB66C8" w:rsidRPr="00AB66C8">
        <w:t>,</w:t>
      </w:r>
      <w:r w:rsidR="00AE773E" w:rsidRPr="00AB66C8">
        <w:t> </w:t>
      </w:r>
      <w:r w:rsidRPr="00AB66C8">
        <w:t>H</w:t>
      </w:r>
      <w:r w:rsidR="00EE505A" w:rsidRPr="00AB66C8">
        <w:t>.</w:t>
      </w:r>
      <w:r w:rsidRPr="00AB66C8">
        <w:t>L</w:t>
      </w:r>
      <w:r w:rsidR="00EE505A" w:rsidRPr="00AB66C8">
        <w:t>.;</w:t>
      </w:r>
      <w:r w:rsidRPr="00AB66C8">
        <w:t xml:space="preserve"> Johnson</w:t>
      </w:r>
      <w:r w:rsidR="00AB66C8" w:rsidRPr="00AB66C8">
        <w:t>,</w:t>
      </w:r>
      <w:r w:rsidR="00AE773E" w:rsidRPr="00AB66C8">
        <w:t> </w:t>
      </w:r>
      <w:r w:rsidRPr="00AB66C8">
        <w:t>D</w:t>
      </w:r>
      <w:r w:rsidR="00EE505A" w:rsidRPr="00AB66C8">
        <w:t>.</w:t>
      </w:r>
      <w:r w:rsidRPr="00AB66C8">
        <w:t>K.</w:t>
      </w:r>
      <w:r w:rsidR="00EE505A" w:rsidRPr="00AB66C8">
        <w:t>;</w:t>
      </w:r>
      <w:r w:rsidRPr="00AB66C8">
        <w:t xml:space="preserve"> Compositional Analysis of NIST Biomass Standards fro</w:t>
      </w:r>
      <w:r w:rsidR="00AB66C8" w:rsidRPr="00AB66C8">
        <w:t>m the IEA Feedstock Round Robin;</w:t>
      </w:r>
      <w:r w:rsidRPr="00AB66C8">
        <w:t xml:space="preserve"> </w:t>
      </w:r>
      <w:r w:rsidR="00B25D42" w:rsidRPr="00AB66C8">
        <w:t xml:space="preserve">In: </w:t>
      </w:r>
      <w:r w:rsidRPr="00AB66C8">
        <w:rPr>
          <w:i/>
        </w:rPr>
        <w:t>Energy from Biomass and Wastes XVI</w:t>
      </w:r>
      <w:r w:rsidR="00AB66C8" w:rsidRPr="00AB66C8">
        <w:t xml:space="preserve">, </w:t>
      </w:r>
      <w:proofErr w:type="spellStart"/>
      <w:r w:rsidR="00AB66C8" w:rsidRPr="00AB66C8">
        <w:t>Klass</w:t>
      </w:r>
      <w:proofErr w:type="spellEnd"/>
      <w:r w:rsidR="00AB66C8" w:rsidRPr="00AB66C8">
        <w:t>, D</w:t>
      </w:r>
      <w:r w:rsidR="00781034">
        <w:t>.</w:t>
      </w:r>
      <w:r w:rsidR="00AB66C8" w:rsidRPr="00AB66C8">
        <w:t>L</w:t>
      </w:r>
      <w:r w:rsidR="00781034">
        <w:t>.</w:t>
      </w:r>
      <w:r w:rsidR="00AB66C8" w:rsidRPr="00AB66C8">
        <w:t>, Ed.</w:t>
      </w:r>
      <w:r w:rsidR="007B005E">
        <w:t>;</w:t>
      </w:r>
      <w:r w:rsidRPr="00AB66C8">
        <w:t xml:space="preserve"> </w:t>
      </w:r>
      <w:r w:rsidR="00AB66C8" w:rsidRPr="00AB66C8">
        <w:t xml:space="preserve">Institute of Gas Technology: </w:t>
      </w:r>
      <w:r w:rsidRPr="00AB66C8">
        <w:t>Orlando,</w:t>
      </w:r>
      <w:r w:rsidR="00B25D42" w:rsidRPr="00AB66C8">
        <w:t> </w:t>
      </w:r>
      <w:r w:rsidRPr="00AB66C8">
        <w:t>FL; p</w:t>
      </w:r>
      <w:r w:rsidR="00AB66C8" w:rsidRPr="00AB66C8">
        <w:t>p</w:t>
      </w:r>
      <w:r w:rsidRPr="00AB66C8">
        <w:t>.</w:t>
      </w:r>
      <w:r w:rsidR="00AE773E" w:rsidRPr="00AB66C8">
        <w:t> </w:t>
      </w:r>
      <w:r w:rsidRPr="00AB66C8">
        <w:t>395</w:t>
      </w:r>
      <w:r w:rsidR="00AB66C8" w:rsidRPr="00AB66C8">
        <w:t>–421 (</w:t>
      </w:r>
      <w:r w:rsidR="00AE773E" w:rsidRPr="00AB66C8">
        <w:t>1992</w:t>
      </w:r>
      <w:r w:rsidR="00AB66C8" w:rsidRPr="00AB66C8">
        <w:t>)</w:t>
      </w:r>
      <w:r w:rsidRPr="00AB66C8">
        <w:t>.</w:t>
      </w:r>
    </w:p>
    <w:p w:rsidR="00CB3454" w:rsidRDefault="00CB3454" w:rsidP="002D3D5C">
      <w:pPr>
        <w:pStyle w:val="CommentText"/>
        <w:tabs>
          <w:tab w:val="left" w:pos="540"/>
        </w:tabs>
        <w:ind w:left="540" w:hanging="540"/>
        <w:jc w:val="both"/>
      </w:pPr>
      <w:r>
        <w:t>[4]</w:t>
      </w:r>
      <w:r>
        <w:tab/>
      </w:r>
      <w:r w:rsidRPr="00CB3454">
        <w:t>Milne</w:t>
      </w:r>
      <w:r w:rsidR="00AB66C8">
        <w:t>,</w:t>
      </w:r>
      <w:r w:rsidR="00B25D42">
        <w:t> </w:t>
      </w:r>
      <w:r w:rsidRPr="00CB3454">
        <w:t>T</w:t>
      </w:r>
      <w:r w:rsidR="00EE505A">
        <w:t>.</w:t>
      </w:r>
      <w:r w:rsidRPr="00CB3454">
        <w:t>A</w:t>
      </w:r>
      <w:r w:rsidR="00EE505A">
        <w:t>.;</w:t>
      </w:r>
      <w:r w:rsidRPr="00CB3454">
        <w:t xml:space="preserve"> Chum</w:t>
      </w:r>
      <w:r w:rsidR="00AB66C8">
        <w:t>,</w:t>
      </w:r>
      <w:r w:rsidR="00B25D42">
        <w:t> </w:t>
      </w:r>
      <w:r w:rsidRPr="00CB3454">
        <w:t>H</w:t>
      </w:r>
      <w:r w:rsidR="00EE505A">
        <w:t>.</w:t>
      </w:r>
      <w:r w:rsidRPr="00CB3454">
        <w:t>L</w:t>
      </w:r>
      <w:r w:rsidR="00EE505A">
        <w:t>.;</w:t>
      </w:r>
      <w:r w:rsidRPr="00CB3454">
        <w:t xml:space="preserve"> Agblevor</w:t>
      </w:r>
      <w:r w:rsidR="00AB66C8">
        <w:t>,</w:t>
      </w:r>
      <w:r w:rsidR="00B25D42">
        <w:t> </w:t>
      </w:r>
      <w:r w:rsidRPr="00CB3454">
        <w:t>F</w:t>
      </w:r>
      <w:r w:rsidR="00EE505A">
        <w:t>.;</w:t>
      </w:r>
      <w:r w:rsidRPr="00CB3454">
        <w:t xml:space="preserve"> Johnson</w:t>
      </w:r>
      <w:r w:rsidR="00AB66C8">
        <w:t>,</w:t>
      </w:r>
      <w:r w:rsidR="00B25D42">
        <w:t> </w:t>
      </w:r>
      <w:r w:rsidRPr="00CB3454">
        <w:t>D</w:t>
      </w:r>
      <w:r w:rsidR="00EE505A">
        <w:t>.</w:t>
      </w:r>
      <w:r w:rsidRPr="00CB3454">
        <w:t>K.</w:t>
      </w:r>
      <w:r w:rsidR="00EE505A">
        <w:t>;</w:t>
      </w:r>
      <w:r w:rsidRPr="00CB3454">
        <w:t xml:space="preserve"> </w:t>
      </w:r>
      <w:r w:rsidRPr="00AB66C8">
        <w:rPr>
          <w:i/>
        </w:rPr>
        <w:t xml:space="preserve">Standardized </w:t>
      </w:r>
      <w:r w:rsidR="00B25D42" w:rsidRPr="00AB66C8">
        <w:rPr>
          <w:i/>
        </w:rPr>
        <w:t>A</w:t>
      </w:r>
      <w:r w:rsidRPr="00AB66C8">
        <w:rPr>
          <w:i/>
        </w:rPr>
        <w:t xml:space="preserve">nalytical </w:t>
      </w:r>
      <w:r w:rsidR="00B25D42" w:rsidRPr="00AB66C8">
        <w:rPr>
          <w:i/>
        </w:rPr>
        <w:t>M</w:t>
      </w:r>
      <w:r w:rsidRPr="00AB66C8">
        <w:rPr>
          <w:i/>
        </w:rPr>
        <w:t>ethods</w:t>
      </w:r>
      <w:r w:rsidR="002F37AB">
        <w:t>;</w:t>
      </w:r>
      <w:r w:rsidRPr="00CB3454">
        <w:t xml:space="preserve"> </w:t>
      </w:r>
      <w:r w:rsidRPr="00AB66C8">
        <w:t xml:space="preserve">Biomass </w:t>
      </w:r>
      <w:proofErr w:type="spellStart"/>
      <w:r w:rsidRPr="00AB66C8">
        <w:t>Bioenergy</w:t>
      </w:r>
      <w:proofErr w:type="spellEnd"/>
      <w:r w:rsidR="00785385">
        <w:t>,</w:t>
      </w:r>
      <w:r w:rsidR="00BF343B" w:rsidRPr="00CB3454">
        <w:t xml:space="preserve"> </w:t>
      </w:r>
      <w:r w:rsidR="00B25D42">
        <w:t>Vol. </w:t>
      </w:r>
      <w:r w:rsidR="00BF343B" w:rsidRPr="00CB3454">
        <w:t>2</w:t>
      </w:r>
      <w:r w:rsidR="00AB66C8">
        <w:t xml:space="preserve">, </w:t>
      </w:r>
      <w:r w:rsidR="00B25D42">
        <w:t>pp. </w:t>
      </w:r>
      <w:r w:rsidR="00BF343B" w:rsidRPr="00CB3454">
        <w:t>341</w:t>
      </w:r>
      <w:r w:rsidR="00B25D42">
        <w:t>–366 (1992)</w:t>
      </w:r>
      <w:r w:rsidRPr="00CB3454">
        <w:t>.</w:t>
      </w:r>
    </w:p>
    <w:p w:rsidR="00CB3454" w:rsidRPr="00CB3454" w:rsidRDefault="00CB3454" w:rsidP="002D3D5C">
      <w:pPr>
        <w:pStyle w:val="CommentText"/>
        <w:tabs>
          <w:tab w:val="left" w:pos="540"/>
        </w:tabs>
        <w:ind w:left="540" w:hanging="540"/>
        <w:jc w:val="both"/>
      </w:pPr>
      <w:r>
        <w:t>[5]</w:t>
      </w:r>
      <w:r>
        <w:tab/>
      </w:r>
      <w:r w:rsidRPr="00CB3454">
        <w:t>Chum</w:t>
      </w:r>
      <w:r w:rsidR="00E27F8B">
        <w:t>,</w:t>
      </w:r>
      <w:r w:rsidR="00B25D42">
        <w:t> </w:t>
      </w:r>
      <w:r w:rsidRPr="00CB3454">
        <w:t>H</w:t>
      </w:r>
      <w:r w:rsidR="00EE505A">
        <w:t>.L.;</w:t>
      </w:r>
      <w:r w:rsidRPr="00CB3454">
        <w:t xml:space="preserve"> Johnson</w:t>
      </w:r>
      <w:r w:rsidR="00E27F8B">
        <w:t>,</w:t>
      </w:r>
      <w:r w:rsidR="00B25D42">
        <w:t> </w:t>
      </w:r>
      <w:r w:rsidRPr="00CB3454">
        <w:t>D</w:t>
      </w:r>
      <w:r w:rsidR="00EE505A">
        <w:t>.</w:t>
      </w:r>
      <w:r w:rsidRPr="00CB3454">
        <w:t>K</w:t>
      </w:r>
      <w:r w:rsidR="00EE505A">
        <w:t>.;</w:t>
      </w:r>
      <w:r w:rsidRPr="00CB3454">
        <w:t xml:space="preserve"> Agblevor</w:t>
      </w:r>
      <w:r w:rsidR="00E27F8B">
        <w:t>,</w:t>
      </w:r>
      <w:r w:rsidR="00B25D42">
        <w:t> </w:t>
      </w:r>
      <w:r w:rsidRPr="00CB3454">
        <w:t>F</w:t>
      </w:r>
      <w:r w:rsidR="00EE505A">
        <w:t>.</w:t>
      </w:r>
      <w:r w:rsidRPr="00CB3454">
        <w:t>A</w:t>
      </w:r>
      <w:r w:rsidR="00EE505A">
        <w:t>.;</w:t>
      </w:r>
      <w:r w:rsidRPr="00CB3454">
        <w:t xml:space="preserve"> Evans</w:t>
      </w:r>
      <w:r w:rsidR="00E27F8B">
        <w:t>,</w:t>
      </w:r>
      <w:r w:rsidR="00B25D42">
        <w:t> </w:t>
      </w:r>
      <w:r w:rsidRPr="00CB3454">
        <w:t>R</w:t>
      </w:r>
      <w:r w:rsidR="00EE505A">
        <w:t>.</w:t>
      </w:r>
      <w:r w:rsidRPr="00CB3454">
        <w:t>J</w:t>
      </w:r>
      <w:r w:rsidR="00EE505A">
        <w:t>.;</w:t>
      </w:r>
      <w:r w:rsidRPr="00CB3454">
        <w:t xml:space="preserve"> </w:t>
      </w:r>
      <w:proofErr w:type="spellStart"/>
      <w:r w:rsidRPr="00CB3454">
        <w:t>Hames</w:t>
      </w:r>
      <w:proofErr w:type="spellEnd"/>
      <w:r w:rsidR="00E27F8B">
        <w:t>,</w:t>
      </w:r>
      <w:r w:rsidR="00B25D42">
        <w:t> </w:t>
      </w:r>
      <w:r w:rsidRPr="00CB3454">
        <w:t>B</w:t>
      </w:r>
      <w:r w:rsidR="00EE505A">
        <w:t>.</w:t>
      </w:r>
      <w:r w:rsidRPr="00CB3454">
        <w:t>R</w:t>
      </w:r>
      <w:r w:rsidR="00EE505A">
        <w:t>.;</w:t>
      </w:r>
      <w:r w:rsidRPr="00CB3454">
        <w:t xml:space="preserve"> Milne</w:t>
      </w:r>
      <w:r w:rsidR="00E27F8B">
        <w:t>,</w:t>
      </w:r>
      <w:r w:rsidR="00B25D42">
        <w:t> </w:t>
      </w:r>
      <w:r w:rsidRPr="00CB3454">
        <w:t>T</w:t>
      </w:r>
      <w:r w:rsidR="00EE505A">
        <w:t>.</w:t>
      </w:r>
      <w:r w:rsidRPr="00CB3454">
        <w:t>A</w:t>
      </w:r>
      <w:r w:rsidR="00EE505A">
        <w:t>.;</w:t>
      </w:r>
      <w:r w:rsidRPr="00CB3454">
        <w:t xml:space="preserve"> </w:t>
      </w:r>
      <w:proofErr w:type="spellStart"/>
      <w:r w:rsidRPr="00CB3454">
        <w:t>Overend</w:t>
      </w:r>
      <w:proofErr w:type="spellEnd"/>
      <w:r w:rsidR="00E27F8B">
        <w:t>, </w:t>
      </w:r>
      <w:r w:rsidRPr="00CB3454">
        <w:t>R</w:t>
      </w:r>
      <w:r w:rsidR="00EE505A">
        <w:t>.</w:t>
      </w:r>
      <w:r w:rsidRPr="00CB3454">
        <w:t>P.</w:t>
      </w:r>
      <w:r w:rsidR="00EE505A">
        <w:t>;</w:t>
      </w:r>
      <w:r w:rsidRPr="00CB3454">
        <w:t xml:space="preserve"> Status of the IEA Voluntary Standards Activity Round R</w:t>
      </w:r>
      <w:r w:rsidR="00E27F8B">
        <w:t xml:space="preserve">obins on Whole Wood and </w:t>
      </w:r>
      <w:proofErr w:type="spellStart"/>
      <w:r w:rsidR="00E27F8B">
        <w:t>Lignins</w:t>
      </w:r>
      <w:proofErr w:type="spellEnd"/>
      <w:r w:rsidR="00E27F8B">
        <w:t>;</w:t>
      </w:r>
      <w:r w:rsidRPr="00CB3454">
        <w:t xml:space="preserve"> In: </w:t>
      </w:r>
      <w:r w:rsidRPr="00E27F8B">
        <w:rPr>
          <w:i/>
        </w:rPr>
        <w:t xml:space="preserve">International Conference on Advances in </w:t>
      </w:r>
      <w:proofErr w:type="spellStart"/>
      <w:r w:rsidRPr="00E27F8B">
        <w:rPr>
          <w:i/>
        </w:rPr>
        <w:t>Thermochemical</w:t>
      </w:r>
      <w:proofErr w:type="spellEnd"/>
      <w:r w:rsidRPr="00E27F8B">
        <w:rPr>
          <w:i/>
        </w:rPr>
        <w:t xml:space="preserve"> Biomass Conversion</w:t>
      </w:r>
      <w:r w:rsidR="00714E40">
        <w:t>,</w:t>
      </w:r>
      <w:r w:rsidR="00714E40" w:rsidRPr="00CB3454">
        <w:t xml:space="preserve"> </w:t>
      </w:r>
      <w:proofErr w:type="spellStart"/>
      <w:r w:rsidR="00E27F8B" w:rsidRPr="00CB3454">
        <w:t>Bridgwater</w:t>
      </w:r>
      <w:proofErr w:type="spellEnd"/>
      <w:r w:rsidR="00E27F8B">
        <w:t>, </w:t>
      </w:r>
      <w:r w:rsidR="00E27F8B" w:rsidRPr="00CB3454">
        <w:t>A</w:t>
      </w:r>
      <w:r w:rsidR="00781034">
        <w:t>.</w:t>
      </w:r>
      <w:r w:rsidR="00E27F8B" w:rsidRPr="00CB3454">
        <w:t>V</w:t>
      </w:r>
      <w:r w:rsidR="00781034">
        <w:t>.</w:t>
      </w:r>
      <w:r w:rsidR="00E27F8B" w:rsidRPr="00CB3454">
        <w:t xml:space="preserve">, </w:t>
      </w:r>
      <w:r w:rsidR="00E27F8B">
        <w:t>Ed</w:t>
      </w:r>
      <w:r w:rsidR="00E27F8B" w:rsidRPr="00CB3454">
        <w:t>.</w:t>
      </w:r>
      <w:r w:rsidR="007B005E">
        <w:t>;</w:t>
      </w:r>
      <w:r w:rsidR="00E27F8B">
        <w:t xml:space="preserve"> </w:t>
      </w:r>
      <w:r w:rsidR="00E27F8B" w:rsidRPr="00CB3454">
        <w:t xml:space="preserve"> Blackie Academic and Professional</w:t>
      </w:r>
      <w:r w:rsidR="00E27F8B">
        <w:t>:</w:t>
      </w:r>
      <w:r w:rsidR="00E27F8B" w:rsidRPr="00CB3454">
        <w:t xml:space="preserve"> </w:t>
      </w:r>
      <w:r w:rsidRPr="00CB3454">
        <w:t>Interlaken,</w:t>
      </w:r>
      <w:r w:rsidR="00E27F8B">
        <w:t xml:space="preserve"> Switzerland, </w:t>
      </w:r>
      <w:r w:rsidRPr="00CB3454">
        <w:t>p.</w:t>
      </w:r>
      <w:r w:rsidR="00E27F8B">
        <w:t> </w:t>
      </w:r>
      <w:r w:rsidRPr="00CB3454">
        <w:t>1701</w:t>
      </w:r>
      <w:r w:rsidR="00785385">
        <w:t>–</w:t>
      </w:r>
      <w:r w:rsidR="00593E73">
        <w:t>1716</w:t>
      </w:r>
      <w:r w:rsidR="00E27F8B">
        <w:t xml:space="preserve"> (1992)</w:t>
      </w:r>
      <w:r w:rsidRPr="00CB3454">
        <w:t>.</w:t>
      </w:r>
    </w:p>
    <w:p w:rsidR="00745E7B" w:rsidRDefault="00745E7B" w:rsidP="002D3D5C">
      <w:pPr>
        <w:tabs>
          <w:tab w:val="left" w:pos="540"/>
        </w:tabs>
        <w:ind w:left="540" w:hanging="540"/>
        <w:jc w:val="both"/>
      </w:pPr>
      <w:r>
        <w:t>[</w:t>
      </w:r>
      <w:r w:rsidR="00CB3454">
        <w:t>6</w:t>
      </w:r>
      <w:r>
        <w:rPr>
          <w:spacing w:val="6"/>
        </w:rPr>
        <w:t>]</w:t>
      </w:r>
      <w:r>
        <w:rPr>
          <w:spacing w:val="6"/>
        </w:rPr>
        <w:tab/>
      </w:r>
      <w:proofErr w:type="spellStart"/>
      <w:r>
        <w:rPr>
          <w:spacing w:val="8"/>
        </w:rPr>
        <w:t>Theander</w:t>
      </w:r>
      <w:proofErr w:type="spellEnd"/>
      <w:r>
        <w:rPr>
          <w:spacing w:val="8"/>
        </w:rPr>
        <w:t>,</w:t>
      </w:r>
      <w:r w:rsidR="00AB66C8">
        <w:rPr>
          <w:spacing w:val="8"/>
        </w:rPr>
        <w:t> </w:t>
      </w:r>
      <w:r>
        <w:rPr>
          <w:spacing w:val="8"/>
        </w:rPr>
        <w:t>O.</w:t>
      </w:r>
      <w:r w:rsidR="00EE505A">
        <w:rPr>
          <w:spacing w:val="8"/>
        </w:rPr>
        <w:t>;</w:t>
      </w:r>
      <w:r>
        <w:rPr>
          <w:spacing w:val="8"/>
        </w:rPr>
        <w:t xml:space="preserve"> </w:t>
      </w:r>
      <w:r w:rsidRPr="00E27F8B">
        <w:rPr>
          <w:i/>
          <w:spacing w:val="8"/>
        </w:rPr>
        <w:t xml:space="preserve">Chemical Analysis of </w:t>
      </w:r>
      <w:proofErr w:type="spellStart"/>
      <w:r w:rsidRPr="00E27F8B">
        <w:rPr>
          <w:i/>
          <w:spacing w:val="8"/>
        </w:rPr>
        <w:t>Lignocellulosic</w:t>
      </w:r>
      <w:proofErr w:type="spellEnd"/>
      <w:r w:rsidRPr="00E27F8B">
        <w:rPr>
          <w:i/>
          <w:spacing w:val="8"/>
        </w:rPr>
        <w:t xml:space="preserve"> Materials</w:t>
      </w:r>
      <w:r w:rsidR="00E27F8B">
        <w:rPr>
          <w:spacing w:val="8"/>
        </w:rPr>
        <w:t>;</w:t>
      </w:r>
      <w:r>
        <w:rPr>
          <w:spacing w:val="8"/>
        </w:rPr>
        <w:t xml:space="preserve"> Anim</w:t>
      </w:r>
      <w:r w:rsidR="00E27F8B">
        <w:rPr>
          <w:spacing w:val="8"/>
        </w:rPr>
        <w:t>.</w:t>
      </w:r>
      <w:r>
        <w:rPr>
          <w:spacing w:val="8"/>
        </w:rPr>
        <w:t xml:space="preserve"> Feed Sci. Tech</w:t>
      </w:r>
      <w:r w:rsidR="00E27F8B">
        <w:rPr>
          <w:spacing w:val="8"/>
        </w:rPr>
        <w:t>nol</w:t>
      </w:r>
      <w:r>
        <w:rPr>
          <w:spacing w:val="8"/>
        </w:rPr>
        <w:t xml:space="preserve">., </w:t>
      </w:r>
      <w:r w:rsidR="00E27F8B">
        <w:rPr>
          <w:spacing w:val="8"/>
        </w:rPr>
        <w:t>Vol. </w:t>
      </w:r>
      <w:r w:rsidRPr="00E27F8B">
        <w:rPr>
          <w:spacing w:val="8"/>
        </w:rPr>
        <w:t>32</w:t>
      </w:r>
      <w:r>
        <w:rPr>
          <w:spacing w:val="8"/>
        </w:rPr>
        <w:t>, pp.</w:t>
      </w:r>
      <w:r w:rsidR="00E27F8B">
        <w:t> </w:t>
      </w:r>
      <w:r>
        <w:t>35</w:t>
      </w:r>
      <w:r w:rsidR="00E27F8B">
        <w:t>–44</w:t>
      </w:r>
      <w:r>
        <w:t xml:space="preserve"> (1991).</w:t>
      </w:r>
    </w:p>
    <w:p w:rsidR="00745E7B" w:rsidRDefault="00745E7B" w:rsidP="002D3D5C">
      <w:pPr>
        <w:tabs>
          <w:tab w:val="left" w:pos="540"/>
        </w:tabs>
        <w:ind w:left="540" w:hanging="540"/>
        <w:jc w:val="both"/>
      </w:pPr>
      <w:r>
        <w:t>[</w:t>
      </w:r>
      <w:r w:rsidR="00CB3454">
        <w:t>7</w:t>
      </w:r>
      <w:r w:rsidR="00EE505A">
        <w:t>]</w:t>
      </w:r>
      <w:r w:rsidR="00EE505A">
        <w:tab/>
        <w:t>Evans,</w:t>
      </w:r>
      <w:r w:rsidR="00E27F8B">
        <w:t> </w:t>
      </w:r>
      <w:r w:rsidR="00EE505A">
        <w:t xml:space="preserve">R.J.; </w:t>
      </w:r>
      <w:r>
        <w:t>Milne,</w:t>
      </w:r>
      <w:r w:rsidR="00EF6AEF">
        <w:t> </w:t>
      </w:r>
      <w:r>
        <w:t>T.A.</w:t>
      </w:r>
      <w:r w:rsidR="00EE505A">
        <w:t>;</w:t>
      </w:r>
      <w:r w:rsidR="007259FF">
        <w:t xml:space="preserve"> </w:t>
      </w:r>
      <w:r w:rsidRPr="007259FF">
        <w:rPr>
          <w:i/>
        </w:rPr>
        <w:t xml:space="preserve">Molecular Characterization of the </w:t>
      </w:r>
      <w:proofErr w:type="spellStart"/>
      <w:r w:rsidRPr="007259FF">
        <w:rPr>
          <w:i/>
        </w:rPr>
        <w:t>Pyrolysis</w:t>
      </w:r>
      <w:proofErr w:type="spellEnd"/>
      <w:r w:rsidRPr="007259FF">
        <w:rPr>
          <w:i/>
        </w:rPr>
        <w:t xml:space="preserve"> of Biomass</w:t>
      </w:r>
      <w:r w:rsidR="007259FF" w:rsidRPr="007259FF">
        <w:rPr>
          <w:i/>
        </w:rPr>
        <w:t>.</w:t>
      </w:r>
      <w:r w:rsidRPr="007259FF">
        <w:rPr>
          <w:i/>
        </w:rPr>
        <w:t xml:space="preserve"> 1) Fundamentals</w:t>
      </w:r>
      <w:r w:rsidR="007259FF">
        <w:t xml:space="preserve">; </w:t>
      </w:r>
      <w:r w:rsidRPr="007259FF">
        <w:t>Energy and Fuels</w:t>
      </w:r>
      <w:r>
        <w:t xml:space="preserve">, </w:t>
      </w:r>
      <w:r w:rsidR="007259FF">
        <w:t>Vol. </w:t>
      </w:r>
      <w:r w:rsidRPr="007259FF">
        <w:t>1</w:t>
      </w:r>
      <w:proofErr w:type="gramStart"/>
      <w:r w:rsidR="007259FF">
        <w:rPr>
          <w:b/>
        </w:rPr>
        <w:t xml:space="preserve">  </w:t>
      </w:r>
      <w:r w:rsidR="007259FF">
        <w:t>No</w:t>
      </w:r>
      <w:proofErr w:type="gramEnd"/>
      <w:r w:rsidR="007259FF">
        <w:t>. </w:t>
      </w:r>
      <w:r>
        <w:t>2, pp.</w:t>
      </w:r>
      <w:r w:rsidR="007259FF">
        <w:t> </w:t>
      </w:r>
      <w:r>
        <w:t>12</w:t>
      </w:r>
      <w:r w:rsidR="00E27F8B">
        <w:t>3</w:t>
      </w:r>
      <w:r w:rsidR="007259FF">
        <w:t>–</w:t>
      </w:r>
      <w:r>
        <w:t>137 (1987).</w:t>
      </w:r>
    </w:p>
    <w:p w:rsidR="00AB66C8" w:rsidRDefault="00745E7B" w:rsidP="002D3D5C">
      <w:pPr>
        <w:tabs>
          <w:tab w:val="left" w:pos="-936"/>
          <w:tab w:val="left" w:pos="-720"/>
          <w:tab w:val="left" w:pos="540"/>
        </w:tabs>
        <w:ind w:left="540" w:hanging="540"/>
        <w:jc w:val="both"/>
      </w:pPr>
      <w:r>
        <w:t>[</w:t>
      </w:r>
      <w:r w:rsidR="00CB3454">
        <w:t>8</w:t>
      </w:r>
      <w:r>
        <w:t>]</w:t>
      </w:r>
      <w:r>
        <w:tab/>
        <w:t>Agblevor</w:t>
      </w:r>
      <w:r w:rsidRPr="00CB3454">
        <w:t>,</w:t>
      </w:r>
      <w:r w:rsidR="007259FF">
        <w:t> </w:t>
      </w:r>
      <w:r w:rsidRPr="00CB3454">
        <w:t>F.A.</w:t>
      </w:r>
      <w:r w:rsidR="00B40DF0" w:rsidRPr="00CB3454">
        <w:t>;</w:t>
      </w:r>
      <w:r w:rsidRPr="00CB3454">
        <w:t xml:space="preserve"> Evans,</w:t>
      </w:r>
      <w:r w:rsidR="007259FF">
        <w:t> </w:t>
      </w:r>
      <w:r w:rsidRPr="00CB3454">
        <w:t>R.J.</w:t>
      </w:r>
      <w:r w:rsidR="00B40DF0" w:rsidRPr="00CB3454">
        <w:t>;</w:t>
      </w:r>
      <w:r w:rsidRPr="00CB3454">
        <w:t xml:space="preserve"> Johnson,</w:t>
      </w:r>
      <w:r w:rsidR="007259FF">
        <w:t> </w:t>
      </w:r>
      <w:r w:rsidRPr="00CB3454">
        <w:t>K.D.</w:t>
      </w:r>
      <w:r w:rsidR="00B40DF0" w:rsidRPr="00CB3454">
        <w:t>;</w:t>
      </w:r>
      <w:r w:rsidRPr="00CB3454">
        <w:t xml:space="preserve"> </w:t>
      </w:r>
      <w:r w:rsidRPr="007259FF">
        <w:rPr>
          <w:i/>
        </w:rPr>
        <w:t xml:space="preserve">Molecular Beam Mass Spectrometric Analysis of </w:t>
      </w:r>
      <w:proofErr w:type="spellStart"/>
      <w:r w:rsidRPr="007259FF">
        <w:rPr>
          <w:i/>
        </w:rPr>
        <w:t>Lignocellulosic</w:t>
      </w:r>
      <w:proofErr w:type="spellEnd"/>
      <w:r w:rsidRPr="007259FF">
        <w:rPr>
          <w:i/>
        </w:rPr>
        <w:t xml:space="preserve"> Materials I:  Herbaceous Biomass</w:t>
      </w:r>
      <w:r w:rsidR="007259FF">
        <w:t xml:space="preserve">; </w:t>
      </w:r>
      <w:r w:rsidRPr="00CB3454">
        <w:t xml:space="preserve">J. Anal. Appl. </w:t>
      </w:r>
      <w:proofErr w:type="spellStart"/>
      <w:r w:rsidRPr="00CB3454">
        <w:t>Pyrol</w:t>
      </w:r>
      <w:proofErr w:type="spellEnd"/>
      <w:r w:rsidRPr="00CB3454">
        <w:t>.</w:t>
      </w:r>
      <w:r w:rsidR="007259FF">
        <w:t>,</w:t>
      </w:r>
      <w:r w:rsidRPr="00CB3454">
        <w:t xml:space="preserve"> </w:t>
      </w:r>
      <w:r w:rsidR="007259FF">
        <w:t>Vol. </w:t>
      </w:r>
      <w:r w:rsidRPr="007259FF">
        <w:t>30</w:t>
      </w:r>
      <w:r w:rsidRPr="00CB3454">
        <w:t>, pp. 125</w:t>
      </w:r>
      <w:r w:rsidR="007259FF">
        <w:t>–</w:t>
      </w:r>
      <w:r w:rsidRPr="00CB3454">
        <w:t>144 (1994).</w:t>
      </w:r>
    </w:p>
    <w:p w:rsidR="00CB3454" w:rsidRDefault="00CB3454" w:rsidP="002D3D5C">
      <w:pPr>
        <w:tabs>
          <w:tab w:val="left" w:pos="540"/>
        </w:tabs>
        <w:autoSpaceDE w:val="0"/>
        <w:autoSpaceDN w:val="0"/>
        <w:adjustRightInd w:val="0"/>
        <w:ind w:left="540" w:hanging="540"/>
        <w:jc w:val="both"/>
      </w:pPr>
      <w:r w:rsidRPr="00CB3454">
        <w:t>[9]</w:t>
      </w:r>
      <w:r w:rsidRPr="00CB3454">
        <w:tab/>
      </w:r>
      <w:proofErr w:type="spellStart"/>
      <w:r w:rsidRPr="00CB3454">
        <w:t>Sluiter</w:t>
      </w:r>
      <w:proofErr w:type="spellEnd"/>
      <w:r w:rsidRPr="00CB3454">
        <w:t>,</w:t>
      </w:r>
      <w:r w:rsidR="007259FF">
        <w:t> </w:t>
      </w:r>
      <w:r w:rsidRPr="00CB3454">
        <w:t>J.B.; Ruiz,</w:t>
      </w:r>
      <w:r w:rsidR="007259FF">
        <w:t> </w:t>
      </w:r>
      <w:r w:rsidRPr="00CB3454">
        <w:t>R.O.;</w:t>
      </w:r>
      <w:r w:rsidR="007259FF">
        <w:t xml:space="preserve"> </w:t>
      </w:r>
      <w:proofErr w:type="spellStart"/>
      <w:r w:rsidRPr="00CB3454">
        <w:t>Scarlata</w:t>
      </w:r>
      <w:proofErr w:type="spellEnd"/>
      <w:r w:rsidRPr="00CB3454">
        <w:t>,</w:t>
      </w:r>
      <w:r w:rsidR="007259FF">
        <w:t> </w:t>
      </w:r>
      <w:r w:rsidRPr="00CB3454">
        <w:t xml:space="preserve">C.J.; </w:t>
      </w:r>
      <w:proofErr w:type="spellStart"/>
      <w:r w:rsidRPr="00CB3454">
        <w:t>Sluiter</w:t>
      </w:r>
      <w:proofErr w:type="spellEnd"/>
      <w:r w:rsidRPr="00CB3454">
        <w:t>,</w:t>
      </w:r>
      <w:r w:rsidR="007259FF">
        <w:t> </w:t>
      </w:r>
      <w:r w:rsidRPr="00CB3454">
        <w:t>A.D.; Templeton,</w:t>
      </w:r>
      <w:r w:rsidR="007259FF">
        <w:t> </w:t>
      </w:r>
      <w:r w:rsidRPr="00CB3454">
        <w:t>D.W.</w:t>
      </w:r>
      <w:r w:rsidR="00EE505A">
        <w:t xml:space="preserve">; </w:t>
      </w:r>
      <w:r w:rsidRPr="007259FF">
        <w:rPr>
          <w:i/>
        </w:rPr>
        <w:t xml:space="preserve">Compositional </w:t>
      </w:r>
      <w:r w:rsidR="007259FF">
        <w:rPr>
          <w:i/>
        </w:rPr>
        <w:t>A</w:t>
      </w:r>
      <w:r w:rsidRPr="007259FF">
        <w:rPr>
          <w:i/>
        </w:rPr>
        <w:t xml:space="preserve">nalysis of </w:t>
      </w:r>
      <w:proofErr w:type="spellStart"/>
      <w:r w:rsidRPr="007259FF">
        <w:rPr>
          <w:i/>
        </w:rPr>
        <w:t>lignocellulosic</w:t>
      </w:r>
      <w:proofErr w:type="spellEnd"/>
      <w:r w:rsidRPr="007259FF">
        <w:rPr>
          <w:i/>
        </w:rPr>
        <w:t xml:space="preserve"> </w:t>
      </w:r>
      <w:proofErr w:type="spellStart"/>
      <w:r w:rsidR="007259FF">
        <w:rPr>
          <w:i/>
        </w:rPr>
        <w:t>F</w:t>
      </w:r>
      <w:r w:rsidRPr="007259FF">
        <w:rPr>
          <w:i/>
        </w:rPr>
        <w:t>eedstocks</w:t>
      </w:r>
      <w:proofErr w:type="spellEnd"/>
      <w:r w:rsidRPr="007259FF">
        <w:rPr>
          <w:i/>
        </w:rPr>
        <w:t>. 1. Re</w:t>
      </w:r>
      <w:r w:rsidR="006326F7" w:rsidRPr="007259FF">
        <w:rPr>
          <w:i/>
        </w:rPr>
        <w:t xml:space="preserve">view and </w:t>
      </w:r>
      <w:r w:rsidR="007259FF">
        <w:rPr>
          <w:i/>
        </w:rPr>
        <w:t>D</w:t>
      </w:r>
      <w:r w:rsidR="006326F7" w:rsidRPr="007259FF">
        <w:rPr>
          <w:i/>
        </w:rPr>
        <w:t xml:space="preserve">escription of </w:t>
      </w:r>
      <w:r w:rsidR="007259FF">
        <w:rPr>
          <w:i/>
        </w:rPr>
        <w:t>M</w:t>
      </w:r>
      <w:r w:rsidR="006326F7" w:rsidRPr="007259FF">
        <w:rPr>
          <w:i/>
        </w:rPr>
        <w:t>ethods</w:t>
      </w:r>
      <w:r w:rsidR="007259FF">
        <w:t>;</w:t>
      </w:r>
      <w:r w:rsidRPr="00CB3454">
        <w:t xml:space="preserve"> J. Agric. Food Chem.</w:t>
      </w:r>
      <w:r w:rsidR="007259FF">
        <w:t>,</w:t>
      </w:r>
      <w:r w:rsidRPr="00CB3454">
        <w:t xml:space="preserve"> </w:t>
      </w:r>
      <w:r w:rsidR="007259FF">
        <w:t>Vol.</w:t>
      </w:r>
      <w:r w:rsidR="007259FF" w:rsidRPr="007259FF">
        <w:t> </w:t>
      </w:r>
      <w:r w:rsidR="006326F7" w:rsidRPr="007259FF">
        <w:t>58</w:t>
      </w:r>
      <w:r w:rsidR="007259FF" w:rsidRPr="007259FF">
        <w:t xml:space="preserve"> No. </w:t>
      </w:r>
      <w:r w:rsidR="007259FF">
        <w:t>16</w:t>
      </w:r>
      <w:r w:rsidR="006326F7">
        <w:t>, pp.</w:t>
      </w:r>
      <w:r w:rsidR="007259FF">
        <w:t> </w:t>
      </w:r>
      <w:r w:rsidR="006326F7">
        <w:t>9043</w:t>
      </w:r>
      <w:r w:rsidR="007259FF">
        <w:t>–</w:t>
      </w:r>
      <w:r w:rsidR="006326F7">
        <w:t>9053 (2010)</w:t>
      </w:r>
      <w:r w:rsidRPr="00CB3454">
        <w:t>.</w:t>
      </w:r>
    </w:p>
    <w:p w:rsidR="002C5E37" w:rsidRDefault="002C5E37" w:rsidP="002D3D5C">
      <w:pPr>
        <w:tabs>
          <w:tab w:val="left" w:pos="-936"/>
          <w:tab w:val="left" w:pos="-720"/>
          <w:tab w:val="left" w:pos="540"/>
        </w:tabs>
        <w:ind w:left="540" w:hanging="540"/>
        <w:jc w:val="both"/>
      </w:pPr>
      <w:r w:rsidRPr="002C5E37">
        <w:t>[</w:t>
      </w:r>
      <w:r w:rsidR="00CB3454">
        <w:t>10</w:t>
      </w:r>
      <w:r w:rsidRPr="002C5E37">
        <w:t>]</w:t>
      </w:r>
      <w:r w:rsidRPr="002C5E37">
        <w:tab/>
      </w:r>
      <w:r w:rsidR="005C2B92" w:rsidRPr="00552AB5">
        <w:rPr>
          <w:rFonts w:ascii="TimesNewRomanPSMT" w:eastAsia="Calibri" w:hAnsi="TimesNewRomanPSMT" w:cs="TimesNewRomanPSMT"/>
        </w:rPr>
        <w:t xml:space="preserve">JCGM 100:2008; </w:t>
      </w:r>
      <w:r w:rsidR="005C2B92" w:rsidRPr="00552AB5">
        <w:rPr>
          <w:rFonts w:eastAsia="Calibri"/>
          <w:i/>
          <w:iCs/>
        </w:rPr>
        <w:t xml:space="preserve">Evaluation of Measurement Data — Guide to the Expression of Uncertainty in Measurement </w:t>
      </w:r>
      <w:r w:rsidR="005C2B92">
        <w:rPr>
          <w:rFonts w:ascii="TimesNewRomanPSMT" w:eastAsia="Calibri" w:hAnsi="TimesNewRomanPSMT" w:cs="TimesNewRomanPSMT"/>
        </w:rPr>
        <w:t xml:space="preserve">(ISO </w:t>
      </w:r>
      <w:r w:rsidR="005C2B92" w:rsidRPr="00552AB5">
        <w:rPr>
          <w:rFonts w:ascii="TimesNewRomanPSMT" w:eastAsia="Calibri" w:hAnsi="TimesNewRomanPSMT" w:cs="TimesNewRomanPSMT"/>
        </w:rPr>
        <w:t>GUM 1995 with Minor Corrections); Joint Committee for Guides in Metrology</w:t>
      </w:r>
      <w:r w:rsidR="004302DD">
        <w:rPr>
          <w:rFonts w:ascii="TimesNewRomanPSMT" w:eastAsia="Calibri" w:hAnsi="TimesNewRomanPSMT" w:cs="TimesNewRomanPSMT"/>
        </w:rPr>
        <w:t> (JCGM)</w:t>
      </w:r>
      <w:r w:rsidR="005C2B92" w:rsidRPr="00552AB5">
        <w:rPr>
          <w:rFonts w:ascii="TimesNewRomanPSMT" w:eastAsia="Calibri" w:hAnsi="TimesNewRomanPSMT" w:cs="TimesNewRomanPSMT"/>
        </w:rPr>
        <w:t xml:space="preserve"> (2008); available at</w:t>
      </w:r>
      <w:r w:rsidR="005C2B92">
        <w:rPr>
          <w:rFonts w:ascii="TimesNewRomanPSMT" w:eastAsia="Calibri" w:hAnsi="TimesNewRomanPSMT" w:cs="TimesNewRomanPSMT"/>
        </w:rPr>
        <w:t xml:space="preserve"> </w:t>
      </w:r>
      <w:hyperlink r:id="rId12" w:history="1">
        <w:r w:rsidR="005C2B92" w:rsidRPr="009F75DF">
          <w:rPr>
            <w:rStyle w:val="Hyperlink"/>
            <w:rFonts w:ascii="TimesNewRomanPSMT" w:eastAsia="Calibri" w:hAnsi="TimesNewRomanPSMT" w:cs="TimesNewRomanPSMT"/>
          </w:rPr>
          <w:t>http://www.bipm.org/utils/common/documents/jcgm/JCGM_100_2008_E.pdf</w:t>
        </w:r>
      </w:hyperlink>
      <w:r w:rsidR="005C2B92" w:rsidRPr="00552AB5">
        <w:rPr>
          <w:rFonts w:ascii="TimesNewRomanPSMT" w:eastAsia="Calibri" w:hAnsi="TimesNewRomanPSMT" w:cs="TimesNewRomanPSMT"/>
        </w:rPr>
        <w:t xml:space="preserve"> (acces</w:t>
      </w:r>
      <w:r w:rsidR="005C2B92">
        <w:rPr>
          <w:rFonts w:ascii="TimesNewRomanPSMT" w:eastAsia="Calibri" w:hAnsi="TimesNewRomanPSMT" w:cs="TimesNewRomanPSMT"/>
        </w:rPr>
        <w:t xml:space="preserve">sed </w:t>
      </w:r>
      <w:r w:rsidR="004302DD">
        <w:rPr>
          <w:rFonts w:ascii="TimesNewRomanPSMT" w:eastAsia="Calibri" w:hAnsi="TimesNewRomanPSMT" w:cs="TimesNewRomanPSMT"/>
        </w:rPr>
        <w:t>Feb 2011</w:t>
      </w:r>
      <w:r w:rsidR="005C2B92">
        <w:rPr>
          <w:rFonts w:ascii="TimesNewRomanPSMT" w:eastAsia="Calibri" w:hAnsi="TimesNewRomanPSMT" w:cs="TimesNewRomanPSMT"/>
        </w:rPr>
        <w:t>); see also Taylor, </w:t>
      </w:r>
      <w:r w:rsidR="005C2B92" w:rsidRPr="00552AB5">
        <w:rPr>
          <w:rFonts w:ascii="TimesNewRomanPSMT" w:eastAsia="Calibri" w:hAnsi="TimesNewRomanPSMT" w:cs="TimesNewRomanPSMT"/>
        </w:rPr>
        <w:t xml:space="preserve">B.N.; </w:t>
      </w:r>
      <w:proofErr w:type="spellStart"/>
      <w:r w:rsidR="005C2B92" w:rsidRPr="00552AB5">
        <w:rPr>
          <w:rFonts w:ascii="TimesNewRomanPSMT" w:eastAsia="Calibri" w:hAnsi="TimesNewRomanPSMT" w:cs="TimesNewRomanPSMT"/>
        </w:rPr>
        <w:t>Kuyatt</w:t>
      </w:r>
      <w:proofErr w:type="spellEnd"/>
      <w:r w:rsidR="005C2B92" w:rsidRPr="00552AB5">
        <w:rPr>
          <w:rFonts w:ascii="TimesNewRomanPSMT" w:eastAsia="Calibri" w:hAnsi="TimesNewRomanPSMT" w:cs="TimesNewRomanPSMT"/>
        </w:rPr>
        <w:t>,</w:t>
      </w:r>
      <w:r w:rsidR="005C2B92">
        <w:rPr>
          <w:rFonts w:ascii="TimesNewRomanPSMT" w:eastAsia="Calibri" w:hAnsi="TimesNewRomanPSMT" w:cs="TimesNewRomanPSMT"/>
        </w:rPr>
        <w:t> </w:t>
      </w:r>
      <w:r w:rsidR="005C2B92" w:rsidRPr="00552AB5">
        <w:rPr>
          <w:rFonts w:ascii="TimesNewRomanPSMT" w:eastAsia="Calibri" w:hAnsi="TimesNewRomanPSMT" w:cs="TimesNewRomanPSMT"/>
        </w:rPr>
        <w:t xml:space="preserve">C.E.; </w:t>
      </w:r>
      <w:r w:rsidR="005C2B92" w:rsidRPr="00552AB5">
        <w:rPr>
          <w:rFonts w:eastAsia="Calibri"/>
          <w:i/>
          <w:iCs/>
        </w:rPr>
        <w:t>Guidelines for Evaluating and Expressing the Uncertainty of NIST Measurement Results</w:t>
      </w:r>
      <w:r w:rsidR="005C2B92">
        <w:rPr>
          <w:rFonts w:ascii="TimesNewRomanPSMT" w:eastAsia="Calibri" w:hAnsi="TimesNewRomanPSMT" w:cs="TimesNewRomanPSMT"/>
        </w:rPr>
        <w:t xml:space="preserve">; NIST </w:t>
      </w:r>
      <w:r w:rsidR="005C2B92" w:rsidRPr="00552AB5">
        <w:rPr>
          <w:rFonts w:ascii="TimesNewRomanPSMT" w:eastAsia="Calibri" w:hAnsi="TimesNewRomanPSMT" w:cs="TimesNewRomanPSMT"/>
        </w:rPr>
        <w:t>Technical Note 1297; U.S. Government Printing Office: Washington,</w:t>
      </w:r>
      <w:r w:rsidR="005C2B92">
        <w:rPr>
          <w:rFonts w:ascii="TimesNewRomanPSMT" w:eastAsia="Calibri" w:hAnsi="TimesNewRomanPSMT" w:cs="TimesNewRomanPSMT"/>
        </w:rPr>
        <w:t> </w:t>
      </w:r>
      <w:r w:rsidR="005C2B92" w:rsidRPr="00552AB5">
        <w:rPr>
          <w:rFonts w:ascii="TimesNewRomanPSMT" w:eastAsia="Calibri" w:hAnsi="TimesNewRomanPSMT" w:cs="TimesNewRomanPSMT"/>
        </w:rPr>
        <w:t>DC (1994); available at</w:t>
      </w:r>
      <w:r w:rsidR="005C2B92">
        <w:rPr>
          <w:rFonts w:ascii="TimesNewRomanPSMT" w:eastAsia="Calibri" w:hAnsi="TimesNewRomanPSMT" w:cs="TimesNewRomanPSMT"/>
        </w:rPr>
        <w:t xml:space="preserve"> </w:t>
      </w:r>
      <w:hyperlink r:id="rId13" w:history="1">
        <w:r w:rsidR="005C2B92" w:rsidRPr="009F75DF">
          <w:rPr>
            <w:rStyle w:val="Hyperlink"/>
            <w:rFonts w:ascii="TimesNewRomanPSMT" w:eastAsia="Calibri" w:hAnsi="TimesNewRomanPSMT" w:cs="TimesNewRomanPSMT"/>
          </w:rPr>
          <w:t>http://physics.nist.gov/Pubs/</w:t>
        </w:r>
      </w:hyperlink>
      <w:r w:rsidR="005C2B92" w:rsidRPr="00552AB5">
        <w:rPr>
          <w:rFonts w:ascii="TimesNewRomanPSMT" w:eastAsia="Calibri" w:hAnsi="TimesNewRomanPSMT" w:cs="TimesNewRomanPSMT"/>
        </w:rPr>
        <w:t xml:space="preserve"> (accessed </w:t>
      </w:r>
      <w:r w:rsidR="004302DD">
        <w:rPr>
          <w:rFonts w:ascii="TimesNewRomanPSMT" w:eastAsia="Calibri" w:hAnsi="TimesNewRomanPSMT" w:cs="TimesNewRomanPSMT"/>
        </w:rPr>
        <w:t>Feb 2011</w:t>
      </w:r>
      <w:r w:rsidR="005C2B92" w:rsidRPr="00552AB5">
        <w:rPr>
          <w:rFonts w:ascii="TimesNewRomanPSMT" w:eastAsia="Calibri" w:hAnsi="TimesNewRomanPSMT" w:cs="TimesNewRomanPSMT"/>
        </w:rPr>
        <w:t>).</w:t>
      </w:r>
    </w:p>
    <w:p w:rsidR="00EE505A" w:rsidRDefault="00EE505A" w:rsidP="002D3D5C">
      <w:pPr>
        <w:keepLines/>
        <w:tabs>
          <w:tab w:val="left" w:pos="540"/>
        </w:tabs>
        <w:ind w:left="540" w:hanging="540"/>
        <w:jc w:val="both"/>
      </w:pPr>
      <w:r w:rsidRPr="008A33F4">
        <w:t>[</w:t>
      </w:r>
      <w:r>
        <w:t>11]</w:t>
      </w:r>
      <w:r>
        <w:tab/>
      </w:r>
      <w:r w:rsidR="00FA6701" w:rsidRPr="00EC4D6F">
        <w:t>JCGM 101:2008</w:t>
      </w:r>
      <w:r w:rsidR="00FA6701">
        <w:t xml:space="preserve">; </w:t>
      </w:r>
      <w:r w:rsidR="00FA6701" w:rsidRPr="003A4D50">
        <w:rPr>
          <w:i/>
        </w:rPr>
        <w:t>Evaluation of measurement data – Supplement 1 to the Guide to the Expression of Uncertainty in Measurement – Propagation of Distributions Using a Monte Carlo Method</w:t>
      </w:r>
      <w:r w:rsidR="00FA6701" w:rsidRPr="00EC4D6F">
        <w:t>; Joint Committee for</w:t>
      </w:r>
      <w:r w:rsidR="00FA6701">
        <w:t> </w:t>
      </w:r>
      <w:r w:rsidR="00FA6701" w:rsidRPr="00EC4D6F">
        <w:t>Guides</w:t>
      </w:r>
      <w:r w:rsidR="00FA6701">
        <w:t> </w:t>
      </w:r>
      <w:r w:rsidR="00FA6701" w:rsidRPr="00EC4D6F">
        <w:t>in</w:t>
      </w:r>
      <w:r w:rsidR="00FA6701">
        <w:t> </w:t>
      </w:r>
      <w:r w:rsidR="00FA6701" w:rsidRPr="00EC4D6F">
        <w:t>Metrology</w:t>
      </w:r>
      <w:r w:rsidR="00FA6701">
        <w:t> </w:t>
      </w:r>
      <w:r w:rsidR="004302DD">
        <w:rPr>
          <w:rFonts w:ascii="TimesNewRomanPSMT" w:eastAsia="Calibri" w:hAnsi="TimesNewRomanPSMT" w:cs="TimesNewRomanPSMT"/>
        </w:rPr>
        <w:t>(JCGM)</w:t>
      </w:r>
      <w:r w:rsidR="004302DD">
        <w:t> </w:t>
      </w:r>
      <w:r w:rsidR="00FA6701" w:rsidRPr="00EC4D6F">
        <w:t>(2008</w:t>
      </w:r>
      <w:r w:rsidR="004302DD" w:rsidRPr="00EC4D6F">
        <w:t>)</w:t>
      </w:r>
      <w:r w:rsidR="004302DD">
        <w:t>; </w:t>
      </w:r>
      <w:r w:rsidR="004302DD" w:rsidRPr="00552AB5">
        <w:rPr>
          <w:rFonts w:ascii="TimesNewRomanPSMT" w:eastAsia="Calibri" w:hAnsi="TimesNewRomanPSMT" w:cs="TimesNewRomanPSMT"/>
        </w:rPr>
        <w:t>available</w:t>
      </w:r>
      <w:r w:rsidR="004302DD">
        <w:rPr>
          <w:rFonts w:ascii="TimesNewRomanPSMT" w:eastAsia="Calibri" w:hAnsi="TimesNewRomanPSMT" w:cs="TimesNewRomanPSMT"/>
        </w:rPr>
        <w:t> </w:t>
      </w:r>
      <w:r w:rsidR="004302DD" w:rsidRPr="00552AB5">
        <w:rPr>
          <w:rFonts w:ascii="TimesNewRomanPSMT" w:eastAsia="Calibri" w:hAnsi="TimesNewRomanPSMT" w:cs="TimesNewRomanPSMT"/>
        </w:rPr>
        <w:t>at</w:t>
      </w:r>
      <w:r w:rsidR="004302DD">
        <w:rPr>
          <w:rFonts w:ascii="TimesNewRomanPSMT" w:eastAsia="Calibri" w:hAnsi="TimesNewRomanPSMT" w:cs="TimesNewRomanPSMT"/>
        </w:rPr>
        <w:t xml:space="preserve"> </w:t>
      </w:r>
      <w:hyperlink r:id="rId14" w:history="1">
        <w:r w:rsidR="00FA6701" w:rsidRPr="003A4D50">
          <w:rPr>
            <w:rStyle w:val="Hyperlink"/>
          </w:rPr>
          <w:t>http://www.bipm.org/utils/common/documents/jcgm/JCGM_101_2008_E.pdf</w:t>
        </w:r>
      </w:hyperlink>
      <w:r w:rsidR="00FA6701">
        <w:t xml:space="preserve"> </w:t>
      </w:r>
      <w:r w:rsidR="00FA6701">
        <w:rPr>
          <w:rStyle w:val="Hyperlink"/>
        </w:rPr>
        <w:t xml:space="preserve">(accessed </w:t>
      </w:r>
      <w:r w:rsidR="004302DD">
        <w:rPr>
          <w:rFonts w:ascii="TimesNewRomanPSMT" w:eastAsia="Calibri" w:hAnsi="TimesNewRomanPSMT" w:cs="TimesNewRomanPSMT"/>
        </w:rPr>
        <w:t>Feb 2011</w:t>
      </w:r>
      <w:r w:rsidR="00FA6701">
        <w:rPr>
          <w:rStyle w:val="Hyperlink"/>
        </w:rPr>
        <w:t>)</w:t>
      </w:r>
      <w:r w:rsidR="00FA6701">
        <w:t>.</w:t>
      </w:r>
    </w:p>
    <w:p w:rsidR="00EE505A" w:rsidRPr="006924A1" w:rsidRDefault="005C2B92" w:rsidP="002D3D5C">
      <w:pPr>
        <w:tabs>
          <w:tab w:val="left" w:pos="540"/>
        </w:tabs>
        <w:ind w:left="540" w:hanging="540"/>
        <w:jc w:val="both"/>
        <w:rPr>
          <w:kern w:val="2"/>
        </w:rPr>
      </w:pPr>
      <w:r>
        <w:t>[12]</w:t>
      </w:r>
      <w:r>
        <w:tab/>
      </w:r>
      <w:proofErr w:type="spellStart"/>
      <w:r w:rsidR="00EE505A" w:rsidRPr="00EC4D6F">
        <w:t>Efron</w:t>
      </w:r>
      <w:proofErr w:type="spellEnd"/>
      <w:r w:rsidR="00EE505A" w:rsidRPr="00EC4D6F">
        <w:t>,</w:t>
      </w:r>
      <w:r>
        <w:t> </w:t>
      </w:r>
      <w:r w:rsidR="00EE505A" w:rsidRPr="00EC4D6F">
        <w:t>B.</w:t>
      </w:r>
      <w:r w:rsidR="00EE505A">
        <w:t>;</w:t>
      </w:r>
      <w:r w:rsidR="00EE505A" w:rsidRPr="00EC4D6F">
        <w:t xml:space="preserve"> </w:t>
      </w:r>
      <w:proofErr w:type="spellStart"/>
      <w:r w:rsidR="00EE505A" w:rsidRPr="00EC4D6F">
        <w:t>Tibshirani</w:t>
      </w:r>
      <w:proofErr w:type="spellEnd"/>
      <w:r w:rsidR="00EE505A" w:rsidRPr="00EC4D6F">
        <w:t>,</w:t>
      </w:r>
      <w:r>
        <w:t> </w:t>
      </w:r>
      <w:r w:rsidR="00EE505A" w:rsidRPr="00EC4D6F">
        <w:t xml:space="preserve">R.J.; </w:t>
      </w:r>
      <w:proofErr w:type="gramStart"/>
      <w:r w:rsidR="00EE505A" w:rsidRPr="005C2B92">
        <w:rPr>
          <w:i/>
        </w:rPr>
        <w:t>An</w:t>
      </w:r>
      <w:proofErr w:type="gramEnd"/>
      <w:r w:rsidR="00EE505A" w:rsidRPr="005C2B92">
        <w:rPr>
          <w:i/>
        </w:rPr>
        <w:t xml:space="preserve"> Introduction to the Bootstrap</w:t>
      </w:r>
      <w:r>
        <w:t xml:space="preserve">; </w:t>
      </w:r>
      <w:r w:rsidR="00EE505A" w:rsidRPr="00EC4D6F">
        <w:t>Chapman &amp; Hall, London,</w:t>
      </w:r>
      <w:r>
        <w:t> </w:t>
      </w:r>
      <w:r w:rsidR="00EE505A" w:rsidRPr="00EC4D6F">
        <w:t>UK</w:t>
      </w:r>
      <w:r w:rsidR="00EE505A">
        <w:t xml:space="preserve"> (1993)</w:t>
      </w:r>
      <w:r w:rsidR="00EE505A" w:rsidRPr="00EC4D6F">
        <w:t>.</w:t>
      </w:r>
    </w:p>
    <w:p w:rsidR="000C0D7C" w:rsidRDefault="000C0D7C">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tbl>
      <w:tblPr>
        <w:tblStyle w:val="TableGrid"/>
        <w:tblW w:w="0" w:type="auto"/>
        <w:tblLook w:val="04A0"/>
      </w:tblPr>
      <w:tblGrid>
        <w:gridCol w:w="9576"/>
      </w:tblGrid>
      <w:tr w:rsidR="002D3D5C" w:rsidTr="002D3D5C">
        <w:tc>
          <w:tcPr>
            <w:tcW w:w="9576" w:type="dxa"/>
          </w:tcPr>
          <w:p w:rsidR="002D3D5C" w:rsidRPr="000D54B5" w:rsidRDefault="000D54B5" w:rsidP="00566071">
            <w:pPr>
              <w:pStyle w:val="BodyText3"/>
              <w:jc w:val="both"/>
              <w:rPr>
                <w:i w:val="0"/>
                <w:sz w:val="16"/>
                <w:szCs w:val="16"/>
              </w:rPr>
            </w:pPr>
            <w:r>
              <w:rPr>
                <w:b/>
                <w:i w:val="0"/>
                <w:sz w:val="16"/>
                <w:szCs w:val="16"/>
              </w:rPr>
              <w:t>Report Revision History:</w:t>
            </w:r>
            <w:r>
              <w:rPr>
                <w:i w:val="0"/>
                <w:sz w:val="16"/>
                <w:szCs w:val="16"/>
              </w:rPr>
              <w:t xml:space="preserve">  </w:t>
            </w:r>
            <w:r w:rsidR="00F60952">
              <w:rPr>
                <w:i w:val="0"/>
                <w:sz w:val="16"/>
                <w:szCs w:val="16"/>
              </w:rPr>
              <w:t>28 </w:t>
            </w:r>
            <w:r w:rsidR="00914AB7">
              <w:rPr>
                <w:i w:val="0"/>
                <w:sz w:val="16"/>
                <w:szCs w:val="16"/>
              </w:rPr>
              <w:t>February </w:t>
            </w:r>
            <w:r>
              <w:rPr>
                <w:i w:val="0"/>
                <w:sz w:val="16"/>
                <w:szCs w:val="16"/>
              </w:rPr>
              <w:t>2011 (This revision includes</w:t>
            </w:r>
            <w:r w:rsidR="00773C5B">
              <w:rPr>
                <w:i w:val="0"/>
                <w:sz w:val="16"/>
                <w:szCs w:val="16"/>
              </w:rPr>
              <w:t xml:space="preserve"> </w:t>
            </w:r>
            <w:r w:rsidR="00900455">
              <w:rPr>
                <w:i w:val="0"/>
                <w:sz w:val="16"/>
                <w:szCs w:val="16"/>
              </w:rPr>
              <w:t xml:space="preserve">value updates based on </w:t>
            </w:r>
            <w:proofErr w:type="spellStart"/>
            <w:r w:rsidR="00900455">
              <w:rPr>
                <w:i w:val="0"/>
                <w:sz w:val="16"/>
                <w:szCs w:val="16"/>
              </w:rPr>
              <w:t>recharacterization</w:t>
            </w:r>
            <w:proofErr w:type="spellEnd"/>
            <w:r w:rsidR="00773C5B">
              <w:rPr>
                <w:i w:val="0"/>
                <w:sz w:val="16"/>
                <w:szCs w:val="16"/>
              </w:rPr>
              <w:t xml:space="preserve"> and an extension of the expiration </w:t>
            </w:r>
            <w:r w:rsidR="00F60952">
              <w:rPr>
                <w:i w:val="0"/>
                <w:sz w:val="16"/>
                <w:szCs w:val="16"/>
              </w:rPr>
              <w:t>date</w:t>
            </w:r>
            <w:r w:rsidR="00900455">
              <w:rPr>
                <w:i w:val="0"/>
                <w:sz w:val="16"/>
                <w:szCs w:val="16"/>
              </w:rPr>
              <w:t>)</w:t>
            </w:r>
            <w:r>
              <w:rPr>
                <w:i w:val="0"/>
                <w:sz w:val="16"/>
                <w:szCs w:val="16"/>
              </w:rPr>
              <w:t xml:space="preserve">; </w:t>
            </w:r>
            <w:r w:rsidR="002D3D5C" w:rsidRPr="000D54B5">
              <w:rPr>
                <w:i w:val="0"/>
                <w:sz w:val="16"/>
                <w:szCs w:val="16"/>
              </w:rPr>
              <w:t>06</w:t>
            </w:r>
            <w:r w:rsidR="003B6D28">
              <w:rPr>
                <w:i w:val="0"/>
                <w:sz w:val="16"/>
                <w:szCs w:val="16"/>
              </w:rPr>
              <w:t> </w:t>
            </w:r>
            <w:r w:rsidR="002D3D5C" w:rsidRPr="000D54B5">
              <w:rPr>
                <w:i w:val="0"/>
                <w:sz w:val="16"/>
                <w:szCs w:val="16"/>
              </w:rPr>
              <w:t>November</w:t>
            </w:r>
            <w:r w:rsidR="003B6D28">
              <w:rPr>
                <w:i w:val="0"/>
                <w:sz w:val="16"/>
                <w:szCs w:val="16"/>
              </w:rPr>
              <w:t> </w:t>
            </w:r>
            <w:r w:rsidR="002D3D5C" w:rsidRPr="000D54B5">
              <w:rPr>
                <w:i w:val="0"/>
                <w:sz w:val="16"/>
                <w:szCs w:val="16"/>
              </w:rPr>
              <w:t>2001</w:t>
            </w:r>
            <w:r>
              <w:rPr>
                <w:i w:val="0"/>
                <w:sz w:val="16"/>
                <w:szCs w:val="16"/>
              </w:rPr>
              <w:t xml:space="preserve"> (original </w:t>
            </w:r>
            <w:r w:rsidR="00DB3D0E">
              <w:rPr>
                <w:i w:val="0"/>
                <w:sz w:val="16"/>
                <w:szCs w:val="16"/>
              </w:rPr>
              <w:t>r</w:t>
            </w:r>
            <w:r>
              <w:rPr>
                <w:i w:val="0"/>
                <w:sz w:val="16"/>
                <w:szCs w:val="16"/>
              </w:rPr>
              <w:t>eport</w:t>
            </w:r>
            <w:r w:rsidR="00DB3D0E">
              <w:rPr>
                <w:i w:val="0"/>
                <w:sz w:val="16"/>
                <w:szCs w:val="16"/>
              </w:rPr>
              <w:t xml:space="preserve"> date</w:t>
            </w:r>
            <w:r>
              <w:rPr>
                <w:i w:val="0"/>
                <w:sz w:val="16"/>
                <w:szCs w:val="16"/>
              </w:rPr>
              <w:t>)</w:t>
            </w:r>
            <w:r w:rsidR="00DC0508">
              <w:rPr>
                <w:i w:val="0"/>
                <w:sz w:val="16"/>
                <w:szCs w:val="16"/>
              </w:rPr>
              <w:t>.</w:t>
            </w:r>
          </w:p>
        </w:tc>
      </w:tr>
    </w:tbl>
    <w:p w:rsidR="002D3D5C" w:rsidRPr="002D3D5C" w:rsidRDefault="002D3D5C">
      <w:pPr>
        <w:pStyle w:val="BodyText3"/>
        <w:jc w:val="both"/>
        <w:rPr>
          <w:i w:val="0"/>
        </w:rPr>
      </w:pPr>
    </w:p>
    <w:p w:rsidR="002D3D5C" w:rsidRDefault="002D3D5C">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2D3D5C" w:rsidRDefault="002D3D5C">
      <w:pPr>
        <w:pStyle w:val="BodyText3"/>
        <w:jc w:val="both"/>
      </w:pPr>
    </w:p>
    <w:p w:rsidR="00745E7B" w:rsidRDefault="00745E7B">
      <w:pPr>
        <w:pStyle w:val="BodyText3"/>
        <w:jc w:val="both"/>
      </w:pPr>
      <w:r>
        <w:t>Users of th</w:t>
      </w:r>
      <w:r w:rsidR="005C2B92">
        <w:t>is RM</w:t>
      </w:r>
      <w:r>
        <w:t xml:space="preserve"> should ensure that the </w:t>
      </w:r>
      <w:r w:rsidR="005C2B92">
        <w:t>Report of Investigation</w:t>
      </w:r>
      <w:r>
        <w:t xml:space="preserve"> in their possession is current.  This can be accomplished by contacting the SRM Program:</w:t>
      </w:r>
      <w:r w:rsidR="00F60952">
        <w:t xml:space="preserve"> </w:t>
      </w:r>
      <w:r>
        <w:t>telephone (301)</w:t>
      </w:r>
      <w:r w:rsidR="005C2B92">
        <w:t> </w:t>
      </w:r>
      <w:r>
        <w:t>975</w:t>
      </w:r>
      <w:r w:rsidR="00A5112B">
        <w:noBreakHyphen/>
      </w:r>
      <w:r w:rsidR="005C2B92">
        <w:t>2200</w:t>
      </w:r>
      <w:r>
        <w:t>; fax</w:t>
      </w:r>
      <w:r w:rsidR="005C2B92">
        <w:t> (301) </w:t>
      </w:r>
      <w:r>
        <w:t>926</w:t>
      </w:r>
      <w:r w:rsidR="00A5112B">
        <w:noBreakHyphen/>
      </w:r>
      <w:r>
        <w:t>4751; e</w:t>
      </w:r>
      <w:r w:rsidR="005C2B92">
        <w:noBreakHyphen/>
      </w:r>
      <w:r>
        <w:t>mail</w:t>
      </w:r>
      <w:r w:rsidR="005C2B92">
        <w:t> </w:t>
      </w:r>
      <w:r>
        <w:t>srminfo@nist.gov; or via the Internet</w:t>
      </w:r>
      <w:r w:rsidR="00A71F5E">
        <w:t xml:space="preserve"> at</w:t>
      </w:r>
      <w:r>
        <w:t xml:space="preserve"> </w:t>
      </w:r>
      <w:hyperlink r:id="rId15" w:history="1">
        <w:r w:rsidRPr="005C2B92">
          <w:rPr>
            <w:rStyle w:val="Hyperlink"/>
          </w:rPr>
          <w:t>http://www.nist.gov/srm</w:t>
        </w:r>
      </w:hyperlink>
      <w:r>
        <w:t>.</w:t>
      </w:r>
    </w:p>
    <w:sectPr w:rsidR="00745E7B" w:rsidSect="00E15157">
      <w:footerReference w:type="default" r:id="rId16"/>
      <w:type w:val="continuous"/>
      <w:pgSz w:w="12240" w:h="15840" w:code="1"/>
      <w:pgMar w:top="720" w:right="1440" w:bottom="720" w:left="1440" w:header="144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F94" w:rsidRDefault="00BF6F94" w:rsidP="00745E7B">
      <w:r>
        <w:separator/>
      </w:r>
    </w:p>
  </w:endnote>
  <w:endnote w:type="continuationSeparator" w:id="0">
    <w:p w:rsidR="00BF6F94" w:rsidRDefault="00BF6F94" w:rsidP="00745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inotext">
    <w:panose1 w:val="000005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F94" w:rsidRPr="00EE5595" w:rsidRDefault="00BF6F94" w:rsidP="00EE5595">
    <w:pPr>
      <w:pStyle w:val="Footer"/>
      <w:tabs>
        <w:tab w:val="clear" w:pos="8640"/>
        <w:tab w:val="right" w:pos="9360"/>
      </w:tabs>
    </w:pPr>
    <w:r w:rsidRPr="00EE5595">
      <w:t xml:space="preserve">RM 8491 </w:t>
    </w:r>
    <w:r w:rsidRPr="00EE5595">
      <w:tab/>
    </w:r>
    <w:r w:rsidRPr="00EE5595">
      <w:tab/>
      <w:t xml:space="preserve">Page </w:t>
    </w:r>
    <w:fldSimple w:instr=" PAGE ">
      <w:r w:rsidR="00C92BC3">
        <w:rPr>
          <w:noProof/>
        </w:rPr>
        <w:t>4</w:t>
      </w:r>
    </w:fldSimple>
    <w:r w:rsidRPr="00EE5595">
      <w:t xml:space="preserve"> of </w:t>
    </w:r>
    <w:fldSimple w:instr=" NUMPAGES  ">
      <w:r w:rsidR="00C92BC3">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F94" w:rsidRDefault="00BF6F94" w:rsidP="00745E7B">
      <w:r>
        <w:separator/>
      </w:r>
    </w:p>
  </w:footnote>
  <w:footnote w:type="continuationSeparator" w:id="0">
    <w:p w:rsidR="00BF6F94" w:rsidRDefault="00BF6F94" w:rsidP="00745E7B">
      <w:r>
        <w:continuationSeparator/>
      </w:r>
    </w:p>
  </w:footnote>
  <w:footnote w:id="1">
    <w:p w:rsidR="00BF6F94" w:rsidRDefault="00BF6F94">
      <w:pPr>
        <w:pStyle w:val="FootnoteText"/>
        <w:ind w:firstLine="720"/>
        <w:jc w:val="both"/>
      </w:pPr>
      <w:r w:rsidRPr="00B044FC">
        <w:rPr>
          <w:sz w:val="18"/>
          <w:vertAlign w:val="superscript"/>
        </w:rPr>
        <w:t>(</w:t>
      </w:r>
      <w:r>
        <w:rPr>
          <w:rStyle w:val="FootnoteReference"/>
        </w:rPr>
        <w:footnoteRef/>
      </w:r>
      <w:proofErr w:type="gramStart"/>
      <w:r w:rsidRPr="00B044FC">
        <w:rPr>
          <w:sz w:val="18"/>
          <w:vertAlign w:val="superscript"/>
        </w:rPr>
        <w:t>)</w:t>
      </w:r>
      <w:r>
        <w:rPr>
          <w:sz w:val="18"/>
        </w:rPr>
        <w:t>Certain</w:t>
      </w:r>
      <w:proofErr w:type="gramEnd"/>
      <w:r>
        <w:rPr>
          <w:sz w:val="18"/>
        </w:rPr>
        <w:t xml:space="preserve"> commercial equipment, instrumentation, or materials are identified in this report to specify adequately the experimental procedure.  Such identification does not imply recommendation or endorsement by the NIST,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
    <w:nsid w:val="0D2A4690"/>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F7F0A"/>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E0C39"/>
    <w:multiLevelType w:val="hybridMultilevel"/>
    <w:tmpl w:val="A1363D94"/>
    <w:lvl w:ilvl="0" w:tplc="CB0AD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93A09"/>
    <w:multiLevelType w:val="hybridMultilevel"/>
    <w:tmpl w:val="4DD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TrueTypeFonts/>
  <w:saveSubsetFonts/>
  <w:hideSpellingErrors/>
  <w:hideGrammaticalErrors/>
  <w:proofState w:spelling="clean" w:grammar="clean"/>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44F9"/>
    <w:rsid w:val="0000173E"/>
    <w:rsid w:val="000145D3"/>
    <w:rsid w:val="000228F4"/>
    <w:rsid w:val="00022FAF"/>
    <w:rsid w:val="00026123"/>
    <w:rsid w:val="0004282E"/>
    <w:rsid w:val="000520C3"/>
    <w:rsid w:val="00055DD9"/>
    <w:rsid w:val="000563F5"/>
    <w:rsid w:val="0007222A"/>
    <w:rsid w:val="00074D21"/>
    <w:rsid w:val="00091D0C"/>
    <w:rsid w:val="0009457F"/>
    <w:rsid w:val="000A4D15"/>
    <w:rsid w:val="000A6447"/>
    <w:rsid w:val="000B3DB2"/>
    <w:rsid w:val="000B4282"/>
    <w:rsid w:val="000C0D7C"/>
    <w:rsid w:val="000D344C"/>
    <w:rsid w:val="000D54B5"/>
    <w:rsid w:val="000D72EF"/>
    <w:rsid w:val="000F14AB"/>
    <w:rsid w:val="000F156B"/>
    <w:rsid w:val="000F260D"/>
    <w:rsid w:val="001042FD"/>
    <w:rsid w:val="00133EED"/>
    <w:rsid w:val="00137BDA"/>
    <w:rsid w:val="001445E6"/>
    <w:rsid w:val="00145FBE"/>
    <w:rsid w:val="00154F91"/>
    <w:rsid w:val="00184B05"/>
    <w:rsid w:val="00197F64"/>
    <w:rsid w:val="001A0AEE"/>
    <w:rsid w:val="001A0D4B"/>
    <w:rsid w:val="001D08BB"/>
    <w:rsid w:val="001D3324"/>
    <w:rsid w:val="001E76C2"/>
    <w:rsid w:val="001E78F6"/>
    <w:rsid w:val="001F3228"/>
    <w:rsid w:val="00200A2E"/>
    <w:rsid w:val="00200C7D"/>
    <w:rsid w:val="00216253"/>
    <w:rsid w:val="00217AC1"/>
    <w:rsid w:val="00224FFD"/>
    <w:rsid w:val="002312A7"/>
    <w:rsid w:val="00234B92"/>
    <w:rsid w:val="00237741"/>
    <w:rsid w:val="00240533"/>
    <w:rsid w:val="00261BC9"/>
    <w:rsid w:val="00265F7E"/>
    <w:rsid w:val="002709D0"/>
    <w:rsid w:val="0027289B"/>
    <w:rsid w:val="002A32D2"/>
    <w:rsid w:val="002A4459"/>
    <w:rsid w:val="002B5396"/>
    <w:rsid w:val="002C48B8"/>
    <w:rsid w:val="002C55B5"/>
    <w:rsid w:val="002C5E37"/>
    <w:rsid w:val="002D3AAE"/>
    <w:rsid w:val="002D3D5C"/>
    <w:rsid w:val="002D6827"/>
    <w:rsid w:val="002D7133"/>
    <w:rsid w:val="002E175D"/>
    <w:rsid w:val="002E2015"/>
    <w:rsid w:val="002F2E92"/>
    <w:rsid w:val="002F37AB"/>
    <w:rsid w:val="0030566C"/>
    <w:rsid w:val="00313918"/>
    <w:rsid w:val="00316468"/>
    <w:rsid w:val="0032264A"/>
    <w:rsid w:val="00326A59"/>
    <w:rsid w:val="00340BA5"/>
    <w:rsid w:val="0034123A"/>
    <w:rsid w:val="003520C7"/>
    <w:rsid w:val="00357376"/>
    <w:rsid w:val="0036452E"/>
    <w:rsid w:val="00366FB0"/>
    <w:rsid w:val="00367B9C"/>
    <w:rsid w:val="003958BB"/>
    <w:rsid w:val="003A52A7"/>
    <w:rsid w:val="003B6D28"/>
    <w:rsid w:val="003E0167"/>
    <w:rsid w:val="003E5737"/>
    <w:rsid w:val="003F14F2"/>
    <w:rsid w:val="00411492"/>
    <w:rsid w:val="004162E4"/>
    <w:rsid w:val="00423E9B"/>
    <w:rsid w:val="004302DD"/>
    <w:rsid w:val="00452107"/>
    <w:rsid w:val="004526DA"/>
    <w:rsid w:val="004702CD"/>
    <w:rsid w:val="0047404F"/>
    <w:rsid w:val="004755C3"/>
    <w:rsid w:val="00475DF2"/>
    <w:rsid w:val="0047691D"/>
    <w:rsid w:val="004932A8"/>
    <w:rsid w:val="004A18FD"/>
    <w:rsid w:val="004B10D7"/>
    <w:rsid w:val="004B3722"/>
    <w:rsid w:val="004B7F3A"/>
    <w:rsid w:val="004C4AC8"/>
    <w:rsid w:val="004C7F80"/>
    <w:rsid w:val="004D2D25"/>
    <w:rsid w:val="004E1AFD"/>
    <w:rsid w:val="004F16A9"/>
    <w:rsid w:val="004F78D5"/>
    <w:rsid w:val="00521098"/>
    <w:rsid w:val="00542DD8"/>
    <w:rsid w:val="005523C7"/>
    <w:rsid w:val="00563270"/>
    <w:rsid w:val="00566071"/>
    <w:rsid w:val="005703F0"/>
    <w:rsid w:val="00571097"/>
    <w:rsid w:val="00580FCB"/>
    <w:rsid w:val="00593E73"/>
    <w:rsid w:val="005B2F16"/>
    <w:rsid w:val="005C2B92"/>
    <w:rsid w:val="005C4B92"/>
    <w:rsid w:val="005D5ACF"/>
    <w:rsid w:val="005D5CF6"/>
    <w:rsid w:val="00600308"/>
    <w:rsid w:val="006068D3"/>
    <w:rsid w:val="00607CCE"/>
    <w:rsid w:val="00617EBE"/>
    <w:rsid w:val="00624E2E"/>
    <w:rsid w:val="006326F7"/>
    <w:rsid w:val="00632D1F"/>
    <w:rsid w:val="00634D0C"/>
    <w:rsid w:val="00646F79"/>
    <w:rsid w:val="006504D8"/>
    <w:rsid w:val="0065188C"/>
    <w:rsid w:val="00653142"/>
    <w:rsid w:val="00661963"/>
    <w:rsid w:val="006658FC"/>
    <w:rsid w:val="00691F3F"/>
    <w:rsid w:val="006C7707"/>
    <w:rsid w:val="006C7EA6"/>
    <w:rsid w:val="006D3E0D"/>
    <w:rsid w:val="00704B8B"/>
    <w:rsid w:val="00712181"/>
    <w:rsid w:val="007144C6"/>
    <w:rsid w:val="00714E40"/>
    <w:rsid w:val="00716ED7"/>
    <w:rsid w:val="00724C4F"/>
    <w:rsid w:val="007259FF"/>
    <w:rsid w:val="0074531D"/>
    <w:rsid w:val="00745E7B"/>
    <w:rsid w:val="00746E12"/>
    <w:rsid w:val="00757083"/>
    <w:rsid w:val="007653CD"/>
    <w:rsid w:val="007666B1"/>
    <w:rsid w:val="0077116D"/>
    <w:rsid w:val="007711D2"/>
    <w:rsid w:val="00773C5B"/>
    <w:rsid w:val="007749E7"/>
    <w:rsid w:val="00781034"/>
    <w:rsid w:val="00785385"/>
    <w:rsid w:val="00790587"/>
    <w:rsid w:val="007B005E"/>
    <w:rsid w:val="007B10A5"/>
    <w:rsid w:val="007B5030"/>
    <w:rsid w:val="007C3288"/>
    <w:rsid w:val="007F44F9"/>
    <w:rsid w:val="00811385"/>
    <w:rsid w:val="00820B46"/>
    <w:rsid w:val="00832F82"/>
    <w:rsid w:val="008337F3"/>
    <w:rsid w:val="00837FA4"/>
    <w:rsid w:val="00852A55"/>
    <w:rsid w:val="00853BC2"/>
    <w:rsid w:val="00854ADC"/>
    <w:rsid w:val="0086557E"/>
    <w:rsid w:val="00866D2A"/>
    <w:rsid w:val="008731EE"/>
    <w:rsid w:val="0089374A"/>
    <w:rsid w:val="00893A84"/>
    <w:rsid w:val="008A162D"/>
    <w:rsid w:val="008B697A"/>
    <w:rsid w:val="008C5C88"/>
    <w:rsid w:val="008D3E4B"/>
    <w:rsid w:val="008E1C5D"/>
    <w:rsid w:val="00900455"/>
    <w:rsid w:val="00911F9D"/>
    <w:rsid w:val="00914AB7"/>
    <w:rsid w:val="0093611E"/>
    <w:rsid w:val="00960FE4"/>
    <w:rsid w:val="009636CB"/>
    <w:rsid w:val="00972F78"/>
    <w:rsid w:val="00981646"/>
    <w:rsid w:val="00982DF8"/>
    <w:rsid w:val="00996B5D"/>
    <w:rsid w:val="009A0AF4"/>
    <w:rsid w:val="009A588F"/>
    <w:rsid w:val="009C4C2D"/>
    <w:rsid w:val="009D77A4"/>
    <w:rsid w:val="009E4438"/>
    <w:rsid w:val="009F41FF"/>
    <w:rsid w:val="009F58DC"/>
    <w:rsid w:val="00A13E06"/>
    <w:rsid w:val="00A2483F"/>
    <w:rsid w:val="00A25363"/>
    <w:rsid w:val="00A30D69"/>
    <w:rsid w:val="00A35B24"/>
    <w:rsid w:val="00A5112B"/>
    <w:rsid w:val="00A572C6"/>
    <w:rsid w:val="00A71F5E"/>
    <w:rsid w:val="00A76C06"/>
    <w:rsid w:val="00A82C50"/>
    <w:rsid w:val="00A84615"/>
    <w:rsid w:val="00A91B7D"/>
    <w:rsid w:val="00AB18BA"/>
    <w:rsid w:val="00AB66C8"/>
    <w:rsid w:val="00AD6433"/>
    <w:rsid w:val="00AD7A86"/>
    <w:rsid w:val="00AE71A7"/>
    <w:rsid w:val="00AE773E"/>
    <w:rsid w:val="00AF44B4"/>
    <w:rsid w:val="00AF4827"/>
    <w:rsid w:val="00AF6FDB"/>
    <w:rsid w:val="00B044FC"/>
    <w:rsid w:val="00B073AA"/>
    <w:rsid w:val="00B1253E"/>
    <w:rsid w:val="00B25D42"/>
    <w:rsid w:val="00B40DF0"/>
    <w:rsid w:val="00B53437"/>
    <w:rsid w:val="00B57744"/>
    <w:rsid w:val="00B57A55"/>
    <w:rsid w:val="00B81E21"/>
    <w:rsid w:val="00B838DC"/>
    <w:rsid w:val="00B84976"/>
    <w:rsid w:val="00B87DE6"/>
    <w:rsid w:val="00B910CB"/>
    <w:rsid w:val="00B92A86"/>
    <w:rsid w:val="00B94D3E"/>
    <w:rsid w:val="00BA79A7"/>
    <w:rsid w:val="00BB21F0"/>
    <w:rsid w:val="00BE1D35"/>
    <w:rsid w:val="00BE3314"/>
    <w:rsid w:val="00BE6BEA"/>
    <w:rsid w:val="00BF030D"/>
    <w:rsid w:val="00BF343B"/>
    <w:rsid w:val="00BF6F94"/>
    <w:rsid w:val="00C07FDD"/>
    <w:rsid w:val="00C1194B"/>
    <w:rsid w:val="00C12AF3"/>
    <w:rsid w:val="00C15DB0"/>
    <w:rsid w:val="00C2071F"/>
    <w:rsid w:val="00C3047A"/>
    <w:rsid w:val="00C34ABD"/>
    <w:rsid w:val="00C359C9"/>
    <w:rsid w:val="00C37E00"/>
    <w:rsid w:val="00C41291"/>
    <w:rsid w:val="00C475FD"/>
    <w:rsid w:val="00C64DE3"/>
    <w:rsid w:val="00C71CEB"/>
    <w:rsid w:val="00C72FBC"/>
    <w:rsid w:val="00C763A0"/>
    <w:rsid w:val="00C90E30"/>
    <w:rsid w:val="00C92BC3"/>
    <w:rsid w:val="00C93243"/>
    <w:rsid w:val="00CA10E8"/>
    <w:rsid w:val="00CA5575"/>
    <w:rsid w:val="00CB3454"/>
    <w:rsid w:val="00CB5205"/>
    <w:rsid w:val="00CC0AAC"/>
    <w:rsid w:val="00CD2FFE"/>
    <w:rsid w:val="00CE489F"/>
    <w:rsid w:val="00CE70AB"/>
    <w:rsid w:val="00CF314E"/>
    <w:rsid w:val="00CF6D77"/>
    <w:rsid w:val="00D0016F"/>
    <w:rsid w:val="00D027AB"/>
    <w:rsid w:val="00D07A52"/>
    <w:rsid w:val="00D11BBE"/>
    <w:rsid w:val="00D22F59"/>
    <w:rsid w:val="00D36D60"/>
    <w:rsid w:val="00D408D9"/>
    <w:rsid w:val="00D52075"/>
    <w:rsid w:val="00D72263"/>
    <w:rsid w:val="00D73918"/>
    <w:rsid w:val="00D83772"/>
    <w:rsid w:val="00DA039B"/>
    <w:rsid w:val="00DA1549"/>
    <w:rsid w:val="00DB066B"/>
    <w:rsid w:val="00DB1F37"/>
    <w:rsid w:val="00DB3D0E"/>
    <w:rsid w:val="00DC0508"/>
    <w:rsid w:val="00DC1C30"/>
    <w:rsid w:val="00DC500B"/>
    <w:rsid w:val="00DD2777"/>
    <w:rsid w:val="00DE0875"/>
    <w:rsid w:val="00DE0A87"/>
    <w:rsid w:val="00DE2B58"/>
    <w:rsid w:val="00DE5156"/>
    <w:rsid w:val="00DE771C"/>
    <w:rsid w:val="00DF7C8C"/>
    <w:rsid w:val="00E15157"/>
    <w:rsid w:val="00E20643"/>
    <w:rsid w:val="00E20AB0"/>
    <w:rsid w:val="00E24FAF"/>
    <w:rsid w:val="00E27F8B"/>
    <w:rsid w:val="00E46ED7"/>
    <w:rsid w:val="00E51E15"/>
    <w:rsid w:val="00E5394C"/>
    <w:rsid w:val="00E73850"/>
    <w:rsid w:val="00E817EA"/>
    <w:rsid w:val="00E82268"/>
    <w:rsid w:val="00E82F93"/>
    <w:rsid w:val="00E866CB"/>
    <w:rsid w:val="00E90CB4"/>
    <w:rsid w:val="00E942D6"/>
    <w:rsid w:val="00EA29CE"/>
    <w:rsid w:val="00EB4C40"/>
    <w:rsid w:val="00EB7D5E"/>
    <w:rsid w:val="00ED1FD7"/>
    <w:rsid w:val="00EE505A"/>
    <w:rsid w:val="00EE5595"/>
    <w:rsid w:val="00EE73E9"/>
    <w:rsid w:val="00EF566A"/>
    <w:rsid w:val="00EF6AEF"/>
    <w:rsid w:val="00EF7384"/>
    <w:rsid w:val="00F23FC3"/>
    <w:rsid w:val="00F27A78"/>
    <w:rsid w:val="00F32B1D"/>
    <w:rsid w:val="00F43FFC"/>
    <w:rsid w:val="00F563B2"/>
    <w:rsid w:val="00F60952"/>
    <w:rsid w:val="00F61671"/>
    <w:rsid w:val="00F67053"/>
    <w:rsid w:val="00F7743C"/>
    <w:rsid w:val="00F871C5"/>
    <w:rsid w:val="00F97726"/>
    <w:rsid w:val="00FA6701"/>
    <w:rsid w:val="00FD7302"/>
    <w:rsid w:val="00FF5BE4"/>
    <w:rsid w:val="00FF5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BE"/>
  </w:style>
  <w:style w:type="paragraph" w:styleId="Heading1">
    <w:name w:val="heading 1"/>
    <w:basedOn w:val="Normal"/>
    <w:next w:val="Normal"/>
    <w:qFormat/>
    <w:rsid w:val="00617EBE"/>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17EBE"/>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17EBE"/>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17EBE"/>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17EBE"/>
    <w:pPr>
      <w:keepNext/>
      <w:jc w:val="center"/>
      <w:outlineLvl w:val="4"/>
    </w:pPr>
    <w:rPr>
      <w:rFonts w:ascii="CG Times" w:hAnsi="CG Times"/>
      <w:sz w:val="36"/>
    </w:rPr>
  </w:style>
  <w:style w:type="paragraph" w:styleId="Heading6">
    <w:name w:val="heading 6"/>
    <w:basedOn w:val="Normal"/>
    <w:next w:val="Normal"/>
    <w:qFormat/>
    <w:rsid w:val="00617EBE"/>
    <w:pPr>
      <w:keepNext/>
      <w:jc w:val="center"/>
      <w:outlineLvl w:val="5"/>
    </w:pPr>
    <w:rPr>
      <w:b/>
      <w:sz w:val="36"/>
    </w:rPr>
  </w:style>
  <w:style w:type="paragraph" w:styleId="Heading7">
    <w:name w:val="heading 7"/>
    <w:basedOn w:val="Normal"/>
    <w:next w:val="Normal"/>
    <w:qFormat/>
    <w:rsid w:val="00617EBE"/>
    <w:pPr>
      <w:keepNext/>
      <w:jc w:val="center"/>
      <w:outlineLvl w:val="6"/>
    </w:pPr>
    <w:rPr>
      <w:rFonts w:ascii="CG Times" w:hAnsi="CG Times"/>
      <w:b/>
      <w:sz w:val="24"/>
    </w:rPr>
  </w:style>
  <w:style w:type="paragraph" w:styleId="Heading8">
    <w:name w:val="heading 8"/>
    <w:basedOn w:val="Normal"/>
    <w:next w:val="Normal"/>
    <w:qFormat/>
    <w:rsid w:val="00617EBE"/>
    <w:pPr>
      <w:keepNext/>
      <w:jc w:val="center"/>
      <w:outlineLvl w:val="7"/>
    </w:pPr>
    <w:rPr>
      <w:rFonts w:ascii="CG Times" w:hAnsi="CG Times"/>
      <w:b/>
    </w:rPr>
  </w:style>
  <w:style w:type="paragraph" w:styleId="Heading9">
    <w:name w:val="heading 9"/>
    <w:basedOn w:val="Normal"/>
    <w:next w:val="Normal"/>
    <w:qFormat/>
    <w:rsid w:val="00617EBE"/>
    <w:pPr>
      <w:keepNext/>
      <w:jc w:val="center"/>
      <w:outlineLvl w:val="8"/>
    </w:pPr>
    <w:rPr>
      <w:rFonts w:ascii="CG Times" w:hAnsi="CG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7EBE"/>
    <w:pPr>
      <w:tabs>
        <w:tab w:val="center" w:pos="4320"/>
        <w:tab w:val="right" w:pos="8640"/>
      </w:tabs>
    </w:pPr>
  </w:style>
  <w:style w:type="paragraph" w:styleId="Footer">
    <w:name w:val="footer"/>
    <w:basedOn w:val="Normal"/>
    <w:link w:val="FooterChar"/>
    <w:uiPriority w:val="99"/>
    <w:rsid w:val="00617EBE"/>
    <w:pPr>
      <w:tabs>
        <w:tab w:val="center" w:pos="4320"/>
        <w:tab w:val="right" w:pos="8640"/>
      </w:tabs>
    </w:pPr>
  </w:style>
  <w:style w:type="character" w:styleId="PageNumber">
    <w:name w:val="page number"/>
    <w:basedOn w:val="DefaultParagraphFont"/>
    <w:semiHidden/>
    <w:rsid w:val="00617EBE"/>
  </w:style>
  <w:style w:type="paragraph" w:styleId="Title">
    <w:name w:val="Title"/>
    <w:basedOn w:val="Normal"/>
    <w:qFormat/>
    <w:rsid w:val="00617EBE"/>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17EBE"/>
    <w:pPr>
      <w:jc w:val="center"/>
    </w:pPr>
    <w:rPr>
      <w:rFonts w:ascii="Lincoln" w:hAnsi="Lincoln"/>
      <w:sz w:val="60"/>
    </w:rPr>
  </w:style>
  <w:style w:type="paragraph" w:styleId="BodyText">
    <w:name w:val="Body Text"/>
    <w:basedOn w:val="Normal"/>
    <w:semiHidden/>
    <w:rsid w:val="00617EBE"/>
    <w:pPr>
      <w:jc w:val="both"/>
    </w:pPr>
    <w:rPr>
      <w:rFonts w:ascii="CG Times" w:hAnsi="CG Times"/>
      <w:snapToGrid w:val="0"/>
    </w:rPr>
  </w:style>
  <w:style w:type="paragraph" w:styleId="BodyText3">
    <w:name w:val="Body Text 3"/>
    <w:basedOn w:val="Normal"/>
    <w:semiHidden/>
    <w:rsid w:val="00617EBE"/>
    <w:rPr>
      <w:i/>
    </w:rPr>
  </w:style>
  <w:style w:type="paragraph" w:styleId="BodyTextIndent">
    <w:name w:val="Body Text Indent"/>
    <w:basedOn w:val="Normal"/>
    <w:semiHidden/>
    <w:rsid w:val="00617EBE"/>
    <w:pPr>
      <w:widowControl w:val="0"/>
      <w:ind w:left="720" w:hanging="720"/>
      <w:jc w:val="both"/>
    </w:pPr>
    <w:rPr>
      <w:snapToGrid w:val="0"/>
      <w:sz w:val="24"/>
    </w:rPr>
  </w:style>
  <w:style w:type="paragraph" w:styleId="BodyTextIndent2">
    <w:name w:val="Body Text Indent 2"/>
    <w:basedOn w:val="Normal"/>
    <w:semiHidden/>
    <w:rsid w:val="00617EBE"/>
    <w:pPr>
      <w:widowControl w:val="0"/>
      <w:tabs>
        <w:tab w:val="left" w:pos="-1440"/>
      </w:tabs>
      <w:ind w:left="360"/>
    </w:pPr>
    <w:rPr>
      <w:snapToGrid w:val="0"/>
      <w:sz w:val="24"/>
    </w:rPr>
  </w:style>
  <w:style w:type="paragraph" w:styleId="BodyTextIndent3">
    <w:name w:val="Body Text Indent 3"/>
    <w:basedOn w:val="Normal"/>
    <w:semiHidden/>
    <w:rsid w:val="00617EBE"/>
    <w:pPr>
      <w:tabs>
        <w:tab w:val="left" w:pos="360"/>
      </w:tabs>
      <w:ind w:left="360" w:hanging="360"/>
    </w:pPr>
    <w:rPr>
      <w:rFonts w:ascii="CG Times" w:hAnsi="CG Times"/>
    </w:rPr>
  </w:style>
  <w:style w:type="paragraph" w:styleId="FootnoteText">
    <w:name w:val="footnote text"/>
    <w:basedOn w:val="Normal"/>
    <w:semiHidden/>
    <w:rsid w:val="00617EBE"/>
  </w:style>
  <w:style w:type="character" w:styleId="FootnoteReference">
    <w:name w:val="footnote reference"/>
    <w:basedOn w:val="DefaultParagraphFont"/>
    <w:semiHidden/>
    <w:rsid w:val="00617EBE"/>
    <w:rPr>
      <w:vertAlign w:val="superscript"/>
    </w:rPr>
  </w:style>
  <w:style w:type="character" w:styleId="Hyperlink">
    <w:name w:val="Hyperlink"/>
    <w:basedOn w:val="DefaultParagraphFont"/>
    <w:rsid w:val="00DE0A87"/>
    <w:rPr>
      <w:rFonts w:ascii="Times New Roman" w:hAnsi="Times New Roman"/>
      <w:color w:val="auto"/>
      <w:sz w:val="20"/>
      <w:u w:val="none"/>
    </w:rPr>
  </w:style>
  <w:style w:type="character" w:customStyle="1" w:styleId="Heading21">
    <w:name w:val="Heading 21"/>
    <w:basedOn w:val="DefaultParagraphFont"/>
    <w:rsid w:val="00617EBE"/>
    <w:rPr>
      <w:sz w:val="24"/>
    </w:rPr>
  </w:style>
  <w:style w:type="character" w:customStyle="1" w:styleId="BodyText1">
    <w:name w:val="Body Text1"/>
    <w:basedOn w:val="DefaultParagraphFont"/>
    <w:rsid w:val="00617EBE"/>
    <w:rPr>
      <w:sz w:val="24"/>
    </w:rPr>
  </w:style>
  <w:style w:type="paragraph" w:styleId="BalloonText">
    <w:name w:val="Balloon Text"/>
    <w:basedOn w:val="Normal"/>
    <w:link w:val="BalloonTextChar"/>
    <w:uiPriority w:val="99"/>
    <w:semiHidden/>
    <w:unhideWhenUsed/>
    <w:rsid w:val="00D0016F"/>
    <w:rPr>
      <w:rFonts w:ascii="Tahoma" w:hAnsi="Tahoma" w:cs="Tahoma"/>
      <w:sz w:val="16"/>
      <w:szCs w:val="16"/>
    </w:rPr>
  </w:style>
  <w:style w:type="character" w:customStyle="1" w:styleId="BalloonTextChar">
    <w:name w:val="Balloon Text Char"/>
    <w:basedOn w:val="DefaultParagraphFont"/>
    <w:link w:val="BalloonText"/>
    <w:uiPriority w:val="99"/>
    <w:semiHidden/>
    <w:rsid w:val="00D0016F"/>
    <w:rPr>
      <w:rFonts w:ascii="Tahoma" w:hAnsi="Tahoma" w:cs="Tahoma"/>
      <w:sz w:val="16"/>
      <w:szCs w:val="16"/>
    </w:rPr>
  </w:style>
  <w:style w:type="character" w:customStyle="1" w:styleId="HeaderChar">
    <w:name w:val="Header Char"/>
    <w:basedOn w:val="DefaultParagraphFont"/>
    <w:link w:val="Header"/>
    <w:uiPriority w:val="99"/>
    <w:rsid w:val="00D0016F"/>
  </w:style>
  <w:style w:type="paragraph" w:styleId="BodyText2">
    <w:name w:val="Body Text 2"/>
    <w:basedOn w:val="Normal"/>
    <w:link w:val="BodyText2Char"/>
    <w:uiPriority w:val="99"/>
    <w:semiHidden/>
    <w:unhideWhenUsed/>
    <w:rsid w:val="00D0016F"/>
    <w:pPr>
      <w:spacing w:after="120" w:line="480" w:lineRule="auto"/>
    </w:pPr>
  </w:style>
  <w:style w:type="character" w:customStyle="1" w:styleId="BodyText2Char">
    <w:name w:val="Body Text 2 Char"/>
    <w:basedOn w:val="DefaultParagraphFont"/>
    <w:link w:val="BodyText2"/>
    <w:uiPriority w:val="99"/>
    <w:semiHidden/>
    <w:rsid w:val="00D0016F"/>
  </w:style>
  <w:style w:type="character" w:customStyle="1" w:styleId="FooterChar">
    <w:name w:val="Footer Char"/>
    <w:basedOn w:val="DefaultParagraphFont"/>
    <w:link w:val="Footer"/>
    <w:uiPriority w:val="99"/>
    <w:rsid w:val="00EE5595"/>
  </w:style>
  <w:style w:type="character" w:customStyle="1" w:styleId="normal0">
    <w:name w:val="normal"/>
    <w:basedOn w:val="DefaultParagraphFont"/>
    <w:rsid w:val="00691F3F"/>
  </w:style>
  <w:style w:type="character" w:styleId="CommentReference">
    <w:name w:val="annotation reference"/>
    <w:basedOn w:val="DefaultParagraphFont"/>
    <w:uiPriority w:val="99"/>
    <w:semiHidden/>
    <w:unhideWhenUsed/>
    <w:rsid w:val="004C4AC8"/>
    <w:rPr>
      <w:sz w:val="16"/>
      <w:szCs w:val="16"/>
    </w:rPr>
  </w:style>
  <w:style w:type="paragraph" w:styleId="CommentText">
    <w:name w:val="annotation text"/>
    <w:basedOn w:val="Normal"/>
    <w:link w:val="CommentTextChar"/>
    <w:uiPriority w:val="99"/>
    <w:unhideWhenUsed/>
    <w:rsid w:val="004C4AC8"/>
  </w:style>
  <w:style w:type="character" w:customStyle="1" w:styleId="CommentTextChar">
    <w:name w:val="Comment Text Char"/>
    <w:basedOn w:val="DefaultParagraphFont"/>
    <w:link w:val="CommentText"/>
    <w:uiPriority w:val="99"/>
    <w:rsid w:val="004C4AC8"/>
  </w:style>
  <w:style w:type="paragraph" w:styleId="CommentSubject">
    <w:name w:val="annotation subject"/>
    <w:basedOn w:val="CommentText"/>
    <w:next w:val="CommentText"/>
    <w:link w:val="CommentSubjectChar"/>
    <w:uiPriority w:val="99"/>
    <w:semiHidden/>
    <w:unhideWhenUsed/>
    <w:rsid w:val="004C4AC8"/>
    <w:rPr>
      <w:b/>
      <w:bCs/>
    </w:rPr>
  </w:style>
  <w:style w:type="character" w:customStyle="1" w:styleId="CommentSubjectChar">
    <w:name w:val="Comment Subject Char"/>
    <w:basedOn w:val="CommentTextChar"/>
    <w:link w:val="CommentSubject"/>
    <w:uiPriority w:val="99"/>
    <w:semiHidden/>
    <w:rsid w:val="004C4AC8"/>
    <w:rPr>
      <w:b/>
      <w:bCs/>
    </w:rPr>
  </w:style>
  <w:style w:type="paragraph" w:styleId="PlainText">
    <w:name w:val="Plain Text"/>
    <w:basedOn w:val="Normal"/>
    <w:link w:val="PlainTextChar"/>
    <w:uiPriority w:val="99"/>
    <w:semiHidden/>
    <w:unhideWhenUsed/>
    <w:rsid w:val="00852A55"/>
    <w:rPr>
      <w:rFonts w:ascii="Arial" w:eastAsia="Calibri" w:hAnsi="Arial"/>
      <w:sz w:val="22"/>
      <w:szCs w:val="21"/>
    </w:rPr>
  </w:style>
  <w:style w:type="character" w:customStyle="1" w:styleId="PlainTextChar">
    <w:name w:val="Plain Text Char"/>
    <w:basedOn w:val="DefaultParagraphFont"/>
    <w:link w:val="PlainText"/>
    <w:uiPriority w:val="99"/>
    <w:semiHidden/>
    <w:rsid w:val="00852A55"/>
    <w:rPr>
      <w:rFonts w:ascii="Arial" w:eastAsia="Calibri" w:hAnsi="Arial" w:cs="Times New Roman"/>
      <w:sz w:val="22"/>
      <w:szCs w:val="21"/>
    </w:rPr>
  </w:style>
  <w:style w:type="table" w:styleId="TableGrid">
    <w:name w:val="Table Grid"/>
    <w:basedOn w:val="TableNormal"/>
    <w:uiPriority w:val="59"/>
    <w:rsid w:val="00B0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773E"/>
    <w:rPr>
      <w:color w:val="800080"/>
      <w:u w:val="single"/>
    </w:rPr>
  </w:style>
  <w:style w:type="paragraph" w:styleId="Revision">
    <w:name w:val="Revision"/>
    <w:hidden/>
    <w:uiPriority w:val="99"/>
    <w:semiHidden/>
    <w:rsid w:val="00AB66C8"/>
  </w:style>
</w:styles>
</file>

<file path=word/webSettings.xml><?xml version="1.0" encoding="utf-8"?>
<w:webSettings xmlns:r="http://schemas.openxmlformats.org/officeDocument/2006/relationships" xmlns:w="http://schemas.openxmlformats.org/wordprocessingml/2006/main">
  <w:divs>
    <w:div w:id="541745925">
      <w:bodyDiv w:val="1"/>
      <w:marLeft w:val="0"/>
      <w:marRight w:val="0"/>
      <w:marTop w:val="0"/>
      <w:marBottom w:val="0"/>
      <w:divBdr>
        <w:top w:val="none" w:sz="0" w:space="0" w:color="auto"/>
        <w:left w:val="none" w:sz="0" w:space="0" w:color="auto"/>
        <w:bottom w:val="none" w:sz="0" w:space="0" w:color="auto"/>
        <w:right w:val="none" w:sz="0" w:space="0" w:color="auto"/>
      </w:divBdr>
    </w:div>
    <w:div w:id="1849366341">
      <w:bodyDiv w:val="1"/>
      <w:marLeft w:val="0"/>
      <w:marRight w:val="0"/>
      <w:marTop w:val="0"/>
      <w:marBottom w:val="0"/>
      <w:divBdr>
        <w:top w:val="none" w:sz="0" w:space="0" w:color="auto"/>
        <w:left w:val="none" w:sz="0" w:space="0" w:color="auto"/>
        <w:bottom w:val="none" w:sz="0" w:space="0" w:color="auto"/>
        <w:right w:val="none" w:sz="0" w:space="0" w:color="auto"/>
      </w:divBdr>
    </w:div>
    <w:div w:id="21319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hysics.nist.gov/Pu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srm/publications.cfm"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pml/pubs/index.cfm/" TargetMode="Externa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http://www.bipm.org/utils/common/documents/jcgm/JCGM_101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BA542-3A80-4D81-842D-A9AFE88A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2294</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15809</CharactersWithSpaces>
  <SharedDoc>false</SharedDoc>
  <HLinks>
    <vt:vector size="30" baseType="variant">
      <vt:variant>
        <vt:i4>2752559</vt:i4>
      </vt:variant>
      <vt:variant>
        <vt:i4>12</vt:i4>
      </vt:variant>
      <vt:variant>
        <vt:i4>0</vt:i4>
      </vt:variant>
      <vt:variant>
        <vt:i4>5</vt:i4>
      </vt:variant>
      <vt:variant>
        <vt:lpwstr>http://www.nist.gov/srm</vt:lpwstr>
      </vt:variant>
      <vt:variant>
        <vt:lpwstr/>
      </vt:variant>
      <vt:variant>
        <vt:i4>5046337</vt:i4>
      </vt:variant>
      <vt:variant>
        <vt:i4>9</vt:i4>
      </vt:variant>
      <vt:variant>
        <vt:i4>0</vt:i4>
      </vt:variant>
      <vt:variant>
        <vt:i4>5</vt:i4>
      </vt:variant>
      <vt:variant>
        <vt:lpwstr>http://physics.nist.gov/Pubs/</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1638423</vt:i4>
      </vt:variant>
      <vt:variant>
        <vt:i4>3</vt:i4>
      </vt:variant>
      <vt:variant>
        <vt:i4>0</vt:i4>
      </vt:variant>
      <vt:variant>
        <vt:i4>5</vt:i4>
      </vt:variant>
      <vt:variant>
        <vt:lpwstr>http://www.nist.gov/srm/publications.cfm</vt:lpwstr>
      </vt:variant>
      <vt:variant>
        <vt:lpwstr/>
      </vt:variant>
      <vt:variant>
        <vt:i4>6750270</vt:i4>
      </vt:variant>
      <vt:variant>
        <vt:i4>0</vt:i4>
      </vt:variant>
      <vt:variant>
        <vt:i4>0</vt:i4>
      </vt:variant>
      <vt:variant>
        <vt:i4>5</vt:i4>
      </vt:variant>
      <vt:variant>
        <vt:lpwstr>http://www.nist.gov/pml/pubs/index.cfm/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subject/>
  <dc:creator>SRMP</dc:creator>
  <cp:keywords/>
  <dc:description/>
  <cp:lastModifiedBy>Maria Polakoski</cp:lastModifiedBy>
  <cp:revision>2</cp:revision>
  <cp:lastPrinted>2011-02-28T16:32:00Z</cp:lastPrinted>
  <dcterms:created xsi:type="dcterms:W3CDTF">2011-03-04T22:31:00Z</dcterms:created>
  <dcterms:modified xsi:type="dcterms:W3CDTF">2011-03-04T22:31:00Z</dcterms:modified>
</cp:coreProperties>
</file>