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A73" w:rsidRPr="00145EEB" w:rsidRDefault="00FA50C0" w:rsidP="00F70A73">
      <w:pPr>
        <w:pStyle w:val="Title"/>
        <w:rPr>
          <w:rFonts w:ascii="Linotext" w:hAnsi="Linotext"/>
          <w:sz w:val="44"/>
          <w:szCs w:val="44"/>
        </w:rPr>
      </w:pPr>
      <w:r>
        <w:rPr>
          <w:rFonts w:ascii="Linotext" w:hAnsi="Linotext"/>
          <w:noProof/>
          <w:sz w:val="44"/>
          <w:szCs w:val="4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pt;margin-top:-16.15pt;width:96pt;height:63.75pt;z-index:-251658752" fillcolor="window">
            <v:imagedata r:id="rId9" o:title=""/>
          </v:shape>
          <o:OLEObject Type="Embed" ProgID="Word.Document.8" ShapeID="_x0000_s1026" DrawAspect="Content" ObjectID="_1453102136" r:id="rId10">
            <o:FieldCodes>\s</o:FieldCodes>
          </o:OLEObject>
        </w:pict>
      </w:r>
      <w:r w:rsidR="00F70A73" w:rsidRPr="00145EEB">
        <w:rPr>
          <w:rFonts w:ascii="Linotext" w:hAnsi="Linotext"/>
          <w:sz w:val="44"/>
          <w:szCs w:val="44"/>
        </w:rPr>
        <w:t>National Institute of Standards &amp; Technology</w:t>
      </w:r>
    </w:p>
    <w:p w:rsidR="00F70A73" w:rsidRPr="009D0741" w:rsidRDefault="00F70A73" w:rsidP="00F70A73">
      <w:pPr>
        <w:pStyle w:val="Subtitle"/>
        <w:rPr>
          <w:rFonts w:ascii="Linotext" w:hAnsi="Linotext"/>
          <w:sz w:val="16"/>
          <w:szCs w:val="16"/>
        </w:rPr>
      </w:pPr>
    </w:p>
    <w:p w:rsidR="00F70A73" w:rsidRPr="00145EEB" w:rsidRDefault="00F70A73" w:rsidP="00F70A73">
      <w:pPr>
        <w:pStyle w:val="Subtitle"/>
        <w:rPr>
          <w:rFonts w:ascii="Linotext" w:hAnsi="Linotext"/>
          <w:sz w:val="60"/>
        </w:rPr>
      </w:pPr>
      <w:r w:rsidRPr="00145EEB">
        <w:rPr>
          <w:rFonts w:ascii="Linotext" w:hAnsi="Linotext"/>
          <w:sz w:val="60"/>
        </w:rPr>
        <w:t>Certificate of Analysis</w:t>
      </w:r>
    </w:p>
    <w:p w:rsidR="00F70A73" w:rsidRPr="009D0741" w:rsidRDefault="00F70A73" w:rsidP="00F70A73">
      <w:pPr>
        <w:jc w:val="center"/>
        <w:rPr>
          <w:sz w:val="16"/>
          <w:szCs w:val="16"/>
        </w:rPr>
      </w:pPr>
    </w:p>
    <w:p w:rsidR="00F70A73" w:rsidRPr="00AF4E59" w:rsidRDefault="00F70A73" w:rsidP="00F70A73">
      <w:pPr>
        <w:jc w:val="center"/>
      </w:pPr>
      <w:r w:rsidRPr="00AF4E59">
        <w:rPr>
          <w:sz w:val="36"/>
        </w:rPr>
        <w:t>Standard Reference Material</w:t>
      </w:r>
      <w:r w:rsidRPr="00AF4E59">
        <w:rPr>
          <w:sz w:val="36"/>
          <w:vertAlign w:val="superscript"/>
        </w:rPr>
        <w:t>®</w:t>
      </w:r>
      <w:r w:rsidR="00636298">
        <w:rPr>
          <w:sz w:val="36"/>
        </w:rPr>
        <w:t> </w:t>
      </w:r>
      <w:r w:rsidR="007815B1">
        <w:rPr>
          <w:sz w:val="36"/>
        </w:rPr>
        <w:t>898</w:t>
      </w:r>
    </w:p>
    <w:p w:rsidR="00043948" w:rsidRPr="00A7614E" w:rsidRDefault="00043948" w:rsidP="00F70A73">
      <w:pPr>
        <w:jc w:val="center"/>
        <w:rPr>
          <w:sz w:val="20"/>
          <w:lang w:val="it-IT"/>
        </w:rPr>
      </w:pPr>
    </w:p>
    <w:p w:rsidR="008B70E7" w:rsidRDefault="008B70E7" w:rsidP="008B70E7">
      <w:pPr>
        <w:pStyle w:val="Heading1"/>
        <w:rPr>
          <w:b w:val="0"/>
          <w:lang w:val="it-IT"/>
        </w:rPr>
      </w:pPr>
      <w:r>
        <w:rPr>
          <w:b w:val="0"/>
          <w:lang w:val="it-IT"/>
        </w:rPr>
        <w:t>Nickel</w:t>
      </w:r>
      <w:r>
        <w:rPr>
          <w:b w:val="0"/>
          <w:lang w:val="it-IT"/>
        </w:rPr>
        <w:noBreakHyphen/>
        <w:t>Base High</w:t>
      </w:r>
      <w:r>
        <w:rPr>
          <w:b w:val="0"/>
          <w:lang w:val="it-IT"/>
        </w:rPr>
        <w:noBreakHyphen/>
        <w:t>Temperature Alloy</w:t>
      </w:r>
    </w:p>
    <w:p w:rsidR="008B70E7" w:rsidRDefault="008B70E7" w:rsidP="008B70E7">
      <w:pPr>
        <w:pStyle w:val="Heading1"/>
        <w:rPr>
          <w:b w:val="0"/>
          <w:lang w:val="it-IT"/>
        </w:rPr>
      </w:pPr>
      <w:r>
        <w:rPr>
          <w:b w:val="0"/>
          <w:lang w:val="it-IT"/>
        </w:rPr>
        <w:t>(Tracealloy B)</w:t>
      </w:r>
    </w:p>
    <w:p w:rsidR="005575A4" w:rsidRPr="001B2DBB" w:rsidRDefault="005575A4">
      <w:pPr>
        <w:rPr>
          <w:sz w:val="20"/>
        </w:rPr>
      </w:pPr>
    </w:p>
    <w:p w:rsidR="005575A4" w:rsidRDefault="003B0AA1">
      <w:pPr>
        <w:pStyle w:val="BodyText"/>
        <w:jc w:val="both"/>
      </w:pPr>
      <w:r>
        <w:t xml:space="preserve">This </w:t>
      </w:r>
      <w:r w:rsidR="00F70A73">
        <w:t>Standard Reference Material</w:t>
      </w:r>
      <w:r w:rsidR="008B70E7">
        <w:t> </w:t>
      </w:r>
      <w:r w:rsidR="00F70A73">
        <w:t>(SRM</w:t>
      </w:r>
      <w:r w:rsidR="005575A4">
        <w:t xml:space="preserve">) is </w:t>
      </w:r>
      <w:r w:rsidR="00AB6B93">
        <w:t xml:space="preserve">intended </w:t>
      </w:r>
      <w:r w:rsidR="005575A4">
        <w:t xml:space="preserve">for use in </w:t>
      </w:r>
      <w:r w:rsidR="00AB6B93">
        <w:t xml:space="preserve">the </w:t>
      </w:r>
      <w:r w:rsidR="00221691">
        <w:t xml:space="preserve">validation of </w:t>
      </w:r>
      <w:r w:rsidR="005575A4">
        <w:t xml:space="preserve">chemical and instrumental methods </w:t>
      </w:r>
      <w:r w:rsidR="00ED45E8">
        <w:t>for</w:t>
      </w:r>
      <w:r w:rsidR="00B34A25">
        <w:t xml:space="preserve"> trace elemental analysis of </w:t>
      </w:r>
      <w:r w:rsidR="00582592">
        <w:t>high-temperature alloys</w:t>
      </w:r>
      <w:r w:rsidR="005575A4">
        <w:t>.  A unit of SRM</w:t>
      </w:r>
      <w:r w:rsidR="008B70E7">
        <w:t> </w:t>
      </w:r>
      <w:r w:rsidR="007815B1">
        <w:t>898</w:t>
      </w:r>
      <w:r>
        <w:t xml:space="preserve"> consists of </w:t>
      </w:r>
      <w:r w:rsidR="00B34A25">
        <w:t xml:space="preserve">a </w:t>
      </w:r>
      <w:r>
        <w:t xml:space="preserve">single </w:t>
      </w:r>
      <w:r w:rsidR="007801FF">
        <w:t>bottle contai</w:t>
      </w:r>
      <w:r w:rsidR="00582592">
        <w:t>ning approximately 35</w:t>
      </w:r>
      <w:r w:rsidR="008B70E7">
        <w:t> </w:t>
      </w:r>
      <w:r w:rsidR="00582592">
        <w:t>g of fine millings</w:t>
      </w:r>
      <w:r w:rsidR="007801FF">
        <w:t>.</w:t>
      </w:r>
    </w:p>
    <w:p w:rsidR="005575A4" w:rsidRPr="000A797B" w:rsidRDefault="005575A4">
      <w:pPr>
        <w:pStyle w:val="BodyText"/>
        <w:jc w:val="both"/>
        <w:rPr>
          <w:sz w:val="18"/>
        </w:rPr>
      </w:pPr>
    </w:p>
    <w:p w:rsidR="00DA109E" w:rsidRDefault="00F70A73" w:rsidP="00DA109E">
      <w:pPr>
        <w:pStyle w:val="BodyText"/>
        <w:jc w:val="both"/>
      </w:pPr>
      <w:r>
        <w:rPr>
          <w:b/>
          <w:bCs/>
        </w:rPr>
        <w:t xml:space="preserve">Certified </w:t>
      </w:r>
      <w:r w:rsidR="00334CE2">
        <w:rPr>
          <w:b/>
          <w:bCs/>
        </w:rPr>
        <w:t xml:space="preserve">Mass Fraction </w:t>
      </w:r>
      <w:r>
        <w:rPr>
          <w:b/>
          <w:bCs/>
        </w:rPr>
        <w:t>Value</w:t>
      </w:r>
      <w:r w:rsidR="003B0AA1">
        <w:rPr>
          <w:b/>
          <w:bCs/>
        </w:rPr>
        <w:t>s</w:t>
      </w:r>
      <w:r>
        <w:rPr>
          <w:b/>
          <w:bCs/>
        </w:rPr>
        <w:t>:</w:t>
      </w:r>
      <w:r w:rsidR="00AB6B93">
        <w:t xml:space="preserve">  </w:t>
      </w:r>
      <w:r w:rsidR="003B0AA1">
        <w:t>C</w:t>
      </w:r>
      <w:r w:rsidR="00B40455">
        <w:t xml:space="preserve">ertified </w:t>
      </w:r>
      <w:r w:rsidR="003B0AA1">
        <w:t xml:space="preserve">mass fraction </w:t>
      </w:r>
      <w:r w:rsidR="00B40455">
        <w:t>value</w:t>
      </w:r>
      <w:r w:rsidR="003B0AA1">
        <w:t>s</w:t>
      </w:r>
      <w:r w:rsidR="00B40455">
        <w:t xml:space="preserve"> for </w:t>
      </w:r>
      <w:r w:rsidR="003B0AA1">
        <w:t>constituents</w:t>
      </w:r>
      <w:r w:rsidR="00334CE2">
        <w:t xml:space="preserve"> </w:t>
      </w:r>
      <w:r w:rsidR="003B0AA1">
        <w:t>of</w:t>
      </w:r>
      <w:r w:rsidR="00B40455">
        <w:t xml:space="preserve"> SRM</w:t>
      </w:r>
      <w:r w:rsidR="008B70E7">
        <w:t> </w:t>
      </w:r>
      <w:r w:rsidR="007815B1">
        <w:t>898</w:t>
      </w:r>
      <w:r w:rsidR="00B40455">
        <w:t xml:space="preserve"> </w:t>
      </w:r>
      <w:r w:rsidR="003B0AA1">
        <w:t>are</w:t>
      </w:r>
      <w:r w:rsidR="00B40455">
        <w:t xml:space="preserve"> provided in </w:t>
      </w:r>
      <w:r w:rsidR="00ED45E8">
        <w:t>Table </w:t>
      </w:r>
      <w:r w:rsidR="00B40455">
        <w:t>1</w:t>
      </w:r>
      <w:r w:rsidR="0083761E">
        <w:t> </w:t>
      </w:r>
      <w:r>
        <w:t>[1]</w:t>
      </w:r>
      <w:r w:rsidR="00000603">
        <w:t xml:space="preserve">.  </w:t>
      </w:r>
      <w:r w:rsidR="00A91608" w:rsidRPr="00F31B2D">
        <w:t>A NIST certified value is a value for which NIST has the highest confidence in its</w:t>
      </w:r>
      <w:r w:rsidR="00A91608">
        <w:t xml:space="preserve"> </w:t>
      </w:r>
      <w:r w:rsidR="00A91608" w:rsidRPr="00F31B2D">
        <w:t>accuracy, in that all known or suspected sources of bias have been investigated or taken into account</w:t>
      </w:r>
      <w:r w:rsidR="0070384D">
        <w:t> [2]</w:t>
      </w:r>
      <w:r w:rsidR="00A91608" w:rsidRPr="00F31B2D">
        <w:t>.</w:t>
      </w:r>
      <w:r w:rsidR="00A91608">
        <w:t xml:space="preserve"> </w:t>
      </w:r>
      <w:r w:rsidR="00A91608" w:rsidRPr="00F31B2D">
        <w:t xml:space="preserve"> A certified</w:t>
      </w:r>
      <w:r w:rsidR="00A91608">
        <w:t xml:space="preserve"> </w:t>
      </w:r>
      <w:r w:rsidR="00A91608" w:rsidRPr="00F31B2D">
        <w:t>value is the present best estimate of the true value based on the results of analyses performed at NIST and</w:t>
      </w:r>
      <w:r w:rsidR="00A91608">
        <w:t xml:space="preserve"> </w:t>
      </w:r>
      <w:r w:rsidR="00A91608" w:rsidRPr="00F31B2D">
        <w:t>collaborating laboratories.</w:t>
      </w:r>
    </w:p>
    <w:p w:rsidR="00F70A73" w:rsidRPr="000A797B" w:rsidRDefault="00F70A73" w:rsidP="00F70A73">
      <w:pPr>
        <w:pStyle w:val="BodyText"/>
        <w:jc w:val="both"/>
        <w:rPr>
          <w:sz w:val="18"/>
        </w:rPr>
      </w:pPr>
    </w:p>
    <w:p w:rsidR="00F70A73" w:rsidRDefault="00F70A73" w:rsidP="00F70A73">
      <w:pPr>
        <w:pStyle w:val="BodyText"/>
        <w:jc w:val="both"/>
      </w:pPr>
      <w:r>
        <w:rPr>
          <w:b/>
          <w:bCs/>
        </w:rPr>
        <w:t xml:space="preserve">Reference </w:t>
      </w:r>
      <w:r w:rsidR="005E6D6D">
        <w:rPr>
          <w:b/>
          <w:bCs/>
        </w:rPr>
        <w:t xml:space="preserve">Mass Fraction </w:t>
      </w:r>
      <w:r>
        <w:rPr>
          <w:b/>
          <w:bCs/>
        </w:rPr>
        <w:t>Values:</w:t>
      </w:r>
      <w:r w:rsidR="00AB6B93">
        <w:t xml:space="preserve">  R</w:t>
      </w:r>
      <w:r>
        <w:t xml:space="preserve">eference </w:t>
      </w:r>
      <w:r w:rsidR="003B0AA1">
        <w:t xml:space="preserve">mass fraction </w:t>
      </w:r>
      <w:r>
        <w:t>value</w:t>
      </w:r>
      <w:r w:rsidR="00AB6B93">
        <w:t>s</w:t>
      </w:r>
      <w:r>
        <w:t xml:space="preserve"> for </w:t>
      </w:r>
      <w:r w:rsidR="00AB6B93">
        <w:t>constituents</w:t>
      </w:r>
      <w:r w:rsidR="003B0AA1">
        <w:t xml:space="preserve"> of SRM</w:t>
      </w:r>
      <w:r w:rsidR="0083761E">
        <w:t> </w:t>
      </w:r>
      <w:r w:rsidR="007815B1">
        <w:t>898</w:t>
      </w:r>
      <w:r w:rsidR="00AB6B93">
        <w:t xml:space="preserve"> are provided </w:t>
      </w:r>
      <w:r>
        <w:t>in Table</w:t>
      </w:r>
      <w:r w:rsidR="0083761E">
        <w:t> </w:t>
      </w:r>
      <w:r>
        <w:t xml:space="preserve">2.  </w:t>
      </w:r>
      <w:r w:rsidR="00A91608" w:rsidRPr="0011011F">
        <w:t>Reference values are non</w:t>
      </w:r>
      <w:r w:rsidR="00A91608">
        <w:noBreakHyphen/>
      </w:r>
      <w:r w:rsidR="00A91608" w:rsidRPr="0011011F">
        <w:t>certified values that are the best estimates of the true values</w:t>
      </w:r>
      <w:r w:rsidR="00A91608">
        <w:t>; h</w:t>
      </w:r>
      <w:r w:rsidR="00A91608" w:rsidRPr="0011011F">
        <w:t>owever, the values do not meet the NIST criteria for certification and are provided with associated uncertainties that may not include all sources of uncertainty</w:t>
      </w:r>
      <w:r w:rsidR="00A91608">
        <w:t> [2]</w:t>
      </w:r>
      <w:r w:rsidR="00A91608" w:rsidRPr="0011011F">
        <w:t>.</w:t>
      </w:r>
    </w:p>
    <w:p w:rsidR="00A91608" w:rsidRPr="000A797B" w:rsidRDefault="00A91608" w:rsidP="00F70A73">
      <w:pPr>
        <w:pStyle w:val="BodyText"/>
        <w:jc w:val="both"/>
        <w:rPr>
          <w:b/>
          <w:bCs/>
          <w:sz w:val="18"/>
          <w:szCs w:val="16"/>
        </w:rPr>
      </w:pPr>
    </w:p>
    <w:p w:rsidR="00A91608" w:rsidRDefault="00F70A73" w:rsidP="00F70A73">
      <w:pPr>
        <w:pStyle w:val="BodyText"/>
        <w:jc w:val="both"/>
      </w:pPr>
      <w:r>
        <w:rPr>
          <w:b/>
          <w:bCs/>
        </w:rPr>
        <w:t xml:space="preserve">Information </w:t>
      </w:r>
      <w:r w:rsidR="005E6D6D">
        <w:rPr>
          <w:b/>
          <w:bCs/>
        </w:rPr>
        <w:t xml:space="preserve">Mass Fraction </w:t>
      </w:r>
      <w:r>
        <w:rPr>
          <w:b/>
          <w:bCs/>
        </w:rPr>
        <w:t>Values:</w:t>
      </w:r>
      <w:r>
        <w:t xml:space="preserve">  </w:t>
      </w:r>
      <w:r w:rsidR="00AB6B93">
        <w:t xml:space="preserve">Information </w:t>
      </w:r>
      <w:r w:rsidR="00ED45E8">
        <w:t xml:space="preserve">mass fraction </w:t>
      </w:r>
      <w:r>
        <w:t>value</w:t>
      </w:r>
      <w:r w:rsidR="00AB6B93">
        <w:t>s</w:t>
      </w:r>
      <w:r>
        <w:t xml:space="preserve"> </w:t>
      </w:r>
      <w:r w:rsidR="006D7869">
        <w:t xml:space="preserve">for </w:t>
      </w:r>
      <w:r w:rsidR="00AB6B93">
        <w:t xml:space="preserve">constituents </w:t>
      </w:r>
      <w:r w:rsidR="003B0AA1">
        <w:t>of SRM</w:t>
      </w:r>
      <w:r w:rsidR="0083761E">
        <w:t> </w:t>
      </w:r>
      <w:r w:rsidR="007815B1">
        <w:t>898</w:t>
      </w:r>
      <w:r w:rsidR="003B0AA1">
        <w:t xml:space="preserve"> </w:t>
      </w:r>
      <w:r w:rsidR="00AB6B93">
        <w:t>are provided in T</w:t>
      </w:r>
      <w:r>
        <w:t>able</w:t>
      </w:r>
      <w:r w:rsidR="0083761E">
        <w:t> </w:t>
      </w:r>
      <w:r>
        <w:t xml:space="preserve">3.  </w:t>
      </w:r>
      <w:r w:rsidR="00A91608" w:rsidRPr="00127501">
        <w:t>An</w:t>
      </w:r>
      <w:r w:rsidR="00A91608" w:rsidRPr="00364E6D">
        <w:t xml:space="preserve"> information value is considered to be a value that will be of interest to the SRM user, but insufficient information is available to assess the uncertainty associated with the value</w:t>
      </w:r>
      <w:r w:rsidR="0083761E">
        <w:t> </w:t>
      </w:r>
      <w:r w:rsidR="00A91608">
        <w:t>[2]</w:t>
      </w:r>
      <w:r w:rsidR="00A91608" w:rsidRPr="00364E6D">
        <w:t>.</w:t>
      </w:r>
      <w:r w:rsidR="0083761E">
        <w:t xml:space="preserve">  </w:t>
      </w:r>
      <w:r w:rsidR="0083761E" w:rsidRPr="0083761E">
        <w:t xml:space="preserve">Information </w:t>
      </w:r>
      <w:r w:rsidR="00FA4487">
        <w:t>v</w:t>
      </w:r>
      <w:r w:rsidR="0083761E" w:rsidRPr="0083761E">
        <w:t>alues cannot be used to establish metrological traceability.</w:t>
      </w:r>
    </w:p>
    <w:p w:rsidR="00F70A73" w:rsidRPr="000A797B" w:rsidRDefault="00F70A73" w:rsidP="00F70A73">
      <w:pPr>
        <w:pStyle w:val="BodyText"/>
        <w:jc w:val="both"/>
        <w:rPr>
          <w:sz w:val="18"/>
          <w:szCs w:val="16"/>
        </w:rPr>
      </w:pPr>
    </w:p>
    <w:p w:rsidR="00F70A73" w:rsidRPr="008A77CF" w:rsidRDefault="00F70A73" w:rsidP="00F70A73">
      <w:pPr>
        <w:pStyle w:val="BodyText"/>
        <w:jc w:val="both"/>
      </w:pPr>
      <w:r>
        <w:rPr>
          <w:b/>
        </w:rPr>
        <w:t>Expiration of Certification:</w:t>
      </w:r>
      <w:r>
        <w:t xml:space="preserve">  </w:t>
      </w:r>
      <w:r w:rsidRPr="00051629">
        <w:t xml:space="preserve">The certification of </w:t>
      </w:r>
      <w:r w:rsidRPr="00787F31">
        <w:rPr>
          <w:b/>
        </w:rPr>
        <w:t>SR</w:t>
      </w:r>
      <w:r w:rsidR="00AB6B93">
        <w:rPr>
          <w:b/>
        </w:rPr>
        <w:t>M</w:t>
      </w:r>
      <w:r w:rsidR="0083761E">
        <w:rPr>
          <w:b/>
        </w:rPr>
        <w:t> </w:t>
      </w:r>
      <w:r w:rsidR="007815B1">
        <w:rPr>
          <w:b/>
        </w:rPr>
        <w:t>898</w:t>
      </w:r>
      <w:r>
        <w:t xml:space="preserve"> </w:t>
      </w:r>
      <w:r w:rsidRPr="00051629">
        <w:t xml:space="preserve">is valid indefinitely, </w:t>
      </w:r>
      <w:r w:rsidR="00A91608">
        <w:t xml:space="preserve">within the measurement uncertainties specified, </w:t>
      </w:r>
      <w:r w:rsidR="00A91608" w:rsidRPr="0011011F">
        <w:t xml:space="preserve">provided the SRM is handled and stored in accordance with the instructions given in this certificate (see </w:t>
      </w:r>
      <w:r w:rsidR="00A91608">
        <w:t>“</w:t>
      </w:r>
      <w:r w:rsidR="00A91608" w:rsidRPr="0011011F">
        <w:t>Instructions for Use</w:t>
      </w:r>
      <w:r w:rsidR="00A91608">
        <w:t>”</w:t>
      </w:r>
      <w:r w:rsidR="00A91608" w:rsidRPr="0011011F">
        <w:t xml:space="preserve">).  </w:t>
      </w:r>
      <w:r w:rsidR="0083761E">
        <w:t>P</w:t>
      </w:r>
      <w:r w:rsidR="00A91608" w:rsidRPr="000032FD">
        <w:t>eriodic recalibration or recertification of this SRM is not required.</w:t>
      </w:r>
      <w:r w:rsidR="00A91608">
        <w:t xml:space="preserve">  T</w:t>
      </w:r>
      <w:r w:rsidR="00A91608" w:rsidRPr="0011011F">
        <w:t xml:space="preserve">he certification </w:t>
      </w:r>
      <w:r w:rsidR="00A91608">
        <w:t>is</w:t>
      </w:r>
      <w:r w:rsidR="00A91608" w:rsidRPr="0011011F">
        <w:t xml:space="preserve"> nullified if the SRM is damaged</w:t>
      </w:r>
      <w:r w:rsidR="00A91608">
        <w:t xml:space="preserve">, </w:t>
      </w:r>
      <w:r w:rsidR="00A91608" w:rsidRPr="0011011F">
        <w:t>contaminated</w:t>
      </w:r>
      <w:r w:rsidR="00A91608">
        <w:t>, or otherwise modified.</w:t>
      </w:r>
    </w:p>
    <w:p w:rsidR="00F70A73" w:rsidRPr="000A797B" w:rsidRDefault="00F70A73" w:rsidP="00F70A73">
      <w:pPr>
        <w:pStyle w:val="BodyText"/>
        <w:jc w:val="both"/>
        <w:rPr>
          <w:sz w:val="18"/>
        </w:rPr>
      </w:pPr>
    </w:p>
    <w:p w:rsidR="00D370DC" w:rsidRDefault="00F70A73" w:rsidP="00A91608">
      <w:pPr>
        <w:jc w:val="both"/>
        <w:rPr>
          <w:sz w:val="20"/>
        </w:rPr>
      </w:pPr>
      <w:r w:rsidRPr="008A77CF">
        <w:rPr>
          <w:b/>
          <w:sz w:val="20"/>
        </w:rPr>
        <w:t xml:space="preserve">Maintenance of SRM Certification:  </w:t>
      </w:r>
      <w:r w:rsidR="00A91608" w:rsidRPr="0011011F">
        <w:rPr>
          <w:sz w:val="20"/>
        </w:rPr>
        <w:t xml:space="preserve">NIST will monitor this material </w:t>
      </w:r>
      <w:r w:rsidR="00A91608">
        <w:rPr>
          <w:sz w:val="20"/>
        </w:rPr>
        <w:t xml:space="preserve">over the period of its certification.  If substantive technical changes occur that affect the certification, NIST will notify the purchaser.  </w:t>
      </w:r>
      <w:r w:rsidR="00A91608" w:rsidRPr="0011011F">
        <w:rPr>
          <w:sz w:val="20"/>
        </w:rPr>
        <w:t>Registration</w:t>
      </w:r>
      <w:r w:rsidR="00A91608">
        <w:rPr>
          <w:sz w:val="20"/>
        </w:rPr>
        <w:t> </w:t>
      </w:r>
      <w:r w:rsidR="00A91608" w:rsidRPr="0011011F">
        <w:rPr>
          <w:sz w:val="20"/>
        </w:rPr>
        <w:t>(see</w:t>
      </w:r>
      <w:r w:rsidR="00A91608">
        <w:rPr>
          <w:sz w:val="20"/>
        </w:rPr>
        <w:t> </w:t>
      </w:r>
      <w:r w:rsidR="00A91608" w:rsidRPr="0011011F">
        <w:rPr>
          <w:sz w:val="20"/>
        </w:rPr>
        <w:t>attached sheet) will facilitate notification.</w:t>
      </w:r>
    </w:p>
    <w:p w:rsidR="00A91608" w:rsidRPr="000A797B" w:rsidRDefault="00A91608" w:rsidP="00A91608">
      <w:pPr>
        <w:jc w:val="both"/>
        <w:rPr>
          <w:bCs/>
          <w:sz w:val="18"/>
        </w:rPr>
      </w:pPr>
    </w:p>
    <w:p w:rsidR="00F70A73" w:rsidRDefault="00A91608" w:rsidP="00F70A73">
      <w:pPr>
        <w:pStyle w:val="BodyText"/>
        <w:jc w:val="both"/>
        <w:rPr>
          <w:bCs/>
        </w:rPr>
      </w:pPr>
      <w:r>
        <w:rPr>
          <w:bCs/>
        </w:rPr>
        <w:t>C</w:t>
      </w:r>
      <w:r w:rsidR="00DA109E" w:rsidRPr="0043352F">
        <w:rPr>
          <w:bCs/>
        </w:rPr>
        <w:t xml:space="preserve">oordination </w:t>
      </w:r>
      <w:r>
        <w:rPr>
          <w:bCs/>
        </w:rPr>
        <w:t>of technical measurements for</w:t>
      </w:r>
      <w:r w:rsidR="00DA109E">
        <w:rPr>
          <w:bCs/>
        </w:rPr>
        <w:t xml:space="preserve"> certification of this SRM was </w:t>
      </w:r>
      <w:r w:rsidR="001D5203">
        <w:rPr>
          <w:bCs/>
        </w:rPr>
        <w:t xml:space="preserve">performed by </w:t>
      </w:r>
      <w:r w:rsidR="00DF0502">
        <w:rPr>
          <w:bCs/>
        </w:rPr>
        <w:t>I.</w:t>
      </w:r>
      <w:r w:rsidR="00A43F96">
        <w:rPr>
          <w:bCs/>
        </w:rPr>
        <w:t>L.</w:t>
      </w:r>
      <w:r w:rsidR="0083761E">
        <w:rPr>
          <w:bCs/>
        </w:rPr>
        <w:t> </w:t>
      </w:r>
      <w:r w:rsidR="00A43F96">
        <w:rPr>
          <w:bCs/>
        </w:rPr>
        <w:t>Barnes of the NIST Chemical Sciences Division</w:t>
      </w:r>
      <w:r w:rsidR="00DF0502">
        <w:rPr>
          <w:bCs/>
        </w:rPr>
        <w:t xml:space="preserve">.  </w:t>
      </w:r>
      <w:r w:rsidR="00F70A73">
        <w:rPr>
          <w:bCs/>
        </w:rPr>
        <w:t>Review and r</w:t>
      </w:r>
      <w:r w:rsidR="00AB6B93">
        <w:rPr>
          <w:bCs/>
        </w:rPr>
        <w:t>evision of value assignments were</w:t>
      </w:r>
      <w:r w:rsidR="00F70A73">
        <w:rPr>
          <w:bCs/>
        </w:rPr>
        <w:t xml:space="preserve"> performed by J.R.</w:t>
      </w:r>
      <w:r w:rsidR="002B67C2">
        <w:rPr>
          <w:bCs/>
        </w:rPr>
        <w:t> </w:t>
      </w:r>
      <w:r w:rsidR="00F70A73">
        <w:rPr>
          <w:bCs/>
        </w:rPr>
        <w:t xml:space="preserve">Sieber of the NIST </w:t>
      </w:r>
      <w:r w:rsidR="002B67C2">
        <w:rPr>
          <w:bCs/>
        </w:rPr>
        <w:t>Chemical Sciences</w:t>
      </w:r>
      <w:r>
        <w:rPr>
          <w:bCs/>
        </w:rPr>
        <w:t xml:space="preserve"> Division.</w:t>
      </w:r>
      <w:r w:rsidR="00F70A73">
        <w:rPr>
          <w:bCs/>
        </w:rPr>
        <w:t xml:space="preserve"> </w:t>
      </w:r>
    </w:p>
    <w:p w:rsidR="00F70A73" w:rsidRPr="000A797B" w:rsidRDefault="00F70A73" w:rsidP="00F70A73">
      <w:pPr>
        <w:pStyle w:val="BodyText"/>
        <w:jc w:val="both"/>
        <w:rPr>
          <w:bCs/>
          <w:sz w:val="18"/>
          <w:szCs w:val="16"/>
        </w:rPr>
      </w:pPr>
    </w:p>
    <w:p w:rsidR="0083761E" w:rsidRDefault="0083761E" w:rsidP="0083761E">
      <w:pPr>
        <w:pStyle w:val="BodyText"/>
        <w:jc w:val="both"/>
      </w:pPr>
      <w:r>
        <w:t>Measurements for value assignment of SRM 89</w:t>
      </w:r>
      <w:r w:rsidR="00636298">
        <w:t>8</w:t>
      </w:r>
      <w:r>
        <w:t xml:space="preserve"> were performed by J.W. </w:t>
      </w:r>
      <w:proofErr w:type="spellStart"/>
      <w:r>
        <w:t>Gramlich</w:t>
      </w:r>
      <w:proofErr w:type="spellEnd"/>
      <w:r>
        <w:t>, H.M. Kingston, L.A. </w:t>
      </w:r>
      <w:proofErr w:type="spellStart"/>
      <w:r>
        <w:t>Machlan</w:t>
      </w:r>
      <w:proofErr w:type="spellEnd"/>
      <w:r>
        <w:t>, E.J. </w:t>
      </w:r>
      <w:proofErr w:type="spellStart"/>
      <w:r>
        <w:t>Maienthal</w:t>
      </w:r>
      <w:proofErr w:type="spellEnd"/>
      <w:r>
        <w:t>, J.D. </w:t>
      </w:r>
      <w:proofErr w:type="spellStart"/>
      <w:r>
        <w:t>Messman</w:t>
      </w:r>
      <w:proofErr w:type="spellEnd"/>
      <w:r>
        <w:t xml:space="preserve">, P.J. Paulson, L.P. Powell, and T.C. Rains of the NIST Chemical Sciences Division; P. Cole of ATI </w:t>
      </w:r>
      <w:proofErr w:type="spellStart"/>
      <w:r>
        <w:t>Allvac</w:t>
      </w:r>
      <w:proofErr w:type="spellEnd"/>
      <w:r>
        <w:t xml:space="preserve"> (Monroe, </w:t>
      </w:r>
      <w:r w:rsidR="0070384D">
        <w:t>NC</w:t>
      </w:r>
      <w:r>
        <w:t>); G. </w:t>
      </w:r>
      <w:proofErr w:type="spellStart"/>
      <w:r>
        <w:t>Infantino</w:t>
      </w:r>
      <w:proofErr w:type="spellEnd"/>
      <w:r>
        <w:t xml:space="preserve"> of Evans Analytical Group (Syracuse, N</w:t>
      </w:r>
      <w:r w:rsidR="0070384D">
        <w:t>Y</w:t>
      </w:r>
      <w:r>
        <w:t>); L. </w:t>
      </w:r>
      <w:proofErr w:type="spellStart"/>
      <w:r>
        <w:t>Dilks</w:t>
      </w:r>
      <w:proofErr w:type="spellEnd"/>
      <w:r>
        <w:t xml:space="preserve"> of Laboratory Testing, Inc.</w:t>
      </w:r>
      <w:r w:rsidR="00C074CC">
        <w:t xml:space="preserve"> </w:t>
      </w:r>
      <w:r>
        <w:t>(Hatfield, </w:t>
      </w:r>
      <w:r w:rsidR="0070384D">
        <w:t>PA</w:t>
      </w:r>
      <w:r>
        <w:t>); B. </w:t>
      </w:r>
      <w:proofErr w:type="spellStart"/>
      <w:r>
        <w:t>Guidoboni</w:t>
      </w:r>
      <w:proofErr w:type="spellEnd"/>
      <w:r>
        <w:t xml:space="preserve"> of Northern Analytical Laboratories, (Londonderry, N</w:t>
      </w:r>
      <w:r w:rsidR="0070384D">
        <w:t>H</w:t>
      </w:r>
      <w:r>
        <w:t>); L. </w:t>
      </w:r>
      <w:proofErr w:type="spellStart"/>
      <w:r>
        <w:t>Somrack</w:t>
      </w:r>
      <w:proofErr w:type="spellEnd"/>
      <w:r>
        <w:t xml:space="preserve"> of NSL Analytical (Cleveland, </w:t>
      </w:r>
      <w:r w:rsidR="0070384D">
        <w:t>OH</w:t>
      </w:r>
      <w:r>
        <w:t>); T. </w:t>
      </w:r>
      <w:proofErr w:type="spellStart"/>
      <w:r>
        <w:t>LeRoy</w:t>
      </w:r>
      <w:proofErr w:type="spellEnd"/>
      <w:r>
        <w:t xml:space="preserve"> and J. </w:t>
      </w:r>
      <w:proofErr w:type="spellStart"/>
      <w:r>
        <w:t>Capobianco</w:t>
      </w:r>
      <w:proofErr w:type="spellEnd"/>
      <w:r>
        <w:t xml:space="preserve"> of Vale Inco (Mississauga, Ontario</w:t>
      </w:r>
      <w:r w:rsidR="0070384D">
        <w:t>, Canada</w:t>
      </w:r>
      <w:r>
        <w:t>); G. Witt of ATI Allegheny Ludlum (Brackenridge, </w:t>
      </w:r>
      <w:r w:rsidR="0070384D">
        <w:t>PA</w:t>
      </w:r>
      <w:r>
        <w:t>); S. Damp of Alcoa Howmet (Whitehall, </w:t>
      </w:r>
      <w:r w:rsidR="0070384D">
        <w:t>MI</w:t>
      </w:r>
      <w:r>
        <w:t>); C. </w:t>
      </w:r>
      <w:proofErr w:type="spellStart"/>
      <w:r>
        <w:t>Polinko</w:t>
      </w:r>
      <w:proofErr w:type="spellEnd"/>
      <w:r>
        <w:t xml:space="preserve"> of Carpenter Technologies</w:t>
      </w:r>
      <w:r w:rsidR="0070384D" w:rsidDel="0070384D">
        <w:t xml:space="preserve"> </w:t>
      </w:r>
      <w:r>
        <w:t>(Reading, Pennsylvania); A. O’Connell of Haynes International (Kokomo, </w:t>
      </w:r>
      <w:r w:rsidR="0070384D">
        <w:t>IN</w:t>
      </w:r>
      <w:r>
        <w:t>); J. Jordan of Huntington Alloys Corp. (Huntington, </w:t>
      </w:r>
      <w:r w:rsidR="0070384D">
        <w:t>WV</w:t>
      </w:r>
      <w:r>
        <w:t xml:space="preserve">); and D. Dorn of ATI </w:t>
      </w:r>
      <w:proofErr w:type="spellStart"/>
      <w:r>
        <w:t>Wah</w:t>
      </w:r>
      <w:proofErr w:type="spellEnd"/>
      <w:r>
        <w:t xml:space="preserve"> Chang (Albany, </w:t>
      </w:r>
      <w:r w:rsidR="0070384D">
        <w:t>OR</w:t>
      </w:r>
      <w:r>
        <w:t>).</w:t>
      </w:r>
    </w:p>
    <w:p w:rsidR="00FA4487" w:rsidRDefault="00FA4487" w:rsidP="0083761E">
      <w:pPr>
        <w:pStyle w:val="BodyText"/>
        <w:jc w:val="both"/>
        <w:rPr>
          <w:bCs/>
        </w:rPr>
      </w:pPr>
    </w:p>
    <w:p w:rsidR="0083761E" w:rsidRPr="000A797B" w:rsidRDefault="00FA4487" w:rsidP="0083761E">
      <w:pPr>
        <w:pStyle w:val="BodyText"/>
        <w:jc w:val="both"/>
        <w:rPr>
          <w:bCs/>
          <w:sz w:val="18"/>
          <w:szCs w:val="16"/>
        </w:rPr>
      </w:pPr>
      <w:r>
        <w:rPr>
          <w:bCs/>
        </w:rPr>
        <w:t>Statistical consultation for this SRM was provided by D.D. </w:t>
      </w:r>
      <w:proofErr w:type="spellStart"/>
      <w:r>
        <w:rPr>
          <w:bCs/>
        </w:rPr>
        <w:t>Leber</w:t>
      </w:r>
      <w:proofErr w:type="spellEnd"/>
      <w:r>
        <w:rPr>
          <w:bCs/>
        </w:rPr>
        <w:t xml:space="preserve"> of the NIST Statistical Engineering Division</w:t>
      </w:r>
    </w:p>
    <w:p w:rsidR="00FA4487" w:rsidRDefault="00FA4487" w:rsidP="00F70A73">
      <w:pPr>
        <w:pStyle w:val="BodyText"/>
        <w:tabs>
          <w:tab w:val="right" w:pos="9360"/>
        </w:tabs>
        <w:jc w:val="both"/>
      </w:pPr>
    </w:p>
    <w:p w:rsidR="00F70A73" w:rsidRPr="008A77CF" w:rsidRDefault="00F70A73" w:rsidP="00F70A73">
      <w:pPr>
        <w:pStyle w:val="BodyText"/>
        <w:tabs>
          <w:tab w:val="right" w:pos="9360"/>
        </w:tabs>
        <w:jc w:val="both"/>
      </w:pPr>
      <w:r w:rsidRPr="008A77CF">
        <w:tab/>
      </w:r>
      <w:r w:rsidR="002B67C2">
        <w:t>Carlos</w:t>
      </w:r>
      <w:r w:rsidR="0083761E">
        <w:t> </w:t>
      </w:r>
      <w:r w:rsidR="002F3478">
        <w:t>A.</w:t>
      </w:r>
      <w:r w:rsidR="0083761E">
        <w:t> </w:t>
      </w:r>
      <w:r w:rsidR="002B67C2">
        <w:t>Gonzalez</w:t>
      </w:r>
      <w:r w:rsidRPr="008A77CF">
        <w:t>, Chief</w:t>
      </w:r>
    </w:p>
    <w:p w:rsidR="00F70A73" w:rsidRPr="008A77CF" w:rsidRDefault="00F70A73" w:rsidP="00F70A73">
      <w:pPr>
        <w:pStyle w:val="BodyText"/>
        <w:tabs>
          <w:tab w:val="right" w:pos="9360"/>
        </w:tabs>
        <w:jc w:val="both"/>
      </w:pPr>
      <w:r w:rsidRPr="008A77CF">
        <w:tab/>
      </w:r>
      <w:r w:rsidR="002B67C2">
        <w:t>Chemical Sciences</w:t>
      </w:r>
      <w:r w:rsidRPr="008A77CF">
        <w:t xml:space="preserve"> Division</w:t>
      </w:r>
    </w:p>
    <w:p w:rsidR="00F70A73" w:rsidRPr="000A797B" w:rsidRDefault="00F70A73" w:rsidP="00F70A73">
      <w:pPr>
        <w:pStyle w:val="BodyText"/>
        <w:jc w:val="both"/>
        <w:rPr>
          <w:sz w:val="18"/>
        </w:rPr>
      </w:pPr>
    </w:p>
    <w:p w:rsidR="00F70A73" w:rsidRPr="008A77CF" w:rsidRDefault="00F70A73" w:rsidP="00F70A73">
      <w:pPr>
        <w:pStyle w:val="Footer"/>
        <w:tabs>
          <w:tab w:val="clear" w:pos="4320"/>
          <w:tab w:val="clear" w:pos="8640"/>
          <w:tab w:val="right" w:pos="9360"/>
        </w:tabs>
        <w:jc w:val="both"/>
        <w:rPr>
          <w:sz w:val="20"/>
        </w:rPr>
      </w:pPr>
      <w:r w:rsidRPr="008A77CF">
        <w:rPr>
          <w:sz w:val="20"/>
        </w:rPr>
        <w:t>Gaithersburg,</w:t>
      </w:r>
      <w:r w:rsidR="0083761E">
        <w:rPr>
          <w:sz w:val="20"/>
        </w:rPr>
        <w:t> </w:t>
      </w:r>
      <w:r w:rsidRPr="008A77CF">
        <w:rPr>
          <w:sz w:val="20"/>
        </w:rPr>
        <w:t>MD</w:t>
      </w:r>
      <w:r w:rsidR="0083761E">
        <w:rPr>
          <w:sz w:val="20"/>
        </w:rPr>
        <w:t> </w:t>
      </w:r>
      <w:r w:rsidRPr="008A77CF">
        <w:rPr>
          <w:sz w:val="20"/>
        </w:rPr>
        <w:t>20899</w:t>
      </w:r>
      <w:r w:rsidRPr="008A77CF">
        <w:rPr>
          <w:sz w:val="20"/>
        </w:rPr>
        <w:tab/>
        <w:t>Robert</w:t>
      </w:r>
      <w:r w:rsidR="0083761E">
        <w:rPr>
          <w:sz w:val="20"/>
        </w:rPr>
        <w:t> </w:t>
      </w:r>
      <w:r w:rsidRPr="008A77CF">
        <w:rPr>
          <w:sz w:val="20"/>
        </w:rPr>
        <w:t>L.</w:t>
      </w:r>
      <w:r w:rsidR="0083761E">
        <w:rPr>
          <w:sz w:val="20"/>
        </w:rPr>
        <w:t> </w:t>
      </w:r>
      <w:r w:rsidRPr="008A77CF">
        <w:rPr>
          <w:sz w:val="20"/>
        </w:rPr>
        <w:t>Watters,</w:t>
      </w:r>
      <w:r w:rsidR="0083761E">
        <w:rPr>
          <w:sz w:val="20"/>
        </w:rPr>
        <w:t> </w:t>
      </w:r>
      <w:r w:rsidRPr="008A77CF">
        <w:rPr>
          <w:sz w:val="20"/>
        </w:rPr>
        <w:t xml:space="preserve">Jr., </w:t>
      </w:r>
      <w:r w:rsidR="003A72F4">
        <w:rPr>
          <w:sz w:val="20"/>
        </w:rPr>
        <w:t>Director</w:t>
      </w:r>
    </w:p>
    <w:p w:rsidR="00F70A73" w:rsidRPr="008A77CF" w:rsidRDefault="00F70A73" w:rsidP="00F70A73">
      <w:pPr>
        <w:pStyle w:val="BodyText"/>
        <w:tabs>
          <w:tab w:val="right" w:pos="9360"/>
        </w:tabs>
        <w:jc w:val="both"/>
      </w:pPr>
      <w:r w:rsidRPr="008A77CF">
        <w:t xml:space="preserve">Certificate Issue Date:  </w:t>
      </w:r>
      <w:r w:rsidR="009C7A61">
        <w:t>05</w:t>
      </w:r>
      <w:r w:rsidR="00E6421D">
        <w:t xml:space="preserve"> February 2014</w:t>
      </w:r>
      <w:r w:rsidRPr="008A77CF">
        <w:tab/>
      </w:r>
      <w:r w:rsidR="00ED45E8">
        <w:t>Office of Reference Materials</w:t>
      </w:r>
    </w:p>
    <w:p w:rsidR="00000603" w:rsidRDefault="00563C1A" w:rsidP="00000603">
      <w:pPr>
        <w:pStyle w:val="BodyText"/>
        <w:rPr>
          <w:i/>
          <w:sz w:val="16"/>
        </w:rPr>
      </w:pPr>
      <w:r>
        <w:rPr>
          <w:i/>
          <w:sz w:val="16"/>
        </w:rPr>
        <w:t xml:space="preserve">Certificate Revision History on </w:t>
      </w:r>
      <w:r w:rsidR="0083761E">
        <w:rPr>
          <w:i/>
          <w:sz w:val="16"/>
        </w:rPr>
        <w:t xml:space="preserve">Last </w:t>
      </w:r>
      <w:r>
        <w:rPr>
          <w:i/>
          <w:sz w:val="16"/>
        </w:rPr>
        <w:t>Page</w:t>
      </w:r>
    </w:p>
    <w:p w:rsidR="006C18A3" w:rsidRDefault="006C18A3" w:rsidP="006C18A3">
      <w:pPr>
        <w:jc w:val="both"/>
        <w:rPr>
          <w:sz w:val="20"/>
        </w:rPr>
      </w:pPr>
      <w:r w:rsidRPr="002B0C7B">
        <w:rPr>
          <w:sz w:val="20"/>
        </w:rPr>
        <w:lastRenderedPageBreak/>
        <w:t>Suppo</w:t>
      </w:r>
      <w:r w:rsidRPr="008A77CF">
        <w:rPr>
          <w:sz w:val="20"/>
        </w:rPr>
        <w:t xml:space="preserve">rt aspects involved in the issuance of this SRM were coordinated through the NIST </w:t>
      </w:r>
      <w:r w:rsidR="00ED45E8">
        <w:rPr>
          <w:sz w:val="20"/>
        </w:rPr>
        <w:t>Office of Reference Materials</w:t>
      </w:r>
      <w:r w:rsidRPr="008A77CF">
        <w:rPr>
          <w:sz w:val="20"/>
        </w:rPr>
        <w:t>.</w:t>
      </w:r>
    </w:p>
    <w:p w:rsidR="006C18A3" w:rsidRDefault="006C18A3" w:rsidP="00334CE2">
      <w:pPr>
        <w:pStyle w:val="BodyText"/>
        <w:jc w:val="both"/>
        <w:rPr>
          <w:b/>
        </w:rPr>
      </w:pPr>
    </w:p>
    <w:p w:rsidR="00334CE2" w:rsidRPr="00410F90" w:rsidRDefault="00334CE2" w:rsidP="00334CE2">
      <w:pPr>
        <w:pStyle w:val="BodyText"/>
        <w:jc w:val="both"/>
        <w:rPr>
          <w:b/>
        </w:rPr>
      </w:pPr>
      <w:r>
        <w:rPr>
          <w:b/>
        </w:rPr>
        <w:t>INSTRUCTIONS FOR USE</w:t>
      </w:r>
    </w:p>
    <w:p w:rsidR="0070384D" w:rsidRDefault="0070384D" w:rsidP="00334CE2">
      <w:pPr>
        <w:pStyle w:val="BodyText"/>
        <w:jc w:val="both"/>
        <w:rPr>
          <w:bCs/>
        </w:rPr>
      </w:pPr>
    </w:p>
    <w:p w:rsidR="00334CE2" w:rsidRDefault="00177E11" w:rsidP="00334CE2">
      <w:pPr>
        <w:pStyle w:val="BodyText"/>
        <w:jc w:val="both"/>
        <w:rPr>
          <w:bCs/>
        </w:rPr>
      </w:pPr>
      <w:r>
        <w:rPr>
          <w:bCs/>
        </w:rPr>
        <w:t xml:space="preserve">The material </w:t>
      </w:r>
      <w:r w:rsidR="000359DD">
        <w:rPr>
          <w:bCs/>
        </w:rPr>
        <w:t xml:space="preserve">must </w:t>
      </w:r>
      <w:r>
        <w:rPr>
          <w:bCs/>
        </w:rPr>
        <w:t>be sampled directly from its original container and used without additional preparation.  The recommended minimum sample mass is 1.0</w:t>
      </w:r>
      <w:r w:rsidR="0083761E">
        <w:rPr>
          <w:bCs/>
        </w:rPr>
        <w:t> </w:t>
      </w:r>
      <w:r>
        <w:rPr>
          <w:bCs/>
        </w:rPr>
        <w:t>g.</w:t>
      </w:r>
      <w:r w:rsidR="000800A3">
        <w:rPr>
          <w:bCs/>
        </w:rPr>
        <w:t xml:space="preserve">  SRM</w:t>
      </w:r>
      <w:r w:rsidR="0083761E">
        <w:rPr>
          <w:bCs/>
        </w:rPr>
        <w:t> </w:t>
      </w:r>
      <w:r w:rsidR="007815B1">
        <w:rPr>
          <w:bCs/>
        </w:rPr>
        <w:t>898</w:t>
      </w:r>
      <w:r w:rsidR="00ED45E8">
        <w:rPr>
          <w:bCs/>
        </w:rPr>
        <w:t xml:space="preserve"> should be stored</w:t>
      </w:r>
      <w:r w:rsidR="000800A3">
        <w:rPr>
          <w:bCs/>
        </w:rPr>
        <w:t xml:space="preserve"> in its original, tightly capped container in a cool, dry location.</w:t>
      </w:r>
    </w:p>
    <w:p w:rsidR="00334CE2" w:rsidRDefault="00334CE2" w:rsidP="00334CE2">
      <w:pPr>
        <w:pStyle w:val="BodyText"/>
        <w:jc w:val="both"/>
        <w:rPr>
          <w:bCs/>
        </w:rPr>
      </w:pPr>
    </w:p>
    <w:p w:rsidR="0083761E" w:rsidRDefault="000D248E" w:rsidP="000D248E">
      <w:pPr>
        <w:pStyle w:val="BodyText"/>
        <w:jc w:val="both"/>
        <w:rPr>
          <w:b/>
        </w:rPr>
      </w:pPr>
      <w:r w:rsidRPr="00AE1D7E">
        <w:rPr>
          <w:b/>
        </w:rPr>
        <w:t>P</w:t>
      </w:r>
      <w:r w:rsidR="0083761E">
        <w:rPr>
          <w:b/>
        </w:rPr>
        <w:t xml:space="preserve">REPARATION AND </w:t>
      </w:r>
      <w:proofErr w:type="gramStart"/>
      <w:r w:rsidR="0083761E">
        <w:rPr>
          <w:b/>
        </w:rPr>
        <w:t>ANALYSIS</w:t>
      </w:r>
      <w:r w:rsidR="0083761E" w:rsidRPr="0059454C">
        <w:rPr>
          <w:b/>
          <w:vertAlign w:val="superscript"/>
        </w:rPr>
        <w:t>(</w:t>
      </w:r>
      <w:proofErr w:type="gramEnd"/>
      <w:r>
        <w:rPr>
          <w:rStyle w:val="FootnoteReference"/>
          <w:b/>
        </w:rPr>
        <w:footnoteReference w:id="1"/>
      </w:r>
      <w:r w:rsidR="0083761E" w:rsidRPr="0059454C">
        <w:rPr>
          <w:b/>
          <w:vertAlign w:val="superscript"/>
        </w:rPr>
        <w:t>)</w:t>
      </w:r>
    </w:p>
    <w:p w:rsidR="0070384D" w:rsidRDefault="0070384D" w:rsidP="000D248E">
      <w:pPr>
        <w:pStyle w:val="BodyText"/>
        <w:jc w:val="both"/>
      </w:pPr>
    </w:p>
    <w:p w:rsidR="000D248E" w:rsidRDefault="000D248E" w:rsidP="000D248E">
      <w:pPr>
        <w:pStyle w:val="BodyText"/>
        <w:jc w:val="both"/>
      </w:pPr>
      <w:r>
        <w:t xml:space="preserve">The preparation of material for </w:t>
      </w:r>
      <w:r w:rsidR="0070384D">
        <w:t>SRM </w:t>
      </w:r>
      <w:r>
        <w:t xml:space="preserve">898 was carried out by the Subcommittee on Trace Elements in </w:t>
      </w:r>
      <w:proofErr w:type="spellStart"/>
      <w:r>
        <w:t>Superalloys</w:t>
      </w:r>
      <w:proofErr w:type="spellEnd"/>
      <w:r>
        <w:t xml:space="preserve"> of the Gas Turbine Panel of the Joint Committee on the Effect of Temperature on the Properties of Metals, consisting of members from ASTM International, the American Society of Mechanical Engineers, and the Metals Properties Council.  The nominal composition of the nickel</w:t>
      </w:r>
      <w:r w:rsidR="0083761E">
        <w:noBreakHyphen/>
      </w:r>
      <w:r>
        <w:t>base alloy contains all elements found in turbine blade applications and was designated “</w:t>
      </w:r>
      <w:proofErr w:type="spellStart"/>
      <w:r>
        <w:t>Tracealloy</w:t>
      </w:r>
      <w:proofErr w:type="spellEnd"/>
      <w:r>
        <w:t>”.  Approximately 135 kg of the “</w:t>
      </w:r>
      <w:proofErr w:type="spellStart"/>
      <w:r>
        <w:t>Tracealloy</w:t>
      </w:r>
      <w:proofErr w:type="spellEnd"/>
      <w:r>
        <w:t>” composition was vacuum induction melted.  Trace element master alloys were added under partial pressure, and a set of ingots, 7.6</w:t>
      </w:r>
      <w:r w:rsidR="0083761E">
        <w:t> </w:t>
      </w:r>
      <w:r>
        <w:t>cm diameter and 76</w:t>
      </w:r>
      <w:r w:rsidR="0083761E">
        <w:t> </w:t>
      </w:r>
      <w:r>
        <w:t>cm long, were statically cast.  Homogeneity studies showed no detectable segregation of the trace elements from top to bottom of the ingots.  At NIST, material from the lot was selected that exhibited minim</w:t>
      </w:r>
      <w:r w:rsidR="000359DD">
        <w:t>al</w:t>
      </w:r>
      <w:r>
        <w:t xml:space="preserve"> piping.  Following complete removal of scale and cold shuts from the periphery of the ingots, the material was converted to fine millings, sieved, and thoroughly blended to form SRM</w:t>
      </w:r>
      <w:r w:rsidR="0083761E">
        <w:t> </w:t>
      </w:r>
      <w:r>
        <w:t xml:space="preserve">898.  </w:t>
      </w:r>
      <w:r>
        <w:rPr>
          <w:bCs/>
        </w:rPr>
        <w:t>Quantitative determinations were performed at NIST and at collaborating laboratories using the test methods listed in Table</w:t>
      </w:r>
      <w:r w:rsidR="0083761E">
        <w:rPr>
          <w:bCs/>
        </w:rPr>
        <w:t> </w:t>
      </w:r>
      <w:r>
        <w:rPr>
          <w:bCs/>
        </w:rPr>
        <w:t>4.  Laboratories and analysts participating in the development and preparation of the materials are listed in Table</w:t>
      </w:r>
      <w:r w:rsidR="0083761E">
        <w:rPr>
          <w:bCs/>
        </w:rPr>
        <w:t> </w:t>
      </w:r>
      <w:r>
        <w:rPr>
          <w:bCs/>
        </w:rPr>
        <w:t>5.</w:t>
      </w:r>
    </w:p>
    <w:p w:rsidR="00435FDE" w:rsidRDefault="00435FDE" w:rsidP="00334CE2">
      <w:pPr>
        <w:pStyle w:val="BodyText"/>
        <w:jc w:val="both"/>
      </w:pPr>
    </w:p>
    <w:p w:rsidR="00710458" w:rsidRPr="00F47B20" w:rsidRDefault="00226C12" w:rsidP="00226C12">
      <w:pPr>
        <w:jc w:val="both"/>
        <w:rPr>
          <w:sz w:val="20"/>
        </w:rPr>
      </w:pPr>
      <w:r w:rsidRPr="00F47B20">
        <w:rPr>
          <w:b/>
          <w:sz w:val="20"/>
        </w:rPr>
        <w:t>Certified Mass Fraction Value</w:t>
      </w:r>
      <w:r w:rsidR="00993B83" w:rsidRPr="00F47B20">
        <w:rPr>
          <w:b/>
          <w:sz w:val="20"/>
        </w:rPr>
        <w:t>s</w:t>
      </w:r>
      <w:r w:rsidRPr="00F47B20">
        <w:rPr>
          <w:b/>
          <w:sz w:val="20"/>
        </w:rPr>
        <w:t>:</w:t>
      </w:r>
      <w:r w:rsidRPr="00F47B20">
        <w:rPr>
          <w:sz w:val="20"/>
        </w:rPr>
        <w:t xml:space="preserve">  </w:t>
      </w:r>
      <w:r w:rsidR="00F47B20" w:rsidRPr="00F47B20">
        <w:rPr>
          <w:sz w:val="20"/>
        </w:rPr>
        <w:t>The values in Table</w:t>
      </w:r>
      <w:r w:rsidR="0083761E">
        <w:rPr>
          <w:sz w:val="20"/>
        </w:rPr>
        <w:t> </w:t>
      </w:r>
      <w:r w:rsidR="00F47B20">
        <w:rPr>
          <w:sz w:val="20"/>
        </w:rPr>
        <w:t>1</w:t>
      </w:r>
      <w:r w:rsidR="00F47B20" w:rsidRPr="00F47B20">
        <w:rPr>
          <w:sz w:val="20"/>
        </w:rPr>
        <w:t xml:space="preserve"> were derived from the combination of results provided by </w:t>
      </w:r>
      <w:r w:rsidR="00F47B20">
        <w:rPr>
          <w:sz w:val="20"/>
        </w:rPr>
        <w:t>NIST and collaborating</w:t>
      </w:r>
      <w:r w:rsidR="00F47B20" w:rsidRPr="00F47B20">
        <w:rPr>
          <w:sz w:val="20"/>
        </w:rPr>
        <w:t xml:space="preserve"> laboratories.   </w:t>
      </w:r>
      <w:r w:rsidR="000D248E" w:rsidRPr="007B12BF">
        <w:rPr>
          <w:sz w:val="20"/>
        </w:rPr>
        <w:t xml:space="preserve">The </w:t>
      </w:r>
      <w:proofErr w:type="spellStart"/>
      <w:r w:rsidR="000D248E" w:rsidRPr="007B12BF">
        <w:rPr>
          <w:sz w:val="20"/>
        </w:rPr>
        <w:t>measurands</w:t>
      </w:r>
      <w:proofErr w:type="spellEnd"/>
      <w:r w:rsidR="000D248E" w:rsidRPr="007B12BF">
        <w:rPr>
          <w:sz w:val="20"/>
        </w:rPr>
        <w:t xml:space="preserve"> are </w:t>
      </w:r>
      <w:r w:rsidR="00E6421D" w:rsidRPr="007B12BF">
        <w:rPr>
          <w:sz w:val="20"/>
        </w:rPr>
        <w:t>the</w:t>
      </w:r>
      <w:r w:rsidR="00E6421D">
        <w:rPr>
          <w:sz w:val="20"/>
        </w:rPr>
        <w:t xml:space="preserve"> </w:t>
      </w:r>
      <w:r w:rsidR="0083761E">
        <w:rPr>
          <w:sz w:val="20"/>
        </w:rPr>
        <w:t xml:space="preserve">total </w:t>
      </w:r>
      <w:r w:rsidR="000D248E" w:rsidRPr="007B12BF">
        <w:rPr>
          <w:sz w:val="20"/>
        </w:rPr>
        <w:t xml:space="preserve">mass fractions of selected elements in </w:t>
      </w:r>
      <w:r w:rsidR="000D248E">
        <w:rPr>
          <w:sz w:val="20"/>
        </w:rPr>
        <w:t>the nickel</w:t>
      </w:r>
      <w:r w:rsidR="0076641C">
        <w:rPr>
          <w:sz w:val="20"/>
        </w:rPr>
        <w:noBreakHyphen/>
      </w:r>
      <w:r w:rsidR="000D248E">
        <w:rPr>
          <w:sz w:val="20"/>
        </w:rPr>
        <w:t>base alloy</w:t>
      </w:r>
      <w:r w:rsidR="000D248E" w:rsidRPr="007B12BF">
        <w:rPr>
          <w:sz w:val="20"/>
        </w:rPr>
        <w:t xml:space="preserve">.  The certified values are </w:t>
      </w:r>
      <w:proofErr w:type="spellStart"/>
      <w:r w:rsidR="000D248E" w:rsidRPr="007B12BF">
        <w:rPr>
          <w:sz w:val="20"/>
        </w:rPr>
        <w:t>metrologically</w:t>
      </w:r>
      <w:proofErr w:type="spellEnd"/>
      <w:r w:rsidR="000D248E" w:rsidRPr="007B12BF">
        <w:rPr>
          <w:sz w:val="20"/>
        </w:rPr>
        <w:t xml:space="preserve"> traceable to the SI unit of </w:t>
      </w:r>
      <w:r w:rsidR="00E6421D">
        <w:rPr>
          <w:sz w:val="20"/>
        </w:rPr>
        <w:t>kilogram and are expressed as milligrams as per kilogram</w:t>
      </w:r>
      <w:r w:rsidR="000D248E" w:rsidRPr="007B12BF">
        <w:rPr>
          <w:sz w:val="20"/>
        </w:rPr>
        <w:t xml:space="preserve">. </w:t>
      </w:r>
      <w:r w:rsidR="000D248E">
        <w:rPr>
          <w:sz w:val="20"/>
        </w:rPr>
        <w:t xml:space="preserve"> </w:t>
      </w:r>
      <w:r w:rsidR="00F47B20" w:rsidRPr="00F47B20">
        <w:rPr>
          <w:sz w:val="20"/>
        </w:rPr>
        <w:t>The values</w:t>
      </w:r>
      <w:r w:rsidR="00ED45E8">
        <w:rPr>
          <w:sz w:val="20"/>
        </w:rPr>
        <w:t xml:space="preserve"> are</w:t>
      </w:r>
      <w:r w:rsidR="00F47B20" w:rsidRPr="00F47B20">
        <w:rPr>
          <w:sz w:val="20"/>
        </w:rPr>
        <w:t xml:space="preserve"> the weighted means of the individual sets of measurements made by the laboratories estimated using a Gaussian random effects model</w:t>
      </w:r>
      <w:r w:rsidR="0083761E">
        <w:rPr>
          <w:sz w:val="20"/>
        </w:rPr>
        <w:t> </w:t>
      </w:r>
      <w:r w:rsidR="00F47B20" w:rsidRPr="00F47B20">
        <w:rPr>
          <w:sz w:val="20"/>
        </w:rPr>
        <w:t>[</w:t>
      </w:r>
      <w:r w:rsidR="00AB3C62">
        <w:rPr>
          <w:sz w:val="20"/>
        </w:rPr>
        <w:t>3</w:t>
      </w:r>
      <w:r w:rsidR="00F47B20" w:rsidRPr="00F47B20">
        <w:rPr>
          <w:sz w:val="20"/>
        </w:rPr>
        <w:t xml:space="preserve">] and the </w:t>
      </w:r>
      <w:proofErr w:type="spellStart"/>
      <w:r w:rsidR="00F47B20" w:rsidRPr="00F47B20">
        <w:rPr>
          <w:sz w:val="20"/>
        </w:rPr>
        <w:t>DerSimonian</w:t>
      </w:r>
      <w:proofErr w:type="spellEnd"/>
      <w:r w:rsidR="0083761E">
        <w:rPr>
          <w:sz w:val="20"/>
        </w:rPr>
        <w:noBreakHyphen/>
      </w:r>
      <w:r w:rsidR="00F47B20" w:rsidRPr="00F47B20">
        <w:rPr>
          <w:sz w:val="20"/>
        </w:rPr>
        <w:t>Laird procedure</w:t>
      </w:r>
      <w:r w:rsidR="0083761E">
        <w:rPr>
          <w:sz w:val="20"/>
        </w:rPr>
        <w:t> </w:t>
      </w:r>
      <w:r w:rsidR="00F47B20" w:rsidRPr="00F47B20">
        <w:rPr>
          <w:sz w:val="20"/>
        </w:rPr>
        <w:t>[</w:t>
      </w:r>
      <w:r w:rsidR="00AB3C62">
        <w:rPr>
          <w:sz w:val="20"/>
        </w:rPr>
        <w:t>4</w:t>
      </w:r>
      <w:proofErr w:type="gramStart"/>
      <w:r w:rsidR="00F47B20" w:rsidRPr="00F47B20">
        <w:rPr>
          <w:sz w:val="20"/>
        </w:rPr>
        <w:t>,</w:t>
      </w:r>
      <w:r w:rsidR="00AB3C62">
        <w:rPr>
          <w:sz w:val="20"/>
        </w:rPr>
        <w:t>5</w:t>
      </w:r>
      <w:proofErr w:type="gramEnd"/>
      <w:r w:rsidR="00F47B20" w:rsidRPr="00F47B20">
        <w:rPr>
          <w:sz w:val="20"/>
        </w:rPr>
        <w:t>].  Each associated measurement uncertainty was evaluated by the application of the parametric statistical bootstrap, consistent with the ISO</w:t>
      </w:r>
      <w:r w:rsidR="0083761E">
        <w:rPr>
          <w:sz w:val="20"/>
        </w:rPr>
        <w:t>/JCGM</w:t>
      </w:r>
      <w:r w:rsidR="00F47B20" w:rsidRPr="00F47B20">
        <w:rPr>
          <w:sz w:val="20"/>
        </w:rPr>
        <w:t xml:space="preserve"> Guide and its Supplement 1</w:t>
      </w:r>
      <w:r w:rsidR="0083761E">
        <w:rPr>
          <w:sz w:val="20"/>
        </w:rPr>
        <w:t> </w:t>
      </w:r>
      <w:r w:rsidR="00F47B20" w:rsidRPr="00F47B20">
        <w:rPr>
          <w:sz w:val="20"/>
        </w:rPr>
        <w:t>[</w:t>
      </w:r>
      <w:r w:rsidR="00AB3C62">
        <w:rPr>
          <w:sz w:val="20"/>
        </w:rPr>
        <w:t>6</w:t>
      </w:r>
      <w:proofErr w:type="gramStart"/>
      <w:r w:rsidR="00F47B20" w:rsidRPr="00F47B20">
        <w:rPr>
          <w:sz w:val="20"/>
        </w:rPr>
        <w:t>,</w:t>
      </w:r>
      <w:r w:rsidR="00AB3C62">
        <w:rPr>
          <w:sz w:val="20"/>
        </w:rPr>
        <w:t>7</w:t>
      </w:r>
      <w:proofErr w:type="gramEnd"/>
      <w:r w:rsidR="00F47B20" w:rsidRPr="00F47B20">
        <w:rPr>
          <w:sz w:val="20"/>
        </w:rPr>
        <w:t xml:space="preserve">].  The uncertainty is expressed as an expanded uncertainty, </w:t>
      </w:r>
      <w:r w:rsidR="00F47B20" w:rsidRPr="00F47B20">
        <w:rPr>
          <w:i/>
          <w:sz w:val="20"/>
        </w:rPr>
        <w:t>U</w:t>
      </w:r>
      <w:r w:rsidR="00F47B20" w:rsidRPr="00F47B20">
        <w:rPr>
          <w:sz w:val="20"/>
        </w:rPr>
        <w:t xml:space="preserve">, represented as </w:t>
      </w:r>
      <w:r w:rsidR="00F47B20" w:rsidRPr="00F47B20">
        <w:rPr>
          <w:i/>
          <w:sz w:val="20"/>
        </w:rPr>
        <w:t>U</w:t>
      </w:r>
      <w:r w:rsidR="0083761E">
        <w:rPr>
          <w:sz w:val="20"/>
        </w:rPr>
        <w:t> </w:t>
      </w:r>
      <w:r w:rsidR="00F47B20" w:rsidRPr="00F47B20">
        <w:rPr>
          <w:sz w:val="20"/>
        </w:rPr>
        <w:t>=</w:t>
      </w:r>
      <w:r w:rsidR="0083761E">
        <w:rPr>
          <w:sz w:val="20"/>
        </w:rPr>
        <w:t> </w:t>
      </w:r>
      <w:proofErr w:type="spellStart"/>
      <w:r w:rsidR="00F47B20" w:rsidRPr="00F47B20">
        <w:rPr>
          <w:i/>
          <w:sz w:val="20"/>
        </w:rPr>
        <w:t>ku</w:t>
      </w:r>
      <w:r w:rsidR="00F47B20" w:rsidRPr="00F47B20">
        <w:rPr>
          <w:sz w:val="20"/>
          <w:vertAlign w:val="subscript"/>
        </w:rPr>
        <w:t>c</w:t>
      </w:r>
      <w:proofErr w:type="spellEnd"/>
      <w:r w:rsidR="00F47B20" w:rsidRPr="00F47B20">
        <w:rPr>
          <w:sz w:val="20"/>
        </w:rPr>
        <w:t xml:space="preserve">, where </w:t>
      </w:r>
      <w:proofErr w:type="spellStart"/>
      <w:r w:rsidR="00F47B20" w:rsidRPr="00F47B20">
        <w:rPr>
          <w:i/>
          <w:sz w:val="20"/>
        </w:rPr>
        <w:t>u</w:t>
      </w:r>
      <w:r w:rsidR="00F47B20" w:rsidRPr="00F47B20">
        <w:rPr>
          <w:sz w:val="20"/>
          <w:vertAlign w:val="subscript"/>
        </w:rPr>
        <w:t>c</w:t>
      </w:r>
      <w:proofErr w:type="spellEnd"/>
      <w:r w:rsidR="00F47B20" w:rsidRPr="00F47B20">
        <w:rPr>
          <w:sz w:val="20"/>
        </w:rPr>
        <w:t xml:space="preserve"> is intended to represent, at the level of one standard deviation, the combined effect of between</w:t>
      </w:r>
      <w:r w:rsidR="0083761E">
        <w:rPr>
          <w:sz w:val="20"/>
        </w:rPr>
        <w:noBreakHyphen/>
      </w:r>
      <w:r w:rsidR="00F47B20" w:rsidRPr="00F47B20">
        <w:rPr>
          <w:sz w:val="20"/>
        </w:rPr>
        <w:t>laboratory, within</w:t>
      </w:r>
      <w:r w:rsidR="0083761E">
        <w:rPr>
          <w:sz w:val="20"/>
        </w:rPr>
        <w:noBreakHyphen/>
      </w:r>
      <w:r w:rsidR="00F47B20" w:rsidRPr="00F47B20">
        <w:rPr>
          <w:sz w:val="20"/>
        </w:rPr>
        <w:t>laboratory, and inhomogeneity components of uncertainty.  The coverage factor</w:t>
      </w:r>
      <w:r w:rsidR="0083761E">
        <w:rPr>
          <w:sz w:val="20"/>
        </w:rPr>
        <w:t> </w:t>
      </w:r>
      <w:r w:rsidR="00F47B20" w:rsidRPr="00F47B20">
        <w:rPr>
          <w:sz w:val="20"/>
        </w:rPr>
        <w:t>(</w:t>
      </w:r>
      <w:r w:rsidR="00F47B20" w:rsidRPr="00F47B20">
        <w:rPr>
          <w:i/>
          <w:sz w:val="20"/>
        </w:rPr>
        <w:t>k</w:t>
      </w:r>
      <w:r w:rsidR="00F47B20" w:rsidRPr="00F47B20">
        <w:rPr>
          <w:sz w:val="20"/>
        </w:rPr>
        <w:t>) corresponds to an approximately 95</w:t>
      </w:r>
      <w:r w:rsidR="0083761E">
        <w:rPr>
          <w:sz w:val="20"/>
        </w:rPr>
        <w:t> </w:t>
      </w:r>
      <w:r w:rsidR="00F47B20" w:rsidRPr="00F47B20">
        <w:rPr>
          <w:sz w:val="20"/>
        </w:rPr>
        <w:t>% confidence level for each analyte.</w:t>
      </w:r>
      <w:r w:rsidR="00ED45E8">
        <w:rPr>
          <w:sz w:val="20"/>
        </w:rPr>
        <w:t xml:space="preserve">  </w:t>
      </w:r>
    </w:p>
    <w:p w:rsidR="00710458" w:rsidRDefault="00710458" w:rsidP="00226C12">
      <w:pPr>
        <w:jc w:val="both"/>
        <w:rPr>
          <w:sz w:val="20"/>
        </w:rPr>
      </w:pPr>
    </w:p>
    <w:p w:rsidR="00D1136A" w:rsidRDefault="005575A4" w:rsidP="007C7B00">
      <w:pPr>
        <w:pStyle w:val="Heading1"/>
        <w:rPr>
          <w:b w:val="0"/>
          <w:bCs/>
          <w:sz w:val="20"/>
        </w:rPr>
      </w:pPr>
      <w:r w:rsidRPr="000F4F61">
        <w:rPr>
          <w:b w:val="0"/>
          <w:bCs/>
          <w:sz w:val="20"/>
        </w:rPr>
        <w:t>Table</w:t>
      </w:r>
      <w:r w:rsidR="0083761E">
        <w:rPr>
          <w:b w:val="0"/>
          <w:bCs/>
          <w:sz w:val="20"/>
        </w:rPr>
        <w:t> </w:t>
      </w:r>
      <w:r w:rsidRPr="000F4F61">
        <w:rPr>
          <w:b w:val="0"/>
          <w:bCs/>
          <w:sz w:val="20"/>
        </w:rPr>
        <w:t xml:space="preserve">1.  Certified </w:t>
      </w:r>
      <w:r w:rsidR="002B67C2">
        <w:rPr>
          <w:b w:val="0"/>
          <w:bCs/>
          <w:sz w:val="20"/>
        </w:rPr>
        <w:t xml:space="preserve">Mass Fraction </w:t>
      </w:r>
      <w:r w:rsidRPr="000F4F61">
        <w:rPr>
          <w:b w:val="0"/>
          <w:bCs/>
          <w:sz w:val="20"/>
        </w:rPr>
        <w:t>Value</w:t>
      </w:r>
      <w:r w:rsidR="00140568">
        <w:rPr>
          <w:b w:val="0"/>
          <w:bCs/>
          <w:sz w:val="20"/>
        </w:rPr>
        <w:t>s</w:t>
      </w:r>
      <w:r w:rsidRPr="000F4F61">
        <w:rPr>
          <w:b w:val="0"/>
          <w:bCs/>
          <w:sz w:val="20"/>
        </w:rPr>
        <w:t xml:space="preserve"> for SRM</w:t>
      </w:r>
      <w:r w:rsidR="0083761E">
        <w:rPr>
          <w:b w:val="0"/>
          <w:bCs/>
          <w:sz w:val="20"/>
        </w:rPr>
        <w:t> </w:t>
      </w:r>
      <w:r w:rsidR="007815B1">
        <w:rPr>
          <w:b w:val="0"/>
          <w:bCs/>
          <w:sz w:val="20"/>
        </w:rPr>
        <w:t>898</w:t>
      </w:r>
      <w:r w:rsidR="00D1136A">
        <w:rPr>
          <w:b w:val="0"/>
          <w:bCs/>
          <w:sz w:val="20"/>
        </w:rPr>
        <w:t xml:space="preserve"> </w:t>
      </w:r>
    </w:p>
    <w:p w:rsidR="00E26678" w:rsidRPr="00E26678" w:rsidRDefault="00E26678" w:rsidP="00E26678">
      <w:pPr>
        <w:jc w:val="center"/>
        <w:rPr>
          <w:sz w:val="20"/>
        </w:rPr>
      </w:pPr>
    </w:p>
    <w:tbl>
      <w:tblPr>
        <w:tblW w:w="0" w:type="auto"/>
        <w:jc w:val="center"/>
        <w:tblLook w:val="0000" w:firstRow="0" w:lastRow="0" w:firstColumn="0" w:lastColumn="0" w:noHBand="0" w:noVBand="0"/>
      </w:tblPr>
      <w:tblGrid>
        <w:gridCol w:w="2088"/>
        <w:gridCol w:w="2088"/>
        <w:gridCol w:w="2088"/>
      </w:tblGrid>
      <w:tr w:rsidR="00993B83" w:rsidTr="004D3EBD">
        <w:trPr>
          <w:trHeight w:val="288"/>
          <w:jc w:val="center"/>
        </w:trPr>
        <w:tc>
          <w:tcPr>
            <w:tcW w:w="2088" w:type="dxa"/>
          </w:tcPr>
          <w:p w:rsidR="00993B83" w:rsidRPr="00993B83" w:rsidRDefault="00993B83" w:rsidP="004D3EBD">
            <w:pPr>
              <w:tabs>
                <w:tab w:val="left" w:pos="812"/>
              </w:tabs>
              <w:jc w:val="center"/>
              <w:rPr>
                <w:bCs/>
                <w:sz w:val="20"/>
              </w:rPr>
            </w:pPr>
            <w:r w:rsidRPr="00993B83">
              <w:rPr>
                <w:bCs/>
                <w:sz w:val="20"/>
              </w:rPr>
              <w:t>Constituent</w:t>
            </w:r>
          </w:p>
        </w:tc>
        <w:tc>
          <w:tcPr>
            <w:tcW w:w="2088" w:type="dxa"/>
          </w:tcPr>
          <w:p w:rsidR="00993B83" w:rsidRPr="00993B83" w:rsidRDefault="00993B83" w:rsidP="004D3EBD">
            <w:pPr>
              <w:tabs>
                <w:tab w:val="decimal" w:pos="396"/>
                <w:tab w:val="left" w:pos="846"/>
                <w:tab w:val="decimal" w:pos="1296"/>
              </w:tabs>
              <w:jc w:val="center"/>
              <w:rPr>
                <w:bCs/>
                <w:sz w:val="20"/>
              </w:rPr>
            </w:pPr>
            <w:r w:rsidRPr="00993B83">
              <w:rPr>
                <w:bCs/>
                <w:sz w:val="20"/>
              </w:rPr>
              <w:t>Mass Fraction</w:t>
            </w:r>
          </w:p>
          <w:p w:rsidR="00993B83" w:rsidRPr="00993B83" w:rsidRDefault="00993B83" w:rsidP="004D3EBD">
            <w:pPr>
              <w:tabs>
                <w:tab w:val="decimal" w:pos="396"/>
                <w:tab w:val="left" w:pos="846"/>
                <w:tab w:val="decimal" w:pos="1296"/>
              </w:tabs>
              <w:jc w:val="center"/>
              <w:rPr>
                <w:bCs/>
                <w:sz w:val="20"/>
              </w:rPr>
            </w:pPr>
            <w:r>
              <w:rPr>
                <w:bCs/>
                <w:sz w:val="20"/>
              </w:rPr>
              <w:t>(mg/kg</w:t>
            </w:r>
            <w:r w:rsidRPr="00993B83">
              <w:rPr>
                <w:bCs/>
                <w:sz w:val="20"/>
              </w:rPr>
              <w:t>)</w:t>
            </w:r>
          </w:p>
          <w:p w:rsidR="00993B83" w:rsidRPr="00993B83" w:rsidRDefault="00993B83" w:rsidP="004D3EBD">
            <w:pPr>
              <w:tabs>
                <w:tab w:val="decimal" w:pos="396"/>
                <w:tab w:val="left" w:pos="846"/>
                <w:tab w:val="decimal" w:pos="1296"/>
              </w:tabs>
              <w:jc w:val="center"/>
              <w:rPr>
                <w:bCs/>
                <w:sz w:val="20"/>
              </w:rPr>
            </w:pPr>
          </w:p>
        </w:tc>
        <w:tc>
          <w:tcPr>
            <w:tcW w:w="2088" w:type="dxa"/>
          </w:tcPr>
          <w:p w:rsidR="00993B83" w:rsidRPr="00993B83" w:rsidRDefault="00993B83" w:rsidP="004D3EBD">
            <w:pPr>
              <w:tabs>
                <w:tab w:val="left" w:pos="738"/>
              </w:tabs>
              <w:jc w:val="center"/>
              <w:rPr>
                <w:bCs/>
                <w:sz w:val="20"/>
              </w:rPr>
            </w:pPr>
            <w:r w:rsidRPr="00993B83">
              <w:rPr>
                <w:bCs/>
                <w:sz w:val="20"/>
              </w:rPr>
              <w:t xml:space="preserve">Coverage Factor, </w:t>
            </w:r>
            <w:r w:rsidRPr="001A0300">
              <w:rPr>
                <w:bCs/>
                <w:i/>
                <w:sz w:val="20"/>
              </w:rPr>
              <w:t>k</w:t>
            </w:r>
          </w:p>
          <w:p w:rsidR="00993B83" w:rsidRPr="00993B83" w:rsidRDefault="00993B83" w:rsidP="004D3EBD">
            <w:pPr>
              <w:tabs>
                <w:tab w:val="left" w:pos="738"/>
              </w:tabs>
              <w:jc w:val="center"/>
              <w:rPr>
                <w:bCs/>
                <w:sz w:val="20"/>
              </w:rPr>
            </w:pPr>
          </w:p>
        </w:tc>
      </w:tr>
      <w:tr w:rsidR="00DE7179" w:rsidTr="00993B83">
        <w:trPr>
          <w:trHeight w:val="288"/>
          <w:jc w:val="center"/>
        </w:trPr>
        <w:tc>
          <w:tcPr>
            <w:tcW w:w="2088" w:type="dxa"/>
            <w:vAlign w:val="center"/>
          </w:tcPr>
          <w:p w:rsidR="00DE7179" w:rsidRPr="009D248E" w:rsidRDefault="00DE7179" w:rsidP="007815B1">
            <w:pPr>
              <w:tabs>
                <w:tab w:val="left" w:pos="414"/>
              </w:tabs>
              <w:rPr>
                <w:bCs/>
                <w:sz w:val="20"/>
              </w:rPr>
            </w:pPr>
            <w:r>
              <w:rPr>
                <w:bCs/>
                <w:sz w:val="20"/>
              </w:rPr>
              <w:tab/>
            </w:r>
            <w:r w:rsidR="007815B1">
              <w:rPr>
                <w:bCs/>
                <w:sz w:val="20"/>
              </w:rPr>
              <w:t>Lead (</w:t>
            </w:r>
            <w:proofErr w:type="spellStart"/>
            <w:r>
              <w:rPr>
                <w:bCs/>
                <w:sz w:val="20"/>
              </w:rPr>
              <w:t>Pb</w:t>
            </w:r>
            <w:proofErr w:type="spellEnd"/>
            <w:r w:rsidR="007815B1">
              <w:rPr>
                <w:bCs/>
                <w:sz w:val="20"/>
              </w:rPr>
              <w:t>)</w:t>
            </w:r>
          </w:p>
        </w:tc>
        <w:tc>
          <w:tcPr>
            <w:tcW w:w="2088" w:type="dxa"/>
            <w:vAlign w:val="center"/>
          </w:tcPr>
          <w:p w:rsidR="00DE7179" w:rsidRPr="009D248E" w:rsidRDefault="00DE7179" w:rsidP="007815B1">
            <w:pPr>
              <w:tabs>
                <w:tab w:val="decimal" w:pos="306"/>
                <w:tab w:val="left" w:pos="846"/>
                <w:tab w:val="decimal" w:pos="1296"/>
              </w:tabs>
              <w:rPr>
                <w:bCs/>
                <w:sz w:val="20"/>
              </w:rPr>
            </w:pPr>
            <w:r>
              <w:rPr>
                <w:bCs/>
                <w:sz w:val="20"/>
              </w:rPr>
              <w:tab/>
            </w:r>
            <w:r w:rsidR="00DB5932">
              <w:rPr>
                <w:bCs/>
                <w:sz w:val="20"/>
              </w:rPr>
              <w:t>2.</w:t>
            </w:r>
            <w:r w:rsidR="007815B1">
              <w:rPr>
                <w:bCs/>
                <w:sz w:val="20"/>
              </w:rPr>
              <w:t>0</w:t>
            </w:r>
            <w:r w:rsidR="00DB5932">
              <w:rPr>
                <w:bCs/>
                <w:sz w:val="20"/>
              </w:rPr>
              <w:t>8</w:t>
            </w:r>
            <w:r>
              <w:rPr>
                <w:bCs/>
                <w:sz w:val="20"/>
              </w:rPr>
              <w:tab/>
            </w:r>
            <w:r w:rsidR="00561389" w:rsidRPr="00A26A5D">
              <w:rPr>
                <w:sz w:val="20"/>
              </w:rPr>
              <w:sym w:font="Symbol" w:char="F0B1"/>
            </w:r>
            <w:r>
              <w:rPr>
                <w:bCs/>
                <w:sz w:val="20"/>
              </w:rPr>
              <w:tab/>
              <w:t>0.</w:t>
            </w:r>
            <w:r w:rsidR="007815B1">
              <w:rPr>
                <w:bCs/>
                <w:sz w:val="20"/>
              </w:rPr>
              <w:t>1</w:t>
            </w:r>
            <w:r w:rsidR="00DB5932">
              <w:rPr>
                <w:bCs/>
                <w:sz w:val="20"/>
              </w:rPr>
              <w:t>2</w:t>
            </w:r>
          </w:p>
        </w:tc>
        <w:tc>
          <w:tcPr>
            <w:tcW w:w="2088" w:type="dxa"/>
            <w:vAlign w:val="center"/>
          </w:tcPr>
          <w:p w:rsidR="00DE7179" w:rsidRPr="009D248E" w:rsidRDefault="00DE7179" w:rsidP="00DB5932">
            <w:pPr>
              <w:tabs>
                <w:tab w:val="left" w:pos="738"/>
              </w:tabs>
              <w:rPr>
                <w:bCs/>
                <w:sz w:val="20"/>
              </w:rPr>
            </w:pPr>
            <w:r>
              <w:rPr>
                <w:bCs/>
                <w:sz w:val="20"/>
              </w:rPr>
              <w:tab/>
            </w:r>
            <w:r w:rsidR="0089607C">
              <w:rPr>
                <w:bCs/>
                <w:sz w:val="20"/>
              </w:rPr>
              <w:t>2</w:t>
            </w:r>
            <w:r w:rsidR="004D3EBD">
              <w:rPr>
                <w:bCs/>
                <w:sz w:val="20"/>
              </w:rPr>
              <w:t>.</w:t>
            </w:r>
            <w:r w:rsidR="00DB5932">
              <w:rPr>
                <w:bCs/>
                <w:sz w:val="20"/>
              </w:rPr>
              <w:t>0</w:t>
            </w:r>
          </w:p>
        </w:tc>
      </w:tr>
      <w:tr w:rsidR="00DE7179" w:rsidTr="00993B83">
        <w:trPr>
          <w:trHeight w:val="288"/>
          <w:jc w:val="center"/>
        </w:trPr>
        <w:tc>
          <w:tcPr>
            <w:tcW w:w="2088" w:type="dxa"/>
            <w:vAlign w:val="center"/>
          </w:tcPr>
          <w:p w:rsidR="00DE7179" w:rsidRPr="009D248E" w:rsidRDefault="00DE7179" w:rsidP="007815B1">
            <w:pPr>
              <w:tabs>
                <w:tab w:val="left" w:pos="414"/>
              </w:tabs>
              <w:rPr>
                <w:bCs/>
                <w:sz w:val="20"/>
              </w:rPr>
            </w:pPr>
            <w:r>
              <w:rPr>
                <w:bCs/>
                <w:sz w:val="20"/>
              </w:rPr>
              <w:tab/>
            </w:r>
            <w:r w:rsidR="007815B1">
              <w:rPr>
                <w:bCs/>
                <w:sz w:val="20"/>
              </w:rPr>
              <w:t>Selenium (</w:t>
            </w:r>
            <w:r>
              <w:rPr>
                <w:bCs/>
                <w:sz w:val="20"/>
              </w:rPr>
              <w:t>S</w:t>
            </w:r>
            <w:r w:rsidR="004D3EBD">
              <w:rPr>
                <w:bCs/>
                <w:sz w:val="20"/>
              </w:rPr>
              <w:t>e</w:t>
            </w:r>
            <w:r w:rsidR="007815B1">
              <w:rPr>
                <w:bCs/>
                <w:sz w:val="20"/>
              </w:rPr>
              <w:t>)</w:t>
            </w:r>
          </w:p>
        </w:tc>
        <w:tc>
          <w:tcPr>
            <w:tcW w:w="2088" w:type="dxa"/>
            <w:vAlign w:val="center"/>
          </w:tcPr>
          <w:p w:rsidR="00DE7179" w:rsidRPr="009D248E" w:rsidRDefault="00DE7179" w:rsidP="00B02FE5">
            <w:pPr>
              <w:tabs>
                <w:tab w:val="decimal" w:pos="306"/>
                <w:tab w:val="left" w:pos="846"/>
                <w:tab w:val="decimal" w:pos="1296"/>
              </w:tabs>
              <w:rPr>
                <w:bCs/>
                <w:sz w:val="20"/>
              </w:rPr>
            </w:pPr>
            <w:r>
              <w:rPr>
                <w:bCs/>
                <w:sz w:val="20"/>
              </w:rPr>
              <w:tab/>
            </w:r>
            <w:r w:rsidR="00DB5932">
              <w:rPr>
                <w:bCs/>
                <w:sz w:val="20"/>
              </w:rPr>
              <w:t>2.00</w:t>
            </w:r>
            <w:r>
              <w:rPr>
                <w:bCs/>
                <w:sz w:val="20"/>
              </w:rPr>
              <w:tab/>
            </w:r>
            <w:r w:rsidR="00561389" w:rsidRPr="00A26A5D">
              <w:rPr>
                <w:sz w:val="20"/>
              </w:rPr>
              <w:sym w:font="Symbol" w:char="F0B1"/>
            </w:r>
            <w:r>
              <w:rPr>
                <w:bCs/>
                <w:sz w:val="20"/>
              </w:rPr>
              <w:tab/>
              <w:t>0.</w:t>
            </w:r>
            <w:r w:rsidR="007815B1">
              <w:rPr>
                <w:bCs/>
                <w:sz w:val="20"/>
              </w:rPr>
              <w:t>1</w:t>
            </w:r>
            <w:r w:rsidR="00DB5932">
              <w:rPr>
                <w:bCs/>
                <w:sz w:val="20"/>
              </w:rPr>
              <w:t>0</w:t>
            </w:r>
          </w:p>
        </w:tc>
        <w:tc>
          <w:tcPr>
            <w:tcW w:w="2088" w:type="dxa"/>
            <w:vAlign w:val="center"/>
          </w:tcPr>
          <w:p w:rsidR="00DE7179" w:rsidRPr="009D248E" w:rsidRDefault="00DE7179" w:rsidP="0089607C">
            <w:pPr>
              <w:tabs>
                <w:tab w:val="left" w:pos="738"/>
              </w:tabs>
              <w:rPr>
                <w:bCs/>
                <w:sz w:val="20"/>
              </w:rPr>
            </w:pPr>
            <w:r>
              <w:rPr>
                <w:bCs/>
                <w:sz w:val="20"/>
              </w:rPr>
              <w:tab/>
            </w:r>
            <w:r w:rsidR="0089607C">
              <w:rPr>
                <w:bCs/>
                <w:sz w:val="20"/>
              </w:rPr>
              <w:t>2.</w:t>
            </w:r>
            <w:r w:rsidR="00DB5932">
              <w:rPr>
                <w:bCs/>
                <w:sz w:val="20"/>
              </w:rPr>
              <w:t>0</w:t>
            </w:r>
          </w:p>
        </w:tc>
      </w:tr>
      <w:tr w:rsidR="00DE7179" w:rsidTr="00993B83">
        <w:trPr>
          <w:trHeight w:val="288"/>
          <w:jc w:val="center"/>
        </w:trPr>
        <w:tc>
          <w:tcPr>
            <w:tcW w:w="2088" w:type="dxa"/>
            <w:vAlign w:val="center"/>
          </w:tcPr>
          <w:p w:rsidR="00DE7179" w:rsidRPr="009D248E" w:rsidRDefault="004D3EBD" w:rsidP="007815B1">
            <w:pPr>
              <w:tabs>
                <w:tab w:val="left" w:pos="414"/>
              </w:tabs>
              <w:rPr>
                <w:bCs/>
                <w:sz w:val="20"/>
              </w:rPr>
            </w:pPr>
            <w:r>
              <w:rPr>
                <w:bCs/>
                <w:sz w:val="20"/>
              </w:rPr>
              <w:tab/>
              <w:t>T</w:t>
            </w:r>
            <w:r w:rsidR="00DE7179">
              <w:rPr>
                <w:bCs/>
                <w:sz w:val="20"/>
              </w:rPr>
              <w:t>e</w:t>
            </w:r>
            <w:r w:rsidR="007815B1">
              <w:rPr>
                <w:bCs/>
                <w:sz w:val="20"/>
              </w:rPr>
              <w:t>llurium (</w:t>
            </w:r>
            <w:proofErr w:type="spellStart"/>
            <w:r w:rsidR="007815B1">
              <w:rPr>
                <w:bCs/>
                <w:sz w:val="20"/>
              </w:rPr>
              <w:t>Te</w:t>
            </w:r>
            <w:proofErr w:type="spellEnd"/>
            <w:r w:rsidR="007815B1">
              <w:rPr>
                <w:bCs/>
                <w:sz w:val="20"/>
              </w:rPr>
              <w:t>)</w:t>
            </w:r>
          </w:p>
        </w:tc>
        <w:tc>
          <w:tcPr>
            <w:tcW w:w="2088" w:type="dxa"/>
            <w:vAlign w:val="center"/>
          </w:tcPr>
          <w:p w:rsidR="00DE7179" w:rsidRPr="009D248E" w:rsidRDefault="00DE7179" w:rsidP="00DB5932">
            <w:pPr>
              <w:tabs>
                <w:tab w:val="decimal" w:pos="306"/>
                <w:tab w:val="left" w:pos="846"/>
                <w:tab w:val="decimal" w:pos="1296"/>
              </w:tabs>
              <w:rPr>
                <w:bCs/>
                <w:sz w:val="20"/>
              </w:rPr>
            </w:pPr>
            <w:r>
              <w:rPr>
                <w:bCs/>
                <w:sz w:val="20"/>
              </w:rPr>
              <w:tab/>
            </w:r>
            <w:r w:rsidR="007815B1">
              <w:rPr>
                <w:bCs/>
                <w:sz w:val="20"/>
              </w:rPr>
              <w:t>0.62</w:t>
            </w:r>
            <w:r w:rsidR="00DB5932">
              <w:rPr>
                <w:bCs/>
                <w:sz w:val="20"/>
              </w:rPr>
              <w:t>2</w:t>
            </w:r>
            <w:r>
              <w:rPr>
                <w:bCs/>
                <w:sz w:val="20"/>
              </w:rPr>
              <w:tab/>
            </w:r>
            <w:r w:rsidR="00561389" w:rsidRPr="00A26A5D">
              <w:rPr>
                <w:sz w:val="20"/>
              </w:rPr>
              <w:sym w:font="Symbol" w:char="F0B1"/>
            </w:r>
            <w:r>
              <w:rPr>
                <w:bCs/>
                <w:sz w:val="20"/>
              </w:rPr>
              <w:tab/>
              <w:t>0.</w:t>
            </w:r>
            <w:r w:rsidR="007815B1">
              <w:rPr>
                <w:bCs/>
                <w:sz w:val="20"/>
              </w:rPr>
              <w:t>06</w:t>
            </w:r>
            <w:r w:rsidR="00DB5932">
              <w:rPr>
                <w:bCs/>
                <w:sz w:val="20"/>
              </w:rPr>
              <w:t>7</w:t>
            </w:r>
          </w:p>
        </w:tc>
        <w:tc>
          <w:tcPr>
            <w:tcW w:w="2088" w:type="dxa"/>
            <w:vAlign w:val="center"/>
          </w:tcPr>
          <w:p w:rsidR="00DE7179" w:rsidRPr="009D248E" w:rsidRDefault="00DE7179" w:rsidP="007815B1">
            <w:pPr>
              <w:tabs>
                <w:tab w:val="left" w:pos="738"/>
              </w:tabs>
              <w:rPr>
                <w:bCs/>
                <w:sz w:val="20"/>
              </w:rPr>
            </w:pPr>
            <w:r>
              <w:rPr>
                <w:bCs/>
                <w:sz w:val="20"/>
              </w:rPr>
              <w:tab/>
            </w:r>
            <w:r w:rsidR="0089607C">
              <w:rPr>
                <w:bCs/>
                <w:sz w:val="20"/>
              </w:rPr>
              <w:t>2.</w:t>
            </w:r>
            <w:r w:rsidR="00DB5932">
              <w:rPr>
                <w:bCs/>
                <w:sz w:val="20"/>
              </w:rPr>
              <w:t>0</w:t>
            </w:r>
          </w:p>
        </w:tc>
      </w:tr>
      <w:tr w:rsidR="00DE7179" w:rsidTr="00993B83">
        <w:trPr>
          <w:trHeight w:val="288"/>
          <w:jc w:val="center"/>
        </w:trPr>
        <w:tc>
          <w:tcPr>
            <w:tcW w:w="2088" w:type="dxa"/>
            <w:vAlign w:val="center"/>
          </w:tcPr>
          <w:p w:rsidR="00DE7179" w:rsidRPr="009D248E" w:rsidRDefault="00DE7179" w:rsidP="007815B1">
            <w:pPr>
              <w:tabs>
                <w:tab w:val="left" w:pos="414"/>
              </w:tabs>
              <w:rPr>
                <w:bCs/>
                <w:sz w:val="20"/>
              </w:rPr>
            </w:pPr>
            <w:r>
              <w:rPr>
                <w:bCs/>
                <w:sz w:val="20"/>
              </w:rPr>
              <w:tab/>
            </w:r>
            <w:r w:rsidR="007815B1">
              <w:rPr>
                <w:bCs/>
                <w:sz w:val="20"/>
              </w:rPr>
              <w:t>Thallium (</w:t>
            </w:r>
            <w:r>
              <w:rPr>
                <w:bCs/>
                <w:sz w:val="20"/>
              </w:rPr>
              <w:t>T</w:t>
            </w:r>
            <w:r w:rsidR="004D3EBD">
              <w:rPr>
                <w:bCs/>
                <w:sz w:val="20"/>
              </w:rPr>
              <w:t>l</w:t>
            </w:r>
            <w:r w:rsidR="007815B1">
              <w:rPr>
                <w:bCs/>
                <w:sz w:val="20"/>
              </w:rPr>
              <w:t>)</w:t>
            </w:r>
          </w:p>
        </w:tc>
        <w:tc>
          <w:tcPr>
            <w:tcW w:w="2088" w:type="dxa"/>
            <w:vAlign w:val="center"/>
          </w:tcPr>
          <w:p w:rsidR="00DE7179" w:rsidRPr="009D248E" w:rsidRDefault="004C322E" w:rsidP="004C322E">
            <w:pPr>
              <w:tabs>
                <w:tab w:val="decimal" w:pos="306"/>
                <w:tab w:val="left" w:pos="846"/>
                <w:tab w:val="decimal" w:pos="1296"/>
              </w:tabs>
              <w:rPr>
                <w:bCs/>
                <w:sz w:val="20"/>
              </w:rPr>
            </w:pPr>
            <w:r>
              <w:rPr>
                <w:bCs/>
                <w:sz w:val="20"/>
              </w:rPr>
              <w:tab/>
              <w:t>2.8</w:t>
            </w:r>
            <w:r w:rsidR="00DB5932">
              <w:rPr>
                <w:bCs/>
                <w:sz w:val="20"/>
              </w:rPr>
              <w:t>5</w:t>
            </w:r>
            <w:r w:rsidR="00DE7179">
              <w:rPr>
                <w:bCs/>
                <w:sz w:val="20"/>
              </w:rPr>
              <w:tab/>
            </w:r>
            <w:r w:rsidR="00561389" w:rsidRPr="00A26A5D">
              <w:rPr>
                <w:sz w:val="20"/>
              </w:rPr>
              <w:sym w:font="Symbol" w:char="F0B1"/>
            </w:r>
            <w:r w:rsidR="00DE7179">
              <w:rPr>
                <w:bCs/>
                <w:sz w:val="20"/>
              </w:rPr>
              <w:tab/>
              <w:t>0.</w:t>
            </w:r>
            <w:r w:rsidR="00DB5932">
              <w:rPr>
                <w:bCs/>
                <w:sz w:val="20"/>
              </w:rPr>
              <w:t>1</w:t>
            </w:r>
            <w:r>
              <w:rPr>
                <w:bCs/>
                <w:sz w:val="20"/>
              </w:rPr>
              <w:t>4</w:t>
            </w:r>
          </w:p>
        </w:tc>
        <w:tc>
          <w:tcPr>
            <w:tcW w:w="2088" w:type="dxa"/>
            <w:vAlign w:val="center"/>
          </w:tcPr>
          <w:p w:rsidR="00DE7179" w:rsidRPr="009D248E" w:rsidRDefault="00DE7179" w:rsidP="004C322E">
            <w:pPr>
              <w:tabs>
                <w:tab w:val="left" w:pos="738"/>
              </w:tabs>
              <w:rPr>
                <w:bCs/>
                <w:sz w:val="20"/>
              </w:rPr>
            </w:pPr>
            <w:r>
              <w:rPr>
                <w:bCs/>
                <w:sz w:val="20"/>
              </w:rPr>
              <w:tab/>
            </w:r>
            <w:r w:rsidR="0089607C">
              <w:rPr>
                <w:bCs/>
                <w:sz w:val="20"/>
              </w:rPr>
              <w:t>2.</w:t>
            </w:r>
            <w:r w:rsidR="00DB5932">
              <w:rPr>
                <w:bCs/>
                <w:sz w:val="20"/>
              </w:rPr>
              <w:t>0</w:t>
            </w:r>
          </w:p>
        </w:tc>
      </w:tr>
    </w:tbl>
    <w:p w:rsidR="0076641C" w:rsidRDefault="0076641C">
      <w:pPr>
        <w:rPr>
          <w:b/>
          <w:sz w:val="20"/>
        </w:rPr>
      </w:pPr>
    </w:p>
    <w:p w:rsidR="0052132D" w:rsidRDefault="00226C12" w:rsidP="007327F0">
      <w:pPr>
        <w:pStyle w:val="BodyText"/>
        <w:jc w:val="both"/>
      </w:pPr>
      <w:r w:rsidRPr="00226C12">
        <w:rPr>
          <w:b/>
        </w:rPr>
        <w:t>Reference Mass Fraction Values:</w:t>
      </w:r>
      <w:r w:rsidRPr="00226C12">
        <w:t xml:space="preserve">  The values in Table</w:t>
      </w:r>
      <w:r w:rsidR="0083761E">
        <w:t> </w:t>
      </w:r>
      <w:r w:rsidRPr="00226C12">
        <w:t xml:space="preserve">2 were derived from the combination of results provided by </w:t>
      </w:r>
      <w:r w:rsidR="0009522C">
        <w:t>collaborating</w:t>
      </w:r>
      <w:r w:rsidR="007327F0">
        <w:t xml:space="preserve"> laboratories</w:t>
      </w:r>
      <w:r w:rsidR="0009522C">
        <w:t xml:space="preserve">. </w:t>
      </w:r>
      <w:r w:rsidR="007327F0">
        <w:t xml:space="preserve"> </w:t>
      </w:r>
      <w:r w:rsidR="000D248E" w:rsidRPr="007B12BF">
        <w:t xml:space="preserve">The </w:t>
      </w:r>
      <w:proofErr w:type="spellStart"/>
      <w:r w:rsidR="000D248E" w:rsidRPr="007B12BF">
        <w:t>measurands</w:t>
      </w:r>
      <w:proofErr w:type="spellEnd"/>
      <w:r w:rsidR="000D248E" w:rsidRPr="007B12BF">
        <w:t xml:space="preserve"> are the mass fractions of selected elements in </w:t>
      </w:r>
      <w:r w:rsidR="000D248E">
        <w:t>the nickel</w:t>
      </w:r>
      <w:r w:rsidR="0083761E">
        <w:noBreakHyphen/>
      </w:r>
      <w:r w:rsidR="000D248E">
        <w:t xml:space="preserve">base alloy, </w:t>
      </w:r>
      <w:r w:rsidR="00FA50C0">
        <w:t xml:space="preserve">as </w:t>
      </w:r>
      <w:r w:rsidR="00E6421D">
        <w:t>determined</w:t>
      </w:r>
      <w:r w:rsidR="00E6421D" w:rsidRPr="00854174">
        <w:t xml:space="preserve"> </w:t>
      </w:r>
      <w:r w:rsidR="000D248E" w:rsidRPr="00854174">
        <w:t>by the listed test methods</w:t>
      </w:r>
      <w:r w:rsidR="000359DD">
        <w:t xml:space="preserve"> in Table 4</w:t>
      </w:r>
      <w:r w:rsidR="000D248E" w:rsidRPr="007B12BF">
        <w:t xml:space="preserve">.  The </w:t>
      </w:r>
      <w:r w:rsidR="000D248E">
        <w:t>reference</w:t>
      </w:r>
      <w:r w:rsidR="000D248E" w:rsidRPr="007B12BF">
        <w:t xml:space="preserve"> values are </w:t>
      </w:r>
      <w:proofErr w:type="spellStart"/>
      <w:r w:rsidR="000D248E" w:rsidRPr="007B12BF">
        <w:t>metrologically</w:t>
      </w:r>
      <w:proofErr w:type="spellEnd"/>
      <w:r w:rsidR="000D248E" w:rsidRPr="007B12BF">
        <w:t xml:space="preserve"> traceable to the SI unit </w:t>
      </w:r>
      <w:r w:rsidR="00E6421D" w:rsidRPr="007B12BF">
        <w:t xml:space="preserve">of </w:t>
      </w:r>
      <w:r w:rsidR="00E6421D">
        <w:t>kilogram and are expressed as milligrams as per kilogram</w:t>
      </w:r>
      <w:r w:rsidR="000D248E" w:rsidRPr="007B12BF">
        <w:t xml:space="preserve">. </w:t>
      </w:r>
      <w:r w:rsidR="000D248E">
        <w:t xml:space="preserve"> </w:t>
      </w:r>
      <w:r w:rsidR="00710458">
        <w:t>T</w:t>
      </w:r>
      <w:r w:rsidRPr="00226C12">
        <w:t xml:space="preserve">he values </w:t>
      </w:r>
      <w:r w:rsidR="00ED45E8">
        <w:t xml:space="preserve">are </w:t>
      </w:r>
      <w:r w:rsidRPr="00226C12">
        <w:t xml:space="preserve">the weighted means of the individual sets of measurements made </w:t>
      </w:r>
      <w:r w:rsidR="007327F0">
        <w:t xml:space="preserve">by the </w:t>
      </w:r>
      <w:r w:rsidRPr="00226C12">
        <w:t>laboratories estimated using a Gaussian random effects model</w:t>
      </w:r>
      <w:r w:rsidR="00561389">
        <w:t> </w:t>
      </w:r>
      <w:r w:rsidRPr="00226C12">
        <w:t>[</w:t>
      </w:r>
      <w:r w:rsidR="003C7A9A">
        <w:t>3</w:t>
      </w:r>
      <w:r w:rsidRPr="00226C12">
        <w:t xml:space="preserve">] and the </w:t>
      </w:r>
      <w:proofErr w:type="spellStart"/>
      <w:r w:rsidRPr="00226C12">
        <w:t>DerSimonian</w:t>
      </w:r>
      <w:proofErr w:type="spellEnd"/>
      <w:r w:rsidR="00FA50C0">
        <w:noBreakHyphen/>
      </w:r>
      <w:bookmarkStart w:id="0" w:name="_GoBack"/>
      <w:bookmarkEnd w:id="0"/>
      <w:r w:rsidRPr="00226C12">
        <w:t>Laird procedure</w:t>
      </w:r>
      <w:r w:rsidR="00561389">
        <w:t> </w:t>
      </w:r>
      <w:r w:rsidRPr="00226C12">
        <w:t>[</w:t>
      </w:r>
      <w:r w:rsidR="003C7A9A">
        <w:t>4</w:t>
      </w:r>
      <w:r w:rsidR="0052132D">
        <w:t>,</w:t>
      </w:r>
      <w:r w:rsidR="003C7A9A">
        <w:t>5</w:t>
      </w:r>
      <w:r w:rsidRPr="00226C12">
        <w:t xml:space="preserve">].  </w:t>
      </w:r>
      <w:r w:rsidR="00710458">
        <w:t>Each</w:t>
      </w:r>
      <w:r w:rsidRPr="00226C12">
        <w:t xml:space="preserve"> associated measurement uncertainty was evaluated by the application of the parametric statistical bootstrap, consistent with the </w:t>
      </w:r>
      <w:r w:rsidR="0052132D" w:rsidRPr="00226C12">
        <w:t>ISO</w:t>
      </w:r>
      <w:r w:rsidR="0076641C">
        <w:t>/JCGM</w:t>
      </w:r>
      <w:r w:rsidR="0052132D" w:rsidRPr="00226C12">
        <w:t xml:space="preserve"> Guide and its </w:t>
      </w:r>
      <w:r w:rsidRPr="00226C12">
        <w:t>Supplement</w:t>
      </w:r>
      <w:r w:rsidR="00561389">
        <w:t> </w:t>
      </w:r>
      <w:r w:rsidRPr="00226C12">
        <w:t>1</w:t>
      </w:r>
      <w:r w:rsidR="00561389">
        <w:t> </w:t>
      </w:r>
      <w:r w:rsidRPr="00226C12">
        <w:t>[</w:t>
      </w:r>
      <w:r w:rsidR="003C7A9A">
        <w:t>6</w:t>
      </w:r>
      <w:proofErr w:type="gramStart"/>
      <w:r w:rsidR="0052132D">
        <w:t>,</w:t>
      </w:r>
      <w:r w:rsidR="003C7A9A">
        <w:t>7</w:t>
      </w:r>
      <w:proofErr w:type="gramEnd"/>
      <w:r w:rsidRPr="00226C12">
        <w:t xml:space="preserve">].  </w:t>
      </w:r>
      <w:r w:rsidR="00900754">
        <w:t>The</w:t>
      </w:r>
      <w:r w:rsidR="00900754" w:rsidRPr="00226C12">
        <w:t xml:space="preserve"> uncertaint</w:t>
      </w:r>
      <w:r w:rsidR="00900754">
        <w:t>y</w:t>
      </w:r>
      <w:r w:rsidR="00900754" w:rsidRPr="00226C12">
        <w:t xml:space="preserve"> </w:t>
      </w:r>
      <w:r w:rsidR="00900754">
        <w:t>is</w:t>
      </w:r>
      <w:r w:rsidR="00900754" w:rsidRPr="00226C12">
        <w:t xml:space="preserve"> expressed as an expanded uncertainty, </w:t>
      </w:r>
      <w:r w:rsidR="00900754" w:rsidRPr="00B77B65">
        <w:rPr>
          <w:i/>
        </w:rPr>
        <w:t>U</w:t>
      </w:r>
      <w:r w:rsidR="00900754" w:rsidRPr="00226C12">
        <w:t xml:space="preserve">, represented as </w:t>
      </w:r>
      <w:r w:rsidR="00900754" w:rsidRPr="00B77B65">
        <w:rPr>
          <w:i/>
        </w:rPr>
        <w:t>U</w:t>
      </w:r>
      <w:r w:rsidR="00561389">
        <w:rPr>
          <w:i/>
        </w:rPr>
        <w:t> </w:t>
      </w:r>
      <w:r w:rsidR="00900754" w:rsidRPr="00226C12">
        <w:t>=</w:t>
      </w:r>
      <w:r w:rsidR="00561389">
        <w:t> </w:t>
      </w:r>
      <w:proofErr w:type="spellStart"/>
      <w:r w:rsidR="00900754" w:rsidRPr="00B77B65">
        <w:rPr>
          <w:i/>
        </w:rPr>
        <w:t>ku</w:t>
      </w:r>
      <w:r w:rsidR="00900754" w:rsidRPr="00B77B65">
        <w:rPr>
          <w:vertAlign w:val="subscript"/>
        </w:rPr>
        <w:t>c</w:t>
      </w:r>
      <w:proofErr w:type="spellEnd"/>
      <w:r w:rsidR="00900754" w:rsidRPr="00226C12">
        <w:t xml:space="preserve">, where </w:t>
      </w:r>
      <w:proofErr w:type="spellStart"/>
      <w:r w:rsidR="00900754" w:rsidRPr="00B77B65">
        <w:rPr>
          <w:i/>
        </w:rPr>
        <w:t>u</w:t>
      </w:r>
      <w:r w:rsidR="00900754" w:rsidRPr="00B77B65">
        <w:rPr>
          <w:vertAlign w:val="subscript"/>
        </w:rPr>
        <w:t>c</w:t>
      </w:r>
      <w:proofErr w:type="spellEnd"/>
      <w:r w:rsidR="00900754" w:rsidRPr="00226C12">
        <w:t xml:space="preserve"> is intended to represent, at the level of one standard deviation, the combined effect of between-laboratory, within</w:t>
      </w:r>
      <w:r w:rsidR="00561389">
        <w:noBreakHyphen/>
      </w:r>
      <w:r w:rsidR="00900754" w:rsidRPr="00226C12">
        <w:t xml:space="preserve">laboratory, and inhomogeneity components of uncertainty.  </w:t>
      </w:r>
      <w:r w:rsidR="00900754" w:rsidRPr="00900754">
        <w:t>The coverage factor</w:t>
      </w:r>
      <w:r w:rsidR="00561389">
        <w:t> </w:t>
      </w:r>
      <w:r w:rsidR="00900754" w:rsidRPr="00900754">
        <w:t>(</w:t>
      </w:r>
      <w:r w:rsidR="00900754" w:rsidRPr="007327F0">
        <w:rPr>
          <w:i/>
        </w:rPr>
        <w:t>k</w:t>
      </w:r>
      <w:r w:rsidR="00900754" w:rsidRPr="00900754">
        <w:t xml:space="preserve">) corresponds to </w:t>
      </w:r>
      <w:r w:rsidR="002B67C2">
        <w:t xml:space="preserve">an </w:t>
      </w:r>
      <w:r w:rsidR="00900754" w:rsidRPr="00900754">
        <w:t>approximately 95</w:t>
      </w:r>
      <w:r w:rsidR="00561389">
        <w:t> </w:t>
      </w:r>
      <w:r w:rsidR="00900754" w:rsidRPr="00900754">
        <w:t>% confidence level for each analyte.</w:t>
      </w:r>
      <w:r w:rsidR="00900754">
        <w:t xml:space="preserve">  </w:t>
      </w:r>
    </w:p>
    <w:p w:rsidR="000F76F8" w:rsidRDefault="000F76F8" w:rsidP="007327F0">
      <w:pPr>
        <w:pStyle w:val="BodyText"/>
        <w:jc w:val="both"/>
      </w:pPr>
    </w:p>
    <w:p w:rsidR="005924EB" w:rsidRDefault="005575A4" w:rsidP="007C7B00">
      <w:pPr>
        <w:pStyle w:val="BodyText"/>
        <w:jc w:val="center"/>
        <w:rPr>
          <w:bCs/>
        </w:rPr>
      </w:pPr>
      <w:proofErr w:type="gramStart"/>
      <w:r w:rsidRPr="005924EB">
        <w:t>Table</w:t>
      </w:r>
      <w:r w:rsidR="00561389">
        <w:t> </w:t>
      </w:r>
      <w:r w:rsidR="00224461" w:rsidRPr="005924EB">
        <w:t>2</w:t>
      </w:r>
      <w:r w:rsidRPr="005924EB">
        <w:t>.</w:t>
      </w:r>
      <w:proofErr w:type="gramEnd"/>
      <w:r w:rsidRPr="005924EB">
        <w:t xml:space="preserve">  </w:t>
      </w:r>
      <w:r w:rsidR="003266EF" w:rsidRPr="005924EB">
        <w:t>Reference</w:t>
      </w:r>
      <w:r w:rsidRPr="005924EB">
        <w:t xml:space="preserve"> </w:t>
      </w:r>
      <w:r w:rsidR="002B67C2">
        <w:t xml:space="preserve">Mass Fraction </w:t>
      </w:r>
      <w:r w:rsidRPr="005924EB">
        <w:t>Value</w:t>
      </w:r>
      <w:r w:rsidR="007435CD">
        <w:t>s</w:t>
      </w:r>
      <w:r w:rsidRPr="005924EB">
        <w:t xml:space="preserve"> for </w:t>
      </w:r>
      <w:r w:rsidR="00561389">
        <w:t>SRM </w:t>
      </w:r>
      <w:r w:rsidR="007815B1">
        <w:rPr>
          <w:bCs/>
        </w:rPr>
        <w:t>898</w:t>
      </w:r>
      <w:r w:rsidR="005924EB" w:rsidRPr="005924EB">
        <w:rPr>
          <w:bCs/>
        </w:rPr>
        <w:t xml:space="preserve"> </w:t>
      </w:r>
    </w:p>
    <w:p w:rsidR="00E26678" w:rsidRPr="00C54DCF" w:rsidRDefault="00E26678" w:rsidP="00C54DCF">
      <w:pPr>
        <w:pStyle w:val="BodyText"/>
        <w:jc w:val="center"/>
        <w:rPr>
          <w:bCs/>
        </w:rPr>
      </w:pPr>
    </w:p>
    <w:tbl>
      <w:tblPr>
        <w:tblW w:w="0" w:type="auto"/>
        <w:jc w:val="center"/>
        <w:tblLook w:val="0000" w:firstRow="0" w:lastRow="0" w:firstColumn="0" w:lastColumn="0" w:noHBand="0" w:noVBand="0"/>
      </w:tblPr>
      <w:tblGrid>
        <w:gridCol w:w="2106"/>
        <w:gridCol w:w="2070"/>
        <w:gridCol w:w="2088"/>
      </w:tblGrid>
      <w:tr w:rsidR="009B7C5A" w:rsidTr="009B7C5A">
        <w:trPr>
          <w:trHeight w:val="634"/>
          <w:jc w:val="center"/>
        </w:trPr>
        <w:tc>
          <w:tcPr>
            <w:tcW w:w="2106" w:type="dxa"/>
          </w:tcPr>
          <w:p w:rsidR="009B7C5A" w:rsidRDefault="009B7C5A" w:rsidP="00603B9C">
            <w:pPr>
              <w:pStyle w:val="BodyText"/>
              <w:jc w:val="center"/>
            </w:pPr>
            <w:r>
              <w:t>Constituent</w:t>
            </w:r>
          </w:p>
        </w:tc>
        <w:tc>
          <w:tcPr>
            <w:tcW w:w="2070" w:type="dxa"/>
          </w:tcPr>
          <w:p w:rsidR="009B7C5A" w:rsidRDefault="009B7C5A" w:rsidP="00603B9C">
            <w:pPr>
              <w:pStyle w:val="BodyText"/>
              <w:jc w:val="center"/>
            </w:pPr>
            <w:r>
              <w:t xml:space="preserve">Mass Fraction </w:t>
            </w:r>
          </w:p>
          <w:p w:rsidR="009B7C5A" w:rsidRDefault="00140568" w:rsidP="00603B9C">
            <w:pPr>
              <w:pStyle w:val="BodyText"/>
              <w:jc w:val="center"/>
            </w:pPr>
            <w:r>
              <w:t>(mg/kg</w:t>
            </w:r>
            <w:r w:rsidR="009B7C5A">
              <w:t>)</w:t>
            </w:r>
          </w:p>
          <w:p w:rsidR="009B7C5A" w:rsidRDefault="009B7C5A" w:rsidP="00603B9C">
            <w:pPr>
              <w:pStyle w:val="BodyText"/>
              <w:jc w:val="center"/>
            </w:pPr>
          </w:p>
        </w:tc>
        <w:tc>
          <w:tcPr>
            <w:tcW w:w="2088" w:type="dxa"/>
          </w:tcPr>
          <w:p w:rsidR="009B7C5A" w:rsidRPr="002B67C2" w:rsidRDefault="009B7C5A" w:rsidP="00B70D71">
            <w:pPr>
              <w:pStyle w:val="BodyText"/>
              <w:jc w:val="center"/>
            </w:pPr>
            <w:r>
              <w:t>Coverage Factor</w:t>
            </w:r>
            <w:r w:rsidR="002B67C2">
              <w:t xml:space="preserve">, </w:t>
            </w:r>
            <w:r w:rsidR="002B67C2">
              <w:rPr>
                <w:i/>
              </w:rPr>
              <w:t>k</w:t>
            </w:r>
          </w:p>
          <w:p w:rsidR="009B7C5A" w:rsidRDefault="009B7C5A" w:rsidP="0079712C">
            <w:pPr>
              <w:pStyle w:val="BodyText"/>
              <w:jc w:val="center"/>
            </w:pPr>
          </w:p>
        </w:tc>
      </w:tr>
      <w:tr w:rsidR="00D94637" w:rsidTr="009B7C5A">
        <w:trPr>
          <w:trHeight w:val="288"/>
          <w:jc w:val="center"/>
        </w:trPr>
        <w:tc>
          <w:tcPr>
            <w:tcW w:w="2106" w:type="dxa"/>
            <w:vAlign w:val="center"/>
          </w:tcPr>
          <w:p w:rsidR="00D94637" w:rsidRPr="009D248E" w:rsidRDefault="00D94637" w:rsidP="005F77D0">
            <w:pPr>
              <w:tabs>
                <w:tab w:val="left" w:pos="414"/>
              </w:tabs>
              <w:rPr>
                <w:bCs/>
                <w:sz w:val="20"/>
              </w:rPr>
            </w:pPr>
            <w:r>
              <w:rPr>
                <w:bCs/>
                <w:sz w:val="20"/>
              </w:rPr>
              <w:tab/>
              <w:t>Antimony (Sb)</w:t>
            </w:r>
          </w:p>
        </w:tc>
        <w:tc>
          <w:tcPr>
            <w:tcW w:w="2070" w:type="dxa"/>
            <w:vAlign w:val="center"/>
          </w:tcPr>
          <w:p w:rsidR="00D94637" w:rsidRPr="009D248E" w:rsidRDefault="00DB5932" w:rsidP="005F77D0">
            <w:pPr>
              <w:tabs>
                <w:tab w:val="decimal" w:pos="342"/>
                <w:tab w:val="left" w:pos="882"/>
                <w:tab w:val="decimal" w:pos="1278"/>
              </w:tabs>
              <w:rPr>
                <w:bCs/>
                <w:sz w:val="20"/>
              </w:rPr>
            </w:pPr>
            <w:r>
              <w:rPr>
                <w:bCs/>
                <w:sz w:val="20"/>
              </w:rPr>
              <w:tab/>
              <w:t>1.49</w:t>
            </w:r>
            <w:r w:rsidR="00D94637">
              <w:rPr>
                <w:bCs/>
                <w:sz w:val="20"/>
              </w:rPr>
              <w:tab/>
            </w:r>
            <w:r w:rsidR="00561389" w:rsidRPr="00A26A5D">
              <w:rPr>
                <w:sz w:val="20"/>
              </w:rPr>
              <w:sym w:font="Symbol" w:char="F0B1"/>
            </w:r>
            <w:r w:rsidR="00D94637">
              <w:rPr>
                <w:bCs/>
                <w:sz w:val="20"/>
              </w:rPr>
              <w:tab/>
              <w:t>0.</w:t>
            </w:r>
            <w:r>
              <w:rPr>
                <w:bCs/>
                <w:sz w:val="20"/>
              </w:rPr>
              <w:t>09</w:t>
            </w:r>
          </w:p>
        </w:tc>
        <w:tc>
          <w:tcPr>
            <w:tcW w:w="2088" w:type="dxa"/>
            <w:vAlign w:val="center"/>
          </w:tcPr>
          <w:p w:rsidR="00D94637" w:rsidRPr="009D248E" w:rsidRDefault="00D94637" w:rsidP="00DB5932">
            <w:pPr>
              <w:tabs>
                <w:tab w:val="decimal" w:pos="878"/>
              </w:tabs>
              <w:rPr>
                <w:bCs/>
                <w:sz w:val="20"/>
              </w:rPr>
            </w:pPr>
            <w:r>
              <w:rPr>
                <w:bCs/>
                <w:sz w:val="20"/>
              </w:rPr>
              <w:t>2.</w:t>
            </w:r>
            <w:r w:rsidR="00DB5932">
              <w:rPr>
                <w:bCs/>
                <w:sz w:val="20"/>
              </w:rPr>
              <w:t>0</w:t>
            </w:r>
          </w:p>
        </w:tc>
      </w:tr>
      <w:tr w:rsidR="00D94637" w:rsidTr="009B7C5A">
        <w:trPr>
          <w:trHeight w:val="288"/>
          <w:jc w:val="center"/>
        </w:trPr>
        <w:tc>
          <w:tcPr>
            <w:tcW w:w="2106" w:type="dxa"/>
            <w:vAlign w:val="center"/>
          </w:tcPr>
          <w:p w:rsidR="00D94637" w:rsidRPr="009D248E" w:rsidRDefault="00D94637" w:rsidP="007815B1">
            <w:pPr>
              <w:tabs>
                <w:tab w:val="left" w:pos="414"/>
              </w:tabs>
              <w:rPr>
                <w:bCs/>
                <w:sz w:val="20"/>
              </w:rPr>
            </w:pPr>
            <w:r>
              <w:rPr>
                <w:bCs/>
                <w:sz w:val="20"/>
              </w:rPr>
              <w:tab/>
              <w:t>Bismuth (Bi)</w:t>
            </w:r>
          </w:p>
        </w:tc>
        <w:tc>
          <w:tcPr>
            <w:tcW w:w="2070" w:type="dxa"/>
            <w:vAlign w:val="center"/>
          </w:tcPr>
          <w:p w:rsidR="00D94637" w:rsidRPr="009D248E" w:rsidRDefault="00DB5932" w:rsidP="004C322E">
            <w:pPr>
              <w:tabs>
                <w:tab w:val="decimal" w:pos="342"/>
                <w:tab w:val="left" w:pos="882"/>
                <w:tab w:val="decimal" w:pos="972"/>
                <w:tab w:val="decimal" w:pos="1278"/>
              </w:tabs>
              <w:rPr>
                <w:bCs/>
                <w:sz w:val="20"/>
              </w:rPr>
            </w:pPr>
            <w:r>
              <w:rPr>
                <w:bCs/>
                <w:sz w:val="20"/>
              </w:rPr>
              <w:tab/>
              <w:t>1.03</w:t>
            </w:r>
            <w:r w:rsidR="00D94637">
              <w:rPr>
                <w:bCs/>
                <w:sz w:val="20"/>
              </w:rPr>
              <w:tab/>
            </w:r>
            <w:r w:rsidR="00561389" w:rsidRPr="00A26A5D">
              <w:rPr>
                <w:sz w:val="20"/>
              </w:rPr>
              <w:sym w:font="Symbol" w:char="F0B1"/>
            </w:r>
            <w:r w:rsidR="00D94637">
              <w:rPr>
                <w:bCs/>
                <w:sz w:val="20"/>
              </w:rPr>
              <w:tab/>
              <w:t>0.0</w:t>
            </w:r>
            <w:r>
              <w:rPr>
                <w:bCs/>
                <w:sz w:val="20"/>
              </w:rPr>
              <w:t>5</w:t>
            </w:r>
          </w:p>
        </w:tc>
        <w:tc>
          <w:tcPr>
            <w:tcW w:w="2088" w:type="dxa"/>
            <w:vAlign w:val="center"/>
          </w:tcPr>
          <w:p w:rsidR="00D94637" w:rsidRPr="009D248E" w:rsidRDefault="00D94637" w:rsidP="004C322E">
            <w:pPr>
              <w:tabs>
                <w:tab w:val="decimal" w:pos="878"/>
              </w:tabs>
              <w:rPr>
                <w:bCs/>
                <w:sz w:val="20"/>
              </w:rPr>
            </w:pPr>
            <w:r>
              <w:rPr>
                <w:bCs/>
                <w:sz w:val="20"/>
              </w:rPr>
              <w:t>2.</w:t>
            </w:r>
            <w:r w:rsidR="004C322E">
              <w:rPr>
                <w:bCs/>
                <w:sz w:val="20"/>
              </w:rPr>
              <w:t>0</w:t>
            </w:r>
          </w:p>
        </w:tc>
      </w:tr>
      <w:tr w:rsidR="00D94637" w:rsidTr="009B7C5A">
        <w:trPr>
          <w:trHeight w:val="288"/>
          <w:jc w:val="center"/>
        </w:trPr>
        <w:tc>
          <w:tcPr>
            <w:tcW w:w="2106" w:type="dxa"/>
            <w:vAlign w:val="center"/>
          </w:tcPr>
          <w:p w:rsidR="00D94637" w:rsidRPr="009D248E" w:rsidRDefault="00D94637" w:rsidP="007815B1">
            <w:pPr>
              <w:tabs>
                <w:tab w:val="left" w:pos="414"/>
              </w:tabs>
              <w:rPr>
                <w:bCs/>
                <w:sz w:val="20"/>
              </w:rPr>
            </w:pPr>
            <w:r>
              <w:rPr>
                <w:bCs/>
                <w:sz w:val="20"/>
              </w:rPr>
              <w:tab/>
              <w:t>Gallium (Ga)</w:t>
            </w:r>
          </w:p>
        </w:tc>
        <w:tc>
          <w:tcPr>
            <w:tcW w:w="2070" w:type="dxa"/>
            <w:vAlign w:val="center"/>
          </w:tcPr>
          <w:p w:rsidR="00D94637" w:rsidRPr="009D248E" w:rsidRDefault="00D94637" w:rsidP="00F26BF8">
            <w:pPr>
              <w:tabs>
                <w:tab w:val="decimal" w:pos="342"/>
                <w:tab w:val="left" w:pos="882"/>
                <w:tab w:val="decimal" w:pos="1278"/>
              </w:tabs>
              <w:rPr>
                <w:bCs/>
                <w:sz w:val="20"/>
              </w:rPr>
            </w:pPr>
            <w:r>
              <w:rPr>
                <w:bCs/>
                <w:sz w:val="20"/>
              </w:rPr>
              <w:tab/>
              <w:t>6.3</w:t>
            </w:r>
            <w:r>
              <w:rPr>
                <w:bCs/>
                <w:sz w:val="20"/>
              </w:rPr>
              <w:tab/>
            </w:r>
            <w:r w:rsidR="00561389" w:rsidRPr="00A26A5D">
              <w:rPr>
                <w:sz w:val="20"/>
              </w:rPr>
              <w:sym w:font="Symbol" w:char="F0B1"/>
            </w:r>
            <w:r>
              <w:rPr>
                <w:bCs/>
                <w:sz w:val="20"/>
              </w:rPr>
              <w:tab/>
              <w:t>0.</w:t>
            </w:r>
            <w:r w:rsidR="00DB5932">
              <w:rPr>
                <w:bCs/>
                <w:sz w:val="20"/>
              </w:rPr>
              <w:t>4</w:t>
            </w:r>
          </w:p>
        </w:tc>
        <w:tc>
          <w:tcPr>
            <w:tcW w:w="2088" w:type="dxa"/>
            <w:vAlign w:val="center"/>
          </w:tcPr>
          <w:p w:rsidR="00D94637" w:rsidRPr="009D248E" w:rsidRDefault="00D94637" w:rsidP="00BA3092">
            <w:pPr>
              <w:tabs>
                <w:tab w:val="decimal" w:pos="878"/>
              </w:tabs>
              <w:rPr>
                <w:bCs/>
                <w:sz w:val="20"/>
              </w:rPr>
            </w:pPr>
            <w:r>
              <w:rPr>
                <w:bCs/>
                <w:sz w:val="20"/>
              </w:rPr>
              <w:t>2.</w:t>
            </w:r>
            <w:r w:rsidR="00DB5932">
              <w:rPr>
                <w:bCs/>
                <w:sz w:val="20"/>
              </w:rPr>
              <w:t>0</w:t>
            </w:r>
          </w:p>
        </w:tc>
      </w:tr>
      <w:tr w:rsidR="00DB5932" w:rsidTr="009B7C5A">
        <w:trPr>
          <w:trHeight w:val="288"/>
          <w:jc w:val="center"/>
        </w:trPr>
        <w:tc>
          <w:tcPr>
            <w:tcW w:w="2106" w:type="dxa"/>
            <w:vAlign w:val="center"/>
          </w:tcPr>
          <w:p w:rsidR="00DB5932" w:rsidRPr="009D248E" w:rsidRDefault="00DB5932" w:rsidP="00DB5932">
            <w:pPr>
              <w:tabs>
                <w:tab w:val="left" w:pos="414"/>
              </w:tabs>
              <w:rPr>
                <w:bCs/>
                <w:sz w:val="20"/>
              </w:rPr>
            </w:pPr>
            <w:r>
              <w:rPr>
                <w:bCs/>
                <w:sz w:val="20"/>
              </w:rPr>
              <w:tab/>
              <w:t>Silver (Ag)</w:t>
            </w:r>
          </w:p>
        </w:tc>
        <w:tc>
          <w:tcPr>
            <w:tcW w:w="2070" w:type="dxa"/>
            <w:vAlign w:val="center"/>
          </w:tcPr>
          <w:p w:rsidR="00DB5932" w:rsidRPr="009D248E" w:rsidRDefault="00DB5932" w:rsidP="00012E26">
            <w:pPr>
              <w:tabs>
                <w:tab w:val="decimal" w:pos="342"/>
                <w:tab w:val="left" w:pos="882"/>
                <w:tab w:val="decimal" w:pos="1278"/>
              </w:tabs>
              <w:rPr>
                <w:bCs/>
                <w:sz w:val="20"/>
              </w:rPr>
            </w:pPr>
            <w:r>
              <w:rPr>
                <w:bCs/>
                <w:sz w:val="20"/>
              </w:rPr>
              <w:tab/>
              <w:t>0.9</w:t>
            </w:r>
            <w:r>
              <w:rPr>
                <w:bCs/>
                <w:sz w:val="20"/>
              </w:rPr>
              <w:tab/>
            </w:r>
            <w:r w:rsidR="00561389" w:rsidRPr="00A26A5D">
              <w:rPr>
                <w:sz w:val="20"/>
              </w:rPr>
              <w:sym w:font="Symbol" w:char="F0B1"/>
            </w:r>
            <w:r>
              <w:rPr>
                <w:bCs/>
                <w:sz w:val="20"/>
              </w:rPr>
              <w:tab/>
              <w:t>0.6</w:t>
            </w:r>
          </w:p>
        </w:tc>
        <w:tc>
          <w:tcPr>
            <w:tcW w:w="2088" w:type="dxa"/>
            <w:vAlign w:val="center"/>
          </w:tcPr>
          <w:p w:rsidR="00DB5932" w:rsidRPr="009D248E" w:rsidRDefault="00DB5932" w:rsidP="00012E26">
            <w:pPr>
              <w:tabs>
                <w:tab w:val="decimal" w:pos="878"/>
              </w:tabs>
              <w:rPr>
                <w:bCs/>
                <w:sz w:val="20"/>
              </w:rPr>
            </w:pPr>
            <w:r>
              <w:rPr>
                <w:bCs/>
                <w:sz w:val="20"/>
              </w:rPr>
              <w:t>2.0</w:t>
            </w:r>
          </w:p>
        </w:tc>
      </w:tr>
      <w:tr w:rsidR="00DB5932" w:rsidTr="009B7C5A">
        <w:trPr>
          <w:trHeight w:val="288"/>
          <w:jc w:val="center"/>
        </w:trPr>
        <w:tc>
          <w:tcPr>
            <w:tcW w:w="2106" w:type="dxa"/>
            <w:vAlign w:val="center"/>
          </w:tcPr>
          <w:p w:rsidR="00DB5932" w:rsidRPr="004F1F6D" w:rsidRDefault="00DB5932" w:rsidP="007815B1">
            <w:pPr>
              <w:tabs>
                <w:tab w:val="left" w:pos="414"/>
              </w:tabs>
              <w:rPr>
                <w:bCs/>
                <w:sz w:val="20"/>
              </w:rPr>
            </w:pPr>
            <w:r>
              <w:rPr>
                <w:bCs/>
                <w:sz w:val="20"/>
              </w:rPr>
              <w:tab/>
              <w:t>Tin (Sn)</w:t>
            </w:r>
          </w:p>
        </w:tc>
        <w:tc>
          <w:tcPr>
            <w:tcW w:w="2070" w:type="dxa"/>
            <w:vAlign w:val="center"/>
          </w:tcPr>
          <w:p w:rsidR="00DB5932" w:rsidRPr="004F1F6D" w:rsidRDefault="00DB5932" w:rsidP="007815B1">
            <w:pPr>
              <w:tabs>
                <w:tab w:val="decimal" w:pos="342"/>
                <w:tab w:val="left" w:pos="882"/>
                <w:tab w:val="decimal" w:pos="1278"/>
              </w:tabs>
              <w:rPr>
                <w:bCs/>
                <w:sz w:val="20"/>
              </w:rPr>
            </w:pPr>
            <w:r>
              <w:rPr>
                <w:bCs/>
                <w:sz w:val="20"/>
              </w:rPr>
              <w:tab/>
              <w:t>4.1</w:t>
            </w:r>
            <w:r>
              <w:rPr>
                <w:bCs/>
                <w:sz w:val="20"/>
              </w:rPr>
              <w:tab/>
            </w:r>
            <w:r w:rsidR="00561389" w:rsidRPr="00A26A5D">
              <w:rPr>
                <w:sz w:val="20"/>
              </w:rPr>
              <w:sym w:font="Symbol" w:char="F0B1"/>
            </w:r>
            <w:r>
              <w:rPr>
                <w:bCs/>
                <w:sz w:val="20"/>
              </w:rPr>
              <w:tab/>
              <w:t>0.3</w:t>
            </w:r>
          </w:p>
        </w:tc>
        <w:tc>
          <w:tcPr>
            <w:tcW w:w="2088" w:type="dxa"/>
            <w:vAlign w:val="center"/>
          </w:tcPr>
          <w:p w:rsidR="00DB5932" w:rsidRPr="004F1F6D" w:rsidRDefault="00DB5932" w:rsidP="009B7C5A">
            <w:pPr>
              <w:tabs>
                <w:tab w:val="decimal" w:pos="878"/>
              </w:tabs>
              <w:rPr>
                <w:bCs/>
                <w:sz w:val="20"/>
              </w:rPr>
            </w:pPr>
            <w:r>
              <w:rPr>
                <w:bCs/>
                <w:sz w:val="20"/>
              </w:rPr>
              <w:t>2.0</w:t>
            </w:r>
          </w:p>
        </w:tc>
      </w:tr>
    </w:tbl>
    <w:p w:rsidR="00244869" w:rsidRDefault="00244869" w:rsidP="00627554">
      <w:pPr>
        <w:pStyle w:val="BodyText"/>
      </w:pPr>
    </w:p>
    <w:p w:rsidR="00710458" w:rsidRDefault="00710458" w:rsidP="00627554">
      <w:pPr>
        <w:pStyle w:val="BodyText"/>
      </w:pPr>
    </w:p>
    <w:p w:rsidR="00B77B65" w:rsidRDefault="00B77B65" w:rsidP="00361752">
      <w:pPr>
        <w:pStyle w:val="BodyText"/>
        <w:jc w:val="both"/>
      </w:pPr>
      <w:r w:rsidRPr="00844915">
        <w:rPr>
          <w:b/>
        </w:rPr>
        <w:t>Information Mass Fraction Values</w:t>
      </w:r>
      <w:r w:rsidR="007438FD">
        <w:t>:  In Table</w:t>
      </w:r>
      <w:r w:rsidR="00561389">
        <w:t> </w:t>
      </w:r>
      <w:r w:rsidR="007438FD">
        <w:t xml:space="preserve">3, the values for all listed constituents </w:t>
      </w:r>
      <w:r w:rsidR="00844915">
        <w:t xml:space="preserve">are intended to </w:t>
      </w:r>
      <w:r w:rsidR="007327F0">
        <w:t>provide the base composition of</w:t>
      </w:r>
      <w:r w:rsidR="00844915">
        <w:t xml:space="preserve"> the </w:t>
      </w:r>
      <w:r w:rsidR="007327F0">
        <w:t>“</w:t>
      </w:r>
      <w:proofErr w:type="spellStart"/>
      <w:r w:rsidR="007327F0">
        <w:t>Tracealloy</w:t>
      </w:r>
      <w:proofErr w:type="spellEnd"/>
      <w:r w:rsidR="007327F0">
        <w:t xml:space="preserve">” </w:t>
      </w:r>
      <w:r w:rsidR="00844915">
        <w:t>material.</w:t>
      </w:r>
      <w:r w:rsidR="007327F0">
        <w:t xml:space="preserve">  </w:t>
      </w:r>
      <w:r w:rsidR="00AB466E">
        <w:t>T</w:t>
      </w:r>
      <w:r w:rsidR="007327F0">
        <w:t xml:space="preserve">he values were provided by the committee that designed the alloy.  </w:t>
      </w:r>
    </w:p>
    <w:p w:rsidR="00343F2E" w:rsidRDefault="00343F2E" w:rsidP="0009522C">
      <w:pPr>
        <w:pStyle w:val="BodyText"/>
        <w:tabs>
          <w:tab w:val="left" w:pos="2715"/>
        </w:tabs>
      </w:pPr>
    </w:p>
    <w:p w:rsidR="005924EB" w:rsidRDefault="00487EFA" w:rsidP="007C7B00">
      <w:pPr>
        <w:pStyle w:val="BodyText"/>
        <w:jc w:val="center"/>
        <w:rPr>
          <w:bCs/>
        </w:rPr>
      </w:pPr>
      <w:proofErr w:type="gramStart"/>
      <w:r w:rsidRPr="005924EB">
        <w:t>Table</w:t>
      </w:r>
      <w:r w:rsidR="00561389">
        <w:t> </w:t>
      </w:r>
      <w:r w:rsidRPr="005924EB">
        <w:t>3.</w:t>
      </w:r>
      <w:proofErr w:type="gramEnd"/>
      <w:r w:rsidRPr="005924EB">
        <w:t xml:space="preserve">  </w:t>
      </w:r>
      <w:r w:rsidR="002B67C2" w:rsidRPr="005924EB">
        <w:t>Information</w:t>
      </w:r>
      <w:r w:rsidR="002B67C2">
        <w:t xml:space="preserve"> Mass Fraction </w:t>
      </w:r>
      <w:r w:rsidRPr="005924EB">
        <w:t>Value</w:t>
      </w:r>
      <w:r w:rsidR="00D1136A" w:rsidRPr="005924EB">
        <w:t>s</w:t>
      </w:r>
      <w:r w:rsidRPr="005924EB">
        <w:t xml:space="preserve"> </w:t>
      </w:r>
      <w:r w:rsidR="00D1136A" w:rsidRPr="005924EB">
        <w:t xml:space="preserve">for </w:t>
      </w:r>
      <w:r w:rsidR="005924EB" w:rsidRPr="005924EB">
        <w:t>SRM</w:t>
      </w:r>
      <w:r w:rsidR="00561389">
        <w:t> </w:t>
      </w:r>
      <w:r w:rsidR="007815B1">
        <w:rPr>
          <w:bCs/>
        </w:rPr>
        <w:t>898</w:t>
      </w:r>
    </w:p>
    <w:p w:rsidR="00E26678" w:rsidRPr="00C54DCF" w:rsidRDefault="00E26678" w:rsidP="00C54DCF">
      <w:pPr>
        <w:pStyle w:val="BodyText"/>
        <w:jc w:val="center"/>
        <w:rPr>
          <w:bCs/>
        </w:rPr>
      </w:pPr>
    </w:p>
    <w:tbl>
      <w:tblPr>
        <w:tblW w:w="0" w:type="auto"/>
        <w:jc w:val="center"/>
        <w:tblLook w:val="0000" w:firstRow="0" w:lastRow="0" w:firstColumn="0" w:lastColumn="0" w:noHBand="0" w:noVBand="0"/>
      </w:tblPr>
      <w:tblGrid>
        <w:gridCol w:w="1800"/>
        <w:gridCol w:w="1800"/>
        <w:gridCol w:w="1800"/>
        <w:gridCol w:w="1800"/>
      </w:tblGrid>
      <w:tr w:rsidR="008757E5" w:rsidTr="00334CE2">
        <w:trPr>
          <w:trHeight w:val="756"/>
          <w:jc w:val="center"/>
        </w:trPr>
        <w:tc>
          <w:tcPr>
            <w:tcW w:w="1800" w:type="dxa"/>
          </w:tcPr>
          <w:p w:rsidR="008757E5" w:rsidRDefault="008757E5" w:rsidP="00E26678">
            <w:pPr>
              <w:pStyle w:val="BodyText"/>
              <w:jc w:val="center"/>
            </w:pPr>
            <w:r>
              <w:t>Constituent</w:t>
            </w:r>
          </w:p>
        </w:tc>
        <w:tc>
          <w:tcPr>
            <w:tcW w:w="1800" w:type="dxa"/>
          </w:tcPr>
          <w:p w:rsidR="008757E5" w:rsidRDefault="008757E5" w:rsidP="00E26678">
            <w:pPr>
              <w:pStyle w:val="BodyText"/>
              <w:jc w:val="center"/>
            </w:pPr>
            <w:r>
              <w:t>Mass Fraction</w:t>
            </w:r>
          </w:p>
          <w:p w:rsidR="008757E5" w:rsidRDefault="008757E5" w:rsidP="00E26678">
            <w:pPr>
              <w:pStyle w:val="BodyText"/>
              <w:jc w:val="center"/>
            </w:pPr>
            <w:r>
              <w:t>(%)</w:t>
            </w:r>
          </w:p>
          <w:p w:rsidR="008757E5" w:rsidRDefault="008757E5" w:rsidP="00E26678">
            <w:pPr>
              <w:pStyle w:val="BodyText"/>
              <w:jc w:val="center"/>
            </w:pPr>
          </w:p>
        </w:tc>
        <w:tc>
          <w:tcPr>
            <w:tcW w:w="1800" w:type="dxa"/>
          </w:tcPr>
          <w:p w:rsidR="008757E5" w:rsidRDefault="008757E5" w:rsidP="00E26678">
            <w:pPr>
              <w:pStyle w:val="BodyText"/>
              <w:jc w:val="center"/>
            </w:pPr>
            <w:r>
              <w:t>Constituent</w:t>
            </w:r>
          </w:p>
        </w:tc>
        <w:tc>
          <w:tcPr>
            <w:tcW w:w="1800" w:type="dxa"/>
          </w:tcPr>
          <w:p w:rsidR="008757E5" w:rsidRDefault="008757E5" w:rsidP="00E26678">
            <w:pPr>
              <w:pStyle w:val="BodyText"/>
              <w:jc w:val="center"/>
            </w:pPr>
            <w:r>
              <w:t>Mass Fraction</w:t>
            </w:r>
          </w:p>
          <w:p w:rsidR="008757E5" w:rsidRDefault="002E7E27" w:rsidP="00E26678">
            <w:pPr>
              <w:pStyle w:val="BodyText"/>
              <w:jc w:val="center"/>
            </w:pPr>
            <w:r>
              <w:t>(%)</w:t>
            </w:r>
          </w:p>
          <w:p w:rsidR="008757E5" w:rsidRDefault="008757E5" w:rsidP="00E26678">
            <w:pPr>
              <w:pStyle w:val="BodyText"/>
              <w:jc w:val="center"/>
            </w:pPr>
          </w:p>
        </w:tc>
      </w:tr>
      <w:tr w:rsidR="008757E5" w:rsidTr="00334CE2">
        <w:trPr>
          <w:trHeight w:val="288"/>
          <w:jc w:val="center"/>
        </w:trPr>
        <w:tc>
          <w:tcPr>
            <w:tcW w:w="1800" w:type="dxa"/>
            <w:vAlign w:val="center"/>
          </w:tcPr>
          <w:p w:rsidR="008757E5" w:rsidRPr="009D248E" w:rsidRDefault="00FA4487" w:rsidP="00C162D2">
            <w:pPr>
              <w:tabs>
                <w:tab w:val="left" w:pos="0"/>
              </w:tabs>
              <w:rPr>
                <w:bCs/>
                <w:sz w:val="20"/>
              </w:rPr>
            </w:pPr>
            <w:r w:rsidRPr="00FA4487">
              <w:rPr>
                <w:bCs/>
                <w:sz w:val="20"/>
              </w:rPr>
              <w:t>Aluminum (Al)</w:t>
            </w:r>
          </w:p>
        </w:tc>
        <w:tc>
          <w:tcPr>
            <w:tcW w:w="1800" w:type="dxa"/>
            <w:vAlign w:val="center"/>
          </w:tcPr>
          <w:p w:rsidR="008757E5" w:rsidRPr="009D248E" w:rsidRDefault="00DA2CB7" w:rsidP="000F218E">
            <w:pPr>
              <w:tabs>
                <w:tab w:val="decimal" w:pos="702"/>
              </w:tabs>
              <w:rPr>
                <w:bCs/>
                <w:sz w:val="20"/>
              </w:rPr>
            </w:pPr>
            <w:r>
              <w:rPr>
                <w:bCs/>
                <w:sz w:val="20"/>
              </w:rPr>
              <w:t>2</w:t>
            </w:r>
          </w:p>
        </w:tc>
        <w:tc>
          <w:tcPr>
            <w:tcW w:w="1800" w:type="dxa"/>
            <w:vAlign w:val="center"/>
          </w:tcPr>
          <w:p w:rsidR="008757E5" w:rsidRPr="009D248E" w:rsidRDefault="00E26678" w:rsidP="00C162D2">
            <w:pPr>
              <w:tabs>
                <w:tab w:val="left" w:pos="162"/>
              </w:tabs>
              <w:rPr>
                <w:sz w:val="20"/>
              </w:rPr>
            </w:pPr>
            <w:r>
              <w:rPr>
                <w:sz w:val="20"/>
              </w:rPr>
              <w:tab/>
            </w:r>
            <w:r w:rsidR="00FA4487">
              <w:rPr>
                <w:sz w:val="20"/>
              </w:rPr>
              <w:t>Niobium (</w:t>
            </w:r>
            <w:proofErr w:type="spellStart"/>
            <w:r w:rsidR="00FA4487">
              <w:rPr>
                <w:sz w:val="20"/>
              </w:rPr>
              <w:t>Nb</w:t>
            </w:r>
            <w:proofErr w:type="spellEnd"/>
            <w:r w:rsidR="00FA4487">
              <w:rPr>
                <w:sz w:val="20"/>
              </w:rPr>
              <w:t>)</w:t>
            </w:r>
          </w:p>
        </w:tc>
        <w:tc>
          <w:tcPr>
            <w:tcW w:w="1800" w:type="dxa"/>
            <w:vAlign w:val="center"/>
          </w:tcPr>
          <w:p w:rsidR="008757E5" w:rsidRPr="009D248E" w:rsidRDefault="00DA2CB7" w:rsidP="000F218E">
            <w:pPr>
              <w:tabs>
                <w:tab w:val="decimal" w:pos="792"/>
              </w:tabs>
              <w:rPr>
                <w:sz w:val="20"/>
              </w:rPr>
            </w:pPr>
            <w:r>
              <w:rPr>
                <w:sz w:val="20"/>
              </w:rPr>
              <w:t>0.9</w:t>
            </w:r>
          </w:p>
        </w:tc>
      </w:tr>
      <w:tr w:rsidR="000F218E" w:rsidTr="00DA2CB7">
        <w:trPr>
          <w:trHeight w:val="288"/>
          <w:jc w:val="center"/>
        </w:trPr>
        <w:tc>
          <w:tcPr>
            <w:tcW w:w="1800" w:type="dxa"/>
            <w:vAlign w:val="center"/>
          </w:tcPr>
          <w:p w:rsidR="000F218E" w:rsidRPr="009D248E" w:rsidRDefault="00FA4487" w:rsidP="00C162D2">
            <w:pPr>
              <w:tabs>
                <w:tab w:val="left" w:pos="0"/>
              </w:tabs>
              <w:rPr>
                <w:bCs/>
                <w:sz w:val="20"/>
              </w:rPr>
            </w:pPr>
            <w:r>
              <w:rPr>
                <w:bCs/>
                <w:sz w:val="20"/>
              </w:rPr>
              <w:t>Boron (B)</w:t>
            </w:r>
          </w:p>
        </w:tc>
        <w:tc>
          <w:tcPr>
            <w:tcW w:w="1800" w:type="dxa"/>
            <w:vAlign w:val="center"/>
          </w:tcPr>
          <w:p w:rsidR="000F218E" w:rsidRPr="009D248E" w:rsidRDefault="008C45B9" w:rsidP="00DA2CB7">
            <w:pPr>
              <w:tabs>
                <w:tab w:val="decimal" w:pos="702"/>
              </w:tabs>
              <w:rPr>
                <w:bCs/>
                <w:sz w:val="20"/>
              </w:rPr>
            </w:pPr>
            <w:r>
              <w:rPr>
                <w:bCs/>
                <w:sz w:val="20"/>
              </w:rPr>
              <w:t>0.</w:t>
            </w:r>
            <w:r w:rsidR="00DB5932">
              <w:rPr>
                <w:bCs/>
                <w:sz w:val="20"/>
              </w:rPr>
              <w:t>01</w:t>
            </w:r>
          </w:p>
        </w:tc>
        <w:tc>
          <w:tcPr>
            <w:tcW w:w="1800" w:type="dxa"/>
            <w:vAlign w:val="center"/>
          </w:tcPr>
          <w:p w:rsidR="000F218E" w:rsidRPr="009D248E" w:rsidRDefault="000F218E" w:rsidP="00C162D2">
            <w:pPr>
              <w:tabs>
                <w:tab w:val="left" w:pos="162"/>
              </w:tabs>
              <w:rPr>
                <w:sz w:val="20"/>
              </w:rPr>
            </w:pPr>
            <w:r>
              <w:rPr>
                <w:sz w:val="20"/>
              </w:rPr>
              <w:tab/>
            </w:r>
            <w:r w:rsidR="00FA4487">
              <w:rPr>
                <w:sz w:val="20"/>
              </w:rPr>
              <w:t>Nickel (Ni)</w:t>
            </w:r>
          </w:p>
        </w:tc>
        <w:tc>
          <w:tcPr>
            <w:tcW w:w="1800" w:type="dxa"/>
            <w:vAlign w:val="center"/>
          </w:tcPr>
          <w:p w:rsidR="000F218E" w:rsidRPr="009D248E" w:rsidRDefault="00DA2CB7" w:rsidP="00DA2CB7">
            <w:pPr>
              <w:tabs>
                <w:tab w:val="decimal" w:pos="792"/>
              </w:tabs>
              <w:jc w:val="center"/>
              <w:rPr>
                <w:sz w:val="20"/>
              </w:rPr>
            </w:pPr>
            <w:r>
              <w:rPr>
                <w:sz w:val="20"/>
              </w:rPr>
              <w:t>Balance</w:t>
            </w:r>
          </w:p>
        </w:tc>
      </w:tr>
      <w:tr w:rsidR="000F218E" w:rsidTr="00334CE2">
        <w:trPr>
          <w:trHeight w:val="288"/>
          <w:jc w:val="center"/>
        </w:trPr>
        <w:tc>
          <w:tcPr>
            <w:tcW w:w="1800" w:type="dxa"/>
            <w:vAlign w:val="center"/>
          </w:tcPr>
          <w:p w:rsidR="000F218E" w:rsidRPr="009D248E" w:rsidRDefault="00FA4487" w:rsidP="00C162D2">
            <w:pPr>
              <w:tabs>
                <w:tab w:val="left" w:pos="0"/>
              </w:tabs>
              <w:rPr>
                <w:bCs/>
                <w:sz w:val="20"/>
              </w:rPr>
            </w:pPr>
            <w:r>
              <w:rPr>
                <w:bCs/>
                <w:sz w:val="20"/>
              </w:rPr>
              <w:t>Carbon (C)</w:t>
            </w:r>
          </w:p>
        </w:tc>
        <w:tc>
          <w:tcPr>
            <w:tcW w:w="1800" w:type="dxa"/>
            <w:vAlign w:val="center"/>
          </w:tcPr>
          <w:p w:rsidR="000F218E" w:rsidRPr="009D248E" w:rsidRDefault="008C45B9" w:rsidP="00DB5932">
            <w:pPr>
              <w:tabs>
                <w:tab w:val="decimal" w:pos="702"/>
              </w:tabs>
              <w:rPr>
                <w:bCs/>
                <w:sz w:val="20"/>
              </w:rPr>
            </w:pPr>
            <w:r>
              <w:rPr>
                <w:bCs/>
                <w:sz w:val="20"/>
              </w:rPr>
              <w:t>0.1</w:t>
            </w:r>
            <w:r w:rsidR="00DB5932">
              <w:rPr>
                <w:bCs/>
                <w:sz w:val="20"/>
              </w:rPr>
              <w:t>2</w:t>
            </w:r>
          </w:p>
        </w:tc>
        <w:tc>
          <w:tcPr>
            <w:tcW w:w="1800" w:type="dxa"/>
            <w:vAlign w:val="center"/>
          </w:tcPr>
          <w:p w:rsidR="000F218E" w:rsidRPr="009D248E" w:rsidRDefault="000F218E" w:rsidP="00C162D2">
            <w:pPr>
              <w:tabs>
                <w:tab w:val="left" w:pos="162"/>
              </w:tabs>
              <w:rPr>
                <w:sz w:val="20"/>
              </w:rPr>
            </w:pPr>
            <w:r>
              <w:rPr>
                <w:sz w:val="20"/>
              </w:rPr>
              <w:tab/>
            </w:r>
            <w:r w:rsidR="00FA4487">
              <w:rPr>
                <w:sz w:val="20"/>
              </w:rPr>
              <w:t>Tantalum (Ta)</w:t>
            </w:r>
          </w:p>
        </w:tc>
        <w:tc>
          <w:tcPr>
            <w:tcW w:w="1800" w:type="dxa"/>
            <w:vAlign w:val="center"/>
          </w:tcPr>
          <w:p w:rsidR="000F218E" w:rsidRPr="009D248E" w:rsidRDefault="00DA2CB7" w:rsidP="000F218E">
            <w:pPr>
              <w:tabs>
                <w:tab w:val="decimal" w:pos="792"/>
              </w:tabs>
              <w:rPr>
                <w:sz w:val="20"/>
              </w:rPr>
            </w:pPr>
            <w:r>
              <w:rPr>
                <w:sz w:val="20"/>
              </w:rPr>
              <w:t>1.75</w:t>
            </w:r>
          </w:p>
        </w:tc>
      </w:tr>
      <w:tr w:rsidR="000F218E" w:rsidTr="00334CE2">
        <w:trPr>
          <w:trHeight w:val="288"/>
          <w:jc w:val="center"/>
        </w:trPr>
        <w:tc>
          <w:tcPr>
            <w:tcW w:w="1800" w:type="dxa"/>
            <w:vAlign w:val="center"/>
          </w:tcPr>
          <w:p w:rsidR="000F218E" w:rsidRPr="009D248E" w:rsidRDefault="00FA4487" w:rsidP="00C162D2">
            <w:pPr>
              <w:tabs>
                <w:tab w:val="left" w:pos="0"/>
              </w:tabs>
              <w:rPr>
                <w:bCs/>
                <w:sz w:val="20"/>
              </w:rPr>
            </w:pPr>
            <w:r>
              <w:rPr>
                <w:bCs/>
                <w:sz w:val="20"/>
              </w:rPr>
              <w:t>Cobalt (Co)</w:t>
            </w:r>
          </w:p>
        </w:tc>
        <w:tc>
          <w:tcPr>
            <w:tcW w:w="1800" w:type="dxa"/>
            <w:vAlign w:val="center"/>
          </w:tcPr>
          <w:p w:rsidR="000F218E" w:rsidRPr="009D248E" w:rsidRDefault="00DB5932" w:rsidP="000F218E">
            <w:pPr>
              <w:tabs>
                <w:tab w:val="decimal" w:pos="702"/>
              </w:tabs>
              <w:rPr>
                <w:bCs/>
                <w:sz w:val="20"/>
              </w:rPr>
            </w:pPr>
            <w:r>
              <w:rPr>
                <w:bCs/>
                <w:sz w:val="20"/>
              </w:rPr>
              <w:t>8.5</w:t>
            </w:r>
          </w:p>
        </w:tc>
        <w:tc>
          <w:tcPr>
            <w:tcW w:w="1800" w:type="dxa"/>
            <w:vAlign w:val="center"/>
          </w:tcPr>
          <w:p w:rsidR="000F218E" w:rsidRPr="009D248E" w:rsidRDefault="000F218E" w:rsidP="00C162D2">
            <w:pPr>
              <w:tabs>
                <w:tab w:val="left" w:pos="162"/>
              </w:tabs>
              <w:rPr>
                <w:sz w:val="20"/>
              </w:rPr>
            </w:pPr>
            <w:r>
              <w:rPr>
                <w:sz w:val="20"/>
              </w:rPr>
              <w:tab/>
            </w:r>
            <w:r w:rsidR="00FA4487">
              <w:rPr>
                <w:sz w:val="20"/>
              </w:rPr>
              <w:t>Titanium (Ti)</w:t>
            </w:r>
          </w:p>
        </w:tc>
        <w:tc>
          <w:tcPr>
            <w:tcW w:w="1800" w:type="dxa"/>
            <w:vAlign w:val="center"/>
          </w:tcPr>
          <w:p w:rsidR="000F218E" w:rsidRPr="009D248E" w:rsidRDefault="000F218E" w:rsidP="000F218E">
            <w:pPr>
              <w:tabs>
                <w:tab w:val="decimal" w:pos="792"/>
              </w:tabs>
              <w:rPr>
                <w:sz w:val="20"/>
              </w:rPr>
            </w:pPr>
            <w:r>
              <w:rPr>
                <w:sz w:val="20"/>
              </w:rPr>
              <w:t>2</w:t>
            </w:r>
          </w:p>
        </w:tc>
      </w:tr>
      <w:tr w:rsidR="000F218E" w:rsidTr="00334CE2">
        <w:trPr>
          <w:trHeight w:val="288"/>
          <w:jc w:val="center"/>
        </w:trPr>
        <w:tc>
          <w:tcPr>
            <w:tcW w:w="1800" w:type="dxa"/>
            <w:vAlign w:val="center"/>
          </w:tcPr>
          <w:p w:rsidR="000F218E" w:rsidRPr="009D248E" w:rsidRDefault="00FA4487" w:rsidP="00C162D2">
            <w:pPr>
              <w:tabs>
                <w:tab w:val="left" w:pos="0"/>
              </w:tabs>
              <w:rPr>
                <w:bCs/>
                <w:sz w:val="20"/>
              </w:rPr>
            </w:pPr>
            <w:r>
              <w:rPr>
                <w:bCs/>
                <w:sz w:val="20"/>
              </w:rPr>
              <w:t>Chromium (Cr)</w:t>
            </w:r>
          </w:p>
        </w:tc>
        <w:tc>
          <w:tcPr>
            <w:tcW w:w="1800" w:type="dxa"/>
            <w:vAlign w:val="center"/>
          </w:tcPr>
          <w:p w:rsidR="000F218E" w:rsidRPr="009D248E" w:rsidRDefault="00DB5932" w:rsidP="000F218E">
            <w:pPr>
              <w:tabs>
                <w:tab w:val="decimal" w:pos="702"/>
              </w:tabs>
              <w:rPr>
                <w:bCs/>
                <w:sz w:val="20"/>
              </w:rPr>
            </w:pPr>
            <w:r>
              <w:rPr>
                <w:bCs/>
                <w:sz w:val="20"/>
              </w:rPr>
              <w:t>12</w:t>
            </w:r>
          </w:p>
        </w:tc>
        <w:tc>
          <w:tcPr>
            <w:tcW w:w="1800" w:type="dxa"/>
            <w:vAlign w:val="center"/>
          </w:tcPr>
          <w:p w:rsidR="000F218E" w:rsidRPr="009D248E" w:rsidRDefault="000F218E" w:rsidP="00C162D2">
            <w:pPr>
              <w:tabs>
                <w:tab w:val="left" w:pos="162"/>
              </w:tabs>
              <w:rPr>
                <w:sz w:val="20"/>
              </w:rPr>
            </w:pPr>
            <w:r>
              <w:rPr>
                <w:sz w:val="20"/>
              </w:rPr>
              <w:tab/>
            </w:r>
            <w:r w:rsidR="00FA4487">
              <w:rPr>
                <w:sz w:val="20"/>
              </w:rPr>
              <w:t>Tungsten (W)</w:t>
            </w:r>
          </w:p>
        </w:tc>
        <w:tc>
          <w:tcPr>
            <w:tcW w:w="1800" w:type="dxa"/>
            <w:vAlign w:val="center"/>
          </w:tcPr>
          <w:p w:rsidR="000F218E" w:rsidRPr="009D248E" w:rsidRDefault="00DA2CB7" w:rsidP="00BA3092">
            <w:pPr>
              <w:tabs>
                <w:tab w:val="decimal" w:pos="792"/>
              </w:tabs>
              <w:rPr>
                <w:sz w:val="20"/>
              </w:rPr>
            </w:pPr>
            <w:r>
              <w:rPr>
                <w:sz w:val="20"/>
              </w:rPr>
              <w:t>1.75</w:t>
            </w:r>
          </w:p>
        </w:tc>
      </w:tr>
      <w:tr w:rsidR="00DA2CB7" w:rsidTr="007327F0">
        <w:trPr>
          <w:trHeight w:val="288"/>
          <w:jc w:val="center"/>
        </w:trPr>
        <w:tc>
          <w:tcPr>
            <w:tcW w:w="1800" w:type="dxa"/>
            <w:vAlign w:val="center"/>
          </w:tcPr>
          <w:p w:rsidR="00DA2CB7" w:rsidRPr="009D248E" w:rsidRDefault="00FA4487" w:rsidP="00C162D2">
            <w:pPr>
              <w:tabs>
                <w:tab w:val="left" w:pos="0"/>
              </w:tabs>
              <w:rPr>
                <w:bCs/>
                <w:sz w:val="20"/>
              </w:rPr>
            </w:pPr>
            <w:r>
              <w:rPr>
                <w:bCs/>
                <w:sz w:val="20"/>
              </w:rPr>
              <w:t>Hafnium (</w:t>
            </w:r>
            <w:proofErr w:type="spellStart"/>
            <w:r>
              <w:rPr>
                <w:bCs/>
                <w:sz w:val="20"/>
              </w:rPr>
              <w:t>Hf</w:t>
            </w:r>
            <w:proofErr w:type="spellEnd"/>
            <w:r>
              <w:rPr>
                <w:bCs/>
                <w:sz w:val="20"/>
              </w:rPr>
              <w:t>)</w:t>
            </w:r>
          </w:p>
        </w:tc>
        <w:tc>
          <w:tcPr>
            <w:tcW w:w="1800" w:type="dxa"/>
            <w:vAlign w:val="center"/>
          </w:tcPr>
          <w:p w:rsidR="00DA2CB7" w:rsidRPr="009D248E" w:rsidRDefault="00DA2CB7" w:rsidP="007327F0">
            <w:pPr>
              <w:tabs>
                <w:tab w:val="decimal" w:pos="702"/>
              </w:tabs>
              <w:rPr>
                <w:bCs/>
                <w:sz w:val="20"/>
              </w:rPr>
            </w:pPr>
            <w:r>
              <w:rPr>
                <w:bCs/>
                <w:sz w:val="20"/>
              </w:rPr>
              <w:t>1</w:t>
            </w:r>
            <w:r w:rsidR="00DB5932">
              <w:rPr>
                <w:bCs/>
                <w:sz w:val="20"/>
              </w:rPr>
              <w:t>.</w:t>
            </w:r>
            <w:r>
              <w:rPr>
                <w:bCs/>
                <w:sz w:val="20"/>
              </w:rPr>
              <w:t>2</w:t>
            </w:r>
          </w:p>
        </w:tc>
        <w:tc>
          <w:tcPr>
            <w:tcW w:w="1800" w:type="dxa"/>
            <w:vAlign w:val="center"/>
          </w:tcPr>
          <w:p w:rsidR="00DA2CB7" w:rsidRPr="009D248E" w:rsidRDefault="00DA2CB7" w:rsidP="00C162D2">
            <w:pPr>
              <w:tabs>
                <w:tab w:val="left" w:pos="162"/>
              </w:tabs>
              <w:rPr>
                <w:sz w:val="20"/>
              </w:rPr>
            </w:pPr>
            <w:r>
              <w:rPr>
                <w:sz w:val="20"/>
              </w:rPr>
              <w:tab/>
            </w:r>
            <w:r w:rsidR="00FA4487">
              <w:rPr>
                <w:sz w:val="20"/>
              </w:rPr>
              <w:t>Zirconium (</w:t>
            </w:r>
            <w:proofErr w:type="spellStart"/>
            <w:r w:rsidR="00FA4487">
              <w:rPr>
                <w:sz w:val="20"/>
              </w:rPr>
              <w:t>Zr</w:t>
            </w:r>
            <w:proofErr w:type="spellEnd"/>
            <w:r w:rsidR="00FA4487">
              <w:rPr>
                <w:sz w:val="20"/>
              </w:rPr>
              <w:t>)</w:t>
            </w:r>
          </w:p>
        </w:tc>
        <w:tc>
          <w:tcPr>
            <w:tcW w:w="1800" w:type="dxa"/>
            <w:vAlign w:val="center"/>
          </w:tcPr>
          <w:p w:rsidR="00DA2CB7" w:rsidRPr="009D248E" w:rsidRDefault="00DA2CB7" w:rsidP="007327F0">
            <w:pPr>
              <w:tabs>
                <w:tab w:val="decimal" w:pos="792"/>
              </w:tabs>
              <w:rPr>
                <w:sz w:val="20"/>
              </w:rPr>
            </w:pPr>
            <w:r>
              <w:rPr>
                <w:sz w:val="20"/>
              </w:rPr>
              <w:t>0.1</w:t>
            </w:r>
          </w:p>
        </w:tc>
      </w:tr>
    </w:tbl>
    <w:p w:rsidR="000E063D" w:rsidRDefault="000E063D" w:rsidP="002B6E40">
      <w:pPr>
        <w:pStyle w:val="BodyText"/>
      </w:pPr>
    </w:p>
    <w:p w:rsidR="00F47B20" w:rsidRDefault="00F47B20" w:rsidP="00F47B20">
      <w:pPr>
        <w:pStyle w:val="BodyText"/>
        <w:jc w:val="both"/>
        <w:rPr>
          <w:bCs/>
        </w:rPr>
      </w:pPr>
    </w:p>
    <w:p w:rsidR="00F47B20" w:rsidRPr="00F47B20" w:rsidRDefault="00F47B20" w:rsidP="00F47B20">
      <w:pPr>
        <w:jc w:val="center"/>
        <w:rPr>
          <w:sz w:val="20"/>
        </w:rPr>
      </w:pPr>
      <w:proofErr w:type="gramStart"/>
      <w:r w:rsidRPr="00F47B20">
        <w:rPr>
          <w:sz w:val="20"/>
        </w:rPr>
        <w:t>Table 4.</w:t>
      </w:r>
      <w:proofErr w:type="gramEnd"/>
      <w:r w:rsidRPr="00F47B20">
        <w:rPr>
          <w:sz w:val="20"/>
        </w:rPr>
        <w:t xml:space="preserve">  Methods Used for Analysis of SRM </w:t>
      </w:r>
      <w:r w:rsidR="007815B1">
        <w:rPr>
          <w:sz w:val="20"/>
        </w:rPr>
        <w:t>898</w:t>
      </w:r>
      <w:r w:rsidRPr="00F47B20">
        <w:rPr>
          <w:sz w:val="20"/>
        </w:rPr>
        <w:t xml:space="preserve"> </w:t>
      </w:r>
    </w:p>
    <w:p w:rsidR="00F47B20" w:rsidRPr="00AE1D7E" w:rsidRDefault="00F47B20" w:rsidP="00F47B20">
      <w:pPr>
        <w:jc w:val="center"/>
        <w:rPr>
          <w:sz w:val="20"/>
        </w:rPr>
      </w:pPr>
    </w:p>
    <w:tbl>
      <w:tblPr>
        <w:tblW w:w="0" w:type="auto"/>
        <w:jc w:val="center"/>
        <w:tblLook w:val="0000" w:firstRow="0" w:lastRow="0" w:firstColumn="0" w:lastColumn="0" w:noHBand="0" w:noVBand="0"/>
      </w:tblPr>
      <w:tblGrid>
        <w:gridCol w:w="1629"/>
        <w:gridCol w:w="2160"/>
        <w:gridCol w:w="1710"/>
        <w:gridCol w:w="2160"/>
      </w:tblGrid>
      <w:tr w:rsidR="00F47B20" w:rsidRPr="00AE1D7E" w:rsidTr="00F47B20">
        <w:trPr>
          <w:trHeight w:val="20"/>
          <w:jc w:val="center"/>
        </w:trPr>
        <w:tc>
          <w:tcPr>
            <w:tcW w:w="1620" w:type="dxa"/>
            <w:vAlign w:val="center"/>
          </w:tcPr>
          <w:p w:rsidR="00F47B20" w:rsidRPr="00AE1D7E" w:rsidRDefault="00FA4487" w:rsidP="00F47B20">
            <w:pPr>
              <w:spacing w:after="120"/>
              <w:jc w:val="center"/>
              <w:rPr>
                <w:sz w:val="20"/>
              </w:rPr>
            </w:pPr>
            <w:r w:rsidRPr="00FA4487">
              <w:rPr>
                <w:sz w:val="20"/>
              </w:rPr>
              <w:t>Constituent</w:t>
            </w:r>
          </w:p>
        </w:tc>
        <w:tc>
          <w:tcPr>
            <w:tcW w:w="2160" w:type="dxa"/>
            <w:vAlign w:val="center"/>
          </w:tcPr>
          <w:p w:rsidR="00F47B20" w:rsidRPr="00AE1D7E" w:rsidRDefault="00F47B20" w:rsidP="00F47B20">
            <w:pPr>
              <w:spacing w:after="120"/>
              <w:jc w:val="center"/>
              <w:rPr>
                <w:sz w:val="20"/>
              </w:rPr>
            </w:pPr>
            <w:r w:rsidRPr="00AE1D7E">
              <w:rPr>
                <w:sz w:val="20"/>
              </w:rPr>
              <w:t>Methods</w:t>
            </w:r>
            <w:r w:rsidRPr="00AE1D7E">
              <w:rPr>
                <w:sz w:val="20"/>
                <w:vertAlign w:val="superscript"/>
              </w:rPr>
              <w:t>(a)</w:t>
            </w:r>
          </w:p>
        </w:tc>
        <w:tc>
          <w:tcPr>
            <w:tcW w:w="1710" w:type="dxa"/>
            <w:vAlign w:val="center"/>
          </w:tcPr>
          <w:p w:rsidR="00F47B20" w:rsidRPr="00AE1D7E" w:rsidRDefault="00FA4487" w:rsidP="00F47B20">
            <w:pPr>
              <w:spacing w:after="120"/>
              <w:jc w:val="center"/>
              <w:rPr>
                <w:sz w:val="20"/>
              </w:rPr>
            </w:pPr>
            <w:r w:rsidRPr="00FA4487">
              <w:rPr>
                <w:sz w:val="20"/>
              </w:rPr>
              <w:t>Constituent</w:t>
            </w:r>
          </w:p>
        </w:tc>
        <w:tc>
          <w:tcPr>
            <w:tcW w:w="2160" w:type="dxa"/>
            <w:vAlign w:val="center"/>
          </w:tcPr>
          <w:p w:rsidR="00F47B20" w:rsidRPr="00AE1D7E" w:rsidRDefault="00F47B20" w:rsidP="00F47B20">
            <w:pPr>
              <w:spacing w:after="120"/>
              <w:jc w:val="center"/>
              <w:rPr>
                <w:sz w:val="20"/>
              </w:rPr>
            </w:pPr>
            <w:r w:rsidRPr="00AE1D7E">
              <w:rPr>
                <w:sz w:val="20"/>
              </w:rPr>
              <w:t>Methods</w:t>
            </w:r>
            <w:r w:rsidRPr="00AE1D7E">
              <w:rPr>
                <w:sz w:val="20"/>
                <w:vertAlign w:val="superscript"/>
              </w:rPr>
              <w:t>(a)</w:t>
            </w:r>
          </w:p>
        </w:tc>
      </w:tr>
      <w:tr w:rsidR="00F47B20" w:rsidRPr="00AE1D7E" w:rsidTr="00F47B20">
        <w:trPr>
          <w:trHeight w:val="20"/>
          <w:jc w:val="center"/>
        </w:trPr>
        <w:tc>
          <w:tcPr>
            <w:tcW w:w="1620" w:type="dxa"/>
            <w:vAlign w:val="center"/>
          </w:tcPr>
          <w:p w:rsidR="00F47B20" w:rsidRPr="00AE1D7E" w:rsidRDefault="00C074CC" w:rsidP="009C7A61">
            <w:pPr>
              <w:ind w:left="387" w:hanging="180"/>
              <w:rPr>
                <w:sz w:val="20"/>
              </w:rPr>
            </w:pPr>
            <w:r>
              <w:rPr>
                <w:sz w:val="20"/>
              </w:rPr>
              <w:t>Silver (</w:t>
            </w:r>
            <w:r w:rsidR="00F47B20" w:rsidRPr="00AE1D7E">
              <w:rPr>
                <w:sz w:val="20"/>
              </w:rPr>
              <w:t>A</w:t>
            </w:r>
            <w:r w:rsidR="00F47B20">
              <w:rPr>
                <w:sz w:val="20"/>
              </w:rPr>
              <w:t>g</w:t>
            </w:r>
            <w:r>
              <w:rPr>
                <w:sz w:val="20"/>
              </w:rPr>
              <w:t>)</w:t>
            </w:r>
          </w:p>
        </w:tc>
        <w:tc>
          <w:tcPr>
            <w:tcW w:w="2160" w:type="dxa"/>
            <w:vAlign w:val="center"/>
          </w:tcPr>
          <w:p w:rsidR="00F47B20" w:rsidRPr="00AE1D7E" w:rsidRDefault="00D24393" w:rsidP="00F47B20">
            <w:pPr>
              <w:jc w:val="center"/>
              <w:rPr>
                <w:sz w:val="20"/>
              </w:rPr>
            </w:pPr>
            <w:r>
              <w:rPr>
                <w:sz w:val="20"/>
              </w:rPr>
              <w:t>3</w:t>
            </w:r>
          </w:p>
        </w:tc>
        <w:tc>
          <w:tcPr>
            <w:tcW w:w="1710" w:type="dxa"/>
            <w:vAlign w:val="center"/>
          </w:tcPr>
          <w:p w:rsidR="00F47B20" w:rsidRPr="00AE1D7E" w:rsidRDefault="000F76F8" w:rsidP="009C7A61">
            <w:pPr>
              <w:ind w:left="293"/>
              <w:rPr>
                <w:sz w:val="20"/>
              </w:rPr>
            </w:pPr>
            <w:r>
              <w:rPr>
                <w:sz w:val="20"/>
              </w:rPr>
              <w:t>Selenium (</w:t>
            </w:r>
            <w:r w:rsidR="0052050C">
              <w:rPr>
                <w:sz w:val="20"/>
              </w:rPr>
              <w:t>Se</w:t>
            </w:r>
            <w:r>
              <w:rPr>
                <w:sz w:val="20"/>
              </w:rPr>
              <w:t>)</w:t>
            </w:r>
          </w:p>
        </w:tc>
        <w:tc>
          <w:tcPr>
            <w:tcW w:w="2160" w:type="dxa"/>
            <w:vAlign w:val="center"/>
          </w:tcPr>
          <w:p w:rsidR="00F47B20" w:rsidRPr="00AE1D7E" w:rsidRDefault="00AF5DAC" w:rsidP="00F47B20">
            <w:pPr>
              <w:jc w:val="center"/>
              <w:rPr>
                <w:sz w:val="20"/>
              </w:rPr>
            </w:pPr>
            <w:r>
              <w:rPr>
                <w:sz w:val="20"/>
              </w:rPr>
              <w:t xml:space="preserve">2, </w:t>
            </w:r>
            <w:r w:rsidR="00D24393">
              <w:rPr>
                <w:sz w:val="20"/>
              </w:rPr>
              <w:t>3, 4</w:t>
            </w:r>
          </w:p>
        </w:tc>
      </w:tr>
      <w:tr w:rsidR="00F47B20" w:rsidRPr="00AE1D7E" w:rsidTr="00F47B20">
        <w:trPr>
          <w:trHeight w:val="20"/>
          <w:jc w:val="center"/>
        </w:trPr>
        <w:tc>
          <w:tcPr>
            <w:tcW w:w="1620" w:type="dxa"/>
            <w:vAlign w:val="center"/>
          </w:tcPr>
          <w:p w:rsidR="00F47B20" w:rsidRPr="00AE1D7E" w:rsidRDefault="00C074CC" w:rsidP="009C7A61">
            <w:pPr>
              <w:ind w:left="387" w:hanging="180"/>
              <w:rPr>
                <w:sz w:val="20"/>
              </w:rPr>
            </w:pPr>
            <w:r>
              <w:rPr>
                <w:sz w:val="20"/>
              </w:rPr>
              <w:t>Bismuth (</w:t>
            </w:r>
            <w:r w:rsidR="00F47B20">
              <w:rPr>
                <w:sz w:val="20"/>
              </w:rPr>
              <w:t>Bi</w:t>
            </w:r>
            <w:r>
              <w:rPr>
                <w:sz w:val="20"/>
              </w:rPr>
              <w:t>)</w:t>
            </w:r>
          </w:p>
        </w:tc>
        <w:tc>
          <w:tcPr>
            <w:tcW w:w="2160" w:type="dxa"/>
            <w:vAlign w:val="center"/>
          </w:tcPr>
          <w:p w:rsidR="00F47B20" w:rsidRPr="00AE1D7E" w:rsidRDefault="00F47B20" w:rsidP="00D24393">
            <w:pPr>
              <w:jc w:val="center"/>
              <w:rPr>
                <w:sz w:val="20"/>
              </w:rPr>
            </w:pPr>
            <w:r>
              <w:rPr>
                <w:sz w:val="20"/>
              </w:rPr>
              <w:t>3, 4</w:t>
            </w:r>
          </w:p>
        </w:tc>
        <w:tc>
          <w:tcPr>
            <w:tcW w:w="1710" w:type="dxa"/>
            <w:vAlign w:val="center"/>
          </w:tcPr>
          <w:p w:rsidR="00F47B20" w:rsidRPr="00AE1D7E" w:rsidRDefault="000F76F8" w:rsidP="009C7A61">
            <w:pPr>
              <w:ind w:left="293"/>
              <w:rPr>
                <w:sz w:val="20"/>
              </w:rPr>
            </w:pPr>
            <w:r>
              <w:rPr>
                <w:sz w:val="20"/>
              </w:rPr>
              <w:t>Tin (</w:t>
            </w:r>
            <w:r w:rsidR="0052050C">
              <w:rPr>
                <w:sz w:val="20"/>
              </w:rPr>
              <w:t>Sn</w:t>
            </w:r>
            <w:r>
              <w:rPr>
                <w:sz w:val="20"/>
              </w:rPr>
              <w:t>)</w:t>
            </w:r>
          </w:p>
        </w:tc>
        <w:tc>
          <w:tcPr>
            <w:tcW w:w="2160" w:type="dxa"/>
            <w:vAlign w:val="center"/>
          </w:tcPr>
          <w:p w:rsidR="00F47B20" w:rsidRPr="00AE1D7E" w:rsidRDefault="00D24393" w:rsidP="00F47B20">
            <w:pPr>
              <w:jc w:val="center"/>
              <w:rPr>
                <w:sz w:val="20"/>
              </w:rPr>
            </w:pPr>
            <w:r>
              <w:rPr>
                <w:sz w:val="20"/>
              </w:rPr>
              <w:t>3</w:t>
            </w:r>
          </w:p>
        </w:tc>
      </w:tr>
      <w:tr w:rsidR="00F47B20" w:rsidRPr="00AE1D7E" w:rsidTr="00F47B20">
        <w:trPr>
          <w:trHeight w:val="20"/>
          <w:jc w:val="center"/>
        </w:trPr>
        <w:tc>
          <w:tcPr>
            <w:tcW w:w="1620" w:type="dxa"/>
            <w:vAlign w:val="center"/>
          </w:tcPr>
          <w:p w:rsidR="00F47B20" w:rsidRPr="00AE1D7E" w:rsidRDefault="00C074CC" w:rsidP="009C7A61">
            <w:pPr>
              <w:ind w:left="387" w:hanging="180"/>
              <w:rPr>
                <w:sz w:val="20"/>
              </w:rPr>
            </w:pPr>
            <w:r>
              <w:rPr>
                <w:sz w:val="20"/>
              </w:rPr>
              <w:t>Gallium (</w:t>
            </w:r>
            <w:r w:rsidR="0052050C">
              <w:rPr>
                <w:sz w:val="20"/>
              </w:rPr>
              <w:t>Ga</w:t>
            </w:r>
            <w:r>
              <w:rPr>
                <w:sz w:val="20"/>
              </w:rPr>
              <w:t>)</w:t>
            </w:r>
          </w:p>
        </w:tc>
        <w:tc>
          <w:tcPr>
            <w:tcW w:w="2160" w:type="dxa"/>
            <w:vAlign w:val="center"/>
          </w:tcPr>
          <w:p w:rsidR="00F47B20" w:rsidRPr="00AE1D7E" w:rsidRDefault="00F47B20" w:rsidP="00F47B20">
            <w:pPr>
              <w:jc w:val="center"/>
              <w:rPr>
                <w:sz w:val="20"/>
              </w:rPr>
            </w:pPr>
            <w:r>
              <w:rPr>
                <w:sz w:val="20"/>
              </w:rPr>
              <w:t>3</w:t>
            </w:r>
          </w:p>
        </w:tc>
        <w:tc>
          <w:tcPr>
            <w:tcW w:w="1710" w:type="dxa"/>
            <w:vAlign w:val="center"/>
          </w:tcPr>
          <w:p w:rsidR="00F47B20" w:rsidRPr="00AE1D7E" w:rsidRDefault="000F76F8" w:rsidP="009C7A61">
            <w:pPr>
              <w:ind w:left="293"/>
              <w:rPr>
                <w:sz w:val="20"/>
              </w:rPr>
            </w:pPr>
            <w:r>
              <w:rPr>
                <w:sz w:val="20"/>
              </w:rPr>
              <w:t>Tellurium (</w:t>
            </w:r>
            <w:proofErr w:type="spellStart"/>
            <w:r w:rsidR="0052050C">
              <w:rPr>
                <w:sz w:val="20"/>
              </w:rPr>
              <w:t>Te</w:t>
            </w:r>
            <w:proofErr w:type="spellEnd"/>
            <w:r>
              <w:rPr>
                <w:sz w:val="20"/>
              </w:rPr>
              <w:t>)</w:t>
            </w:r>
          </w:p>
        </w:tc>
        <w:tc>
          <w:tcPr>
            <w:tcW w:w="2160" w:type="dxa"/>
            <w:vAlign w:val="center"/>
          </w:tcPr>
          <w:p w:rsidR="00F47B20" w:rsidRPr="00AE1D7E" w:rsidRDefault="00D24393" w:rsidP="00F47B20">
            <w:pPr>
              <w:jc w:val="center"/>
              <w:rPr>
                <w:sz w:val="20"/>
              </w:rPr>
            </w:pPr>
            <w:r>
              <w:rPr>
                <w:sz w:val="20"/>
              </w:rPr>
              <w:t>2, 4</w:t>
            </w:r>
          </w:p>
        </w:tc>
      </w:tr>
      <w:tr w:rsidR="00F47B20" w:rsidRPr="00AE1D7E" w:rsidTr="00F47B20">
        <w:trPr>
          <w:trHeight w:val="20"/>
          <w:jc w:val="center"/>
        </w:trPr>
        <w:tc>
          <w:tcPr>
            <w:tcW w:w="1620" w:type="dxa"/>
            <w:vAlign w:val="center"/>
          </w:tcPr>
          <w:p w:rsidR="00F47B20" w:rsidRPr="00AE1D7E" w:rsidRDefault="00C074CC" w:rsidP="009C7A61">
            <w:pPr>
              <w:ind w:left="387" w:hanging="180"/>
              <w:rPr>
                <w:sz w:val="20"/>
              </w:rPr>
            </w:pPr>
            <w:r>
              <w:rPr>
                <w:sz w:val="20"/>
              </w:rPr>
              <w:t>Lead (</w:t>
            </w:r>
            <w:proofErr w:type="spellStart"/>
            <w:r w:rsidR="0052050C">
              <w:rPr>
                <w:sz w:val="20"/>
              </w:rPr>
              <w:t>Pb</w:t>
            </w:r>
            <w:proofErr w:type="spellEnd"/>
            <w:r>
              <w:rPr>
                <w:sz w:val="20"/>
              </w:rPr>
              <w:t>)</w:t>
            </w:r>
          </w:p>
        </w:tc>
        <w:tc>
          <w:tcPr>
            <w:tcW w:w="2160" w:type="dxa"/>
            <w:vAlign w:val="center"/>
          </w:tcPr>
          <w:p w:rsidR="00F47B20" w:rsidRPr="00AE1D7E" w:rsidRDefault="00D24393" w:rsidP="00D24393">
            <w:pPr>
              <w:jc w:val="center"/>
              <w:rPr>
                <w:sz w:val="20"/>
              </w:rPr>
            </w:pPr>
            <w:r>
              <w:rPr>
                <w:sz w:val="20"/>
              </w:rPr>
              <w:t xml:space="preserve">1, </w:t>
            </w:r>
            <w:r w:rsidR="00F47B20">
              <w:rPr>
                <w:sz w:val="20"/>
              </w:rPr>
              <w:t xml:space="preserve">3, </w:t>
            </w:r>
            <w:r>
              <w:rPr>
                <w:sz w:val="20"/>
              </w:rPr>
              <w:t>4</w:t>
            </w:r>
          </w:p>
        </w:tc>
        <w:tc>
          <w:tcPr>
            <w:tcW w:w="1710" w:type="dxa"/>
            <w:vAlign w:val="center"/>
          </w:tcPr>
          <w:p w:rsidR="00F47B20" w:rsidRPr="00AE1D7E" w:rsidRDefault="000F76F8" w:rsidP="009C7A61">
            <w:pPr>
              <w:ind w:left="293"/>
              <w:rPr>
                <w:sz w:val="20"/>
              </w:rPr>
            </w:pPr>
            <w:r>
              <w:rPr>
                <w:sz w:val="20"/>
              </w:rPr>
              <w:t>Thallium (</w:t>
            </w:r>
            <w:r w:rsidR="0052050C">
              <w:rPr>
                <w:sz w:val="20"/>
              </w:rPr>
              <w:t>Tl</w:t>
            </w:r>
            <w:r>
              <w:rPr>
                <w:sz w:val="20"/>
              </w:rPr>
              <w:t>)</w:t>
            </w:r>
          </w:p>
        </w:tc>
        <w:tc>
          <w:tcPr>
            <w:tcW w:w="2160" w:type="dxa"/>
            <w:vAlign w:val="center"/>
          </w:tcPr>
          <w:p w:rsidR="00F47B20" w:rsidRPr="00AE1D7E" w:rsidRDefault="00D24393" w:rsidP="00D24393">
            <w:pPr>
              <w:jc w:val="center"/>
              <w:rPr>
                <w:sz w:val="20"/>
              </w:rPr>
            </w:pPr>
            <w:r>
              <w:rPr>
                <w:sz w:val="20"/>
              </w:rPr>
              <w:t>1</w:t>
            </w:r>
            <w:r w:rsidR="00F47B20">
              <w:rPr>
                <w:sz w:val="20"/>
              </w:rPr>
              <w:t xml:space="preserve">, </w:t>
            </w:r>
            <w:r>
              <w:rPr>
                <w:sz w:val="20"/>
              </w:rPr>
              <w:t>3</w:t>
            </w:r>
          </w:p>
        </w:tc>
      </w:tr>
      <w:tr w:rsidR="0052050C" w:rsidRPr="00AE1D7E" w:rsidTr="00F47B20">
        <w:trPr>
          <w:trHeight w:val="20"/>
          <w:jc w:val="center"/>
        </w:trPr>
        <w:tc>
          <w:tcPr>
            <w:tcW w:w="1620" w:type="dxa"/>
            <w:vAlign w:val="center"/>
          </w:tcPr>
          <w:p w:rsidR="0052050C" w:rsidRPr="00AE1D7E" w:rsidRDefault="00C074CC" w:rsidP="009C7A61">
            <w:pPr>
              <w:ind w:left="387" w:hanging="180"/>
              <w:rPr>
                <w:sz w:val="20"/>
              </w:rPr>
            </w:pPr>
            <w:r>
              <w:rPr>
                <w:sz w:val="20"/>
              </w:rPr>
              <w:t>Antimony (</w:t>
            </w:r>
            <w:r w:rsidR="0052050C">
              <w:rPr>
                <w:sz w:val="20"/>
              </w:rPr>
              <w:t>Sb</w:t>
            </w:r>
            <w:r>
              <w:rPr>
                <w:sz w:val="20"/>
              </w:rPr>
              <w:t>)</w:t>
            </w:r>
          </w:p>
        </w:tc>
        <w:tc>
          <w:tcPr>
            <w:tcW w:w="2160" w:type="dxa"/>
            <w:vAlign w:val="center"/>
          </w:tcPr>
          <w:p w:rsidR="0052050C" w:rsidRPr="00AE1D7E" w:rsidRDefault="0052050C" w:rsidP="0009522C">
            <w:pPr>
              <w:jc w:val="center"/>
              <w:rPr>
                <w:sz w:val="20"/>
              </w:rPr>
            </w:pPr>
            <w:r>
              <w:rPr>
                <w:sz w:val="20"/>
              </w:rPr>
              <w:t>3</w:t>
            </w:r>
          </w:p>
        </w:tc>
        <w:tc>
          <w:tcPr>
            <w:tcW w:w="1710" w:type="dxa"/>
            <w:vAlign w:val="center"/>
          </w:tcPr>
          <w:p w:rsidR="0052050C" w:rsidRPr="00AE1D7E" w:rsidRDefault="0052050C" w:rsidP="009C7A61">
            <w:pPr>
              <w:ind w:left="293"/>
              <w:rPr>
                <w:sz w:val="20"/>
              </w:rPr>
            </w:pPr>
          </w:p>
        </w:tc>
        <w:tc>
          <w:tcPr>
            <w:tcW w:w="2160" w:type="dxa"/>
            <w:vAlign w:val="center"/>
          </w:tcPr>
          <w:p w:rsidR="0052050C" w:rsidRDefault="0052050C" w:rsidP="00F47B20">
            <w:pPr>
              <w:jc w:val="center"/>
              <w:rPr>
                <w:sz w:val="20"/>
              </w:rPr>
            </w:pPr>
          </w:p>
        </w:tc>
      </w:tr>
    </w:tbl>
    <w:p w:rsidR="00561389" w:rsidRPr="00D77775" w:rsidRDefault="00561389" w:rsidP="00C162D2">
      <w:pPr>
        <w:tabs>
          <w:tab w:val="left" w:pos="270"/>
        </w:tabs>
        <w:spacing w:before="120"/>
        <w:jc w:val="both"/>
        <w:rPr>
          <w:sz w:val="18"/>
          <w:szCs w:val="18"/>
        </w:rPr>
      </w:pPr>
      <w:r w:rsidRPr="00D77775">
        <w:rPr>
          <w:sz w:val="18"/>
          <w:szCs w:val="18"/>
          <w:vertAlign w:val="superscript"/>
        </w:rPr>
        <w:t>(a)</w:t>
      </w:r>
      <w:r w:rsidRPr="00D77775">
        <w:rPr>
          <w:sz w:val="18"/>
          <w:szCs w:val="18"/>
          <w:vertAlign w:val="superscript"/>
        </w:rPr>
        <w:tab/>
      </w:r>
      <w:r w:rsidRPr="00D77775">
        <w:rPr>
          <w:sz w:val="18"/>
          <w:szCs w:val="18"/>
        </w:rPr>
        <w:t>Key to Methods:</w:t>
      </w:r>
    </w:p>
    <w:p w:rsidR="00561389" w:rsidRPr="00D77775" w:rsidRDefault="00561389" w:rsidP="00561389">
      <w:pPr>
        <w:numPr>
          <w:ilvl w:val="0"/>
          <w:numId w:val="14"/>
        </w:numPr>
        <w:tabs>
          <w:tab w:val="clear" w:pos="720"/>
          <w:tab w:val="num" w:pos="630"/>
        </w:tabs>
        <w:autoSpaceDE w:val="0"/>
        <w:autoSpaceDN w:val="0"/>
        <w:adjustRightInd w:val="0"/>
        <w:ind w:hanging="450"/>
        <w:jc w:val="both"/>
        <w:rPr>
          <w:sz w:val="18"/>
          <w:szCs w:val="18"/>
        </w:rPr>
      </w:pPr>
      <w:r w:rsidRPr="00D77775">
        <w:rPr>
          <w:sz w:val="18"/>
          <w:szCs w:val="18"/>
        </w:rPr>
        <w:t>Isotope dilution thermal ionization mass spectrometry</w:t>
      </w:r>
    </w:p>
    <w:p w:rsidR="00561389" w:rsidRPr="00D77775" w:rsidRDefault="00561389" w:rsidP="00561389">
      <w:pPr>
        <w:numPr>
          <w:ilvl w:val="0"/>
          <w:numId w:val="14"/>
        </w:numPr>
        <w:tabs>
          <w:tab w:val="clear" w:pos="720"/>
          <w:tab w:val="num" w:pos="630"/>
        </w:tabs>
        <w:autoSpaceDE w:val="0"/>
        <w:autoSpaceDN w:val="0"/>
        <w:adjustRightInd w:val="0"/>
        <w:ind w:left="1440" w:hanging="1170"/>
        <w:jc w:val="both"/>
        <w:rPr>
          <w:sz w:val="18"/>
          <w:szCs w:val="18"/>
        </w:rPr>
      </w:pPr>
      <w:r w:rsidRPr="00D77775">
        <w:rPr>
          <w:sz w:val="18"/>
          <w:szCs w:val="18"/>
        </w:rPr>
        <w:t>Isotope dilution spark source mass spectrometry</w:t>
      </w:r>
    </w:p>
    <w:p w:rsidR="00561389" w:rsidRPr="00D77775" w:rsidRDefault="00561389" w:rsidP="00561389">
      <w:pPr>
        <w:numPr>
          <w:ilvl w:val="0"/>
          <w:numId w:val="14"/>
        </w:numPr>
        <w:tabs>
          <w:tab w:val="clear" w:pos="720"/>
          <w:tab w:val="num" w:pos="630"/>
        </w:tabs>
        <w:autoSpaceDE w:val="0"/>
        <w:autoSpaceDN w:val="0"/>
        <w:adjustRightInd w:val="0"/>
        <w:ind w:left="1440" w:hanging="1170"/>
        <w:jc w:val="both"/>
        <w:rPr>
          <w:sz w:val="18"/>
          <w:szCs w:val="18"/>
        </w:rPr>
      </w:pPr>
      <w:r w:rsidRPr="00D77775">
        <w:rPr>
          <w:sz w:val="18"/>
          <w:szCs w:val="18"/>
        </w:rPr>
        <w:t>Inductively coupled plasma mass spectrometry [8]</w:t>
      </w:r>
    </w:p>
    <w:p w:rsidR="00561389" w:rsidRPr="00D77775" w:rsidRDefault="00561389" w:rsidP="00561389">
      <w:pPr>
        <w:numPr>
          <w:ilvl w:val="0"/>
          <w:numId w:val="14"/>
        </w:numPr>
        <w:tabs>
          <w:tab w:val="clear" w:pos="720"/>
          <w:tab w:val="num" w:pos="630"/>
        </w:tabs>
        <w:autoSpaceDE w:val="0"/>
        <w:autoSpaceDN w:val="0"/>
        <w:adjustRightInd w:val="0"/>
        <w:ind w:left="1440" w:hanging="1170"/>
        <w:jc w:val="both"/>
        <w:rPr>
          <w:sz w:val="18"/>
          <w:szCs w:val="18"/>
        </w:rPr>
      </w:pPr>
      <w:r w:rsidRPr="00D77775">
        <w:rPr>
          <w:sz w:val="18"/>
          <w:szCs w:val="18"/>
        </w:rPr>
        <w:t>Graphite furnace atomic absorption spectrometry [9]</w:t>
      </w:r>
    </w:p>
    <w:p w:rsidR="00561389" w:rsidRDefault="00561389" w:rsidP="00561389">
      <w:pPr>
        <w:pStyle w:val="BodyText"/>
      </w:pPr>
    </w:p>
    <w:p w:rsidR="00561389" w:rsidRDefault="00561389" w:rsidP="002B6E40">
      <w:pPr>
        <w:pStyle w:val="BodyText"/>
      </w:pPr>
    </w:p>
    <w:p w:rsidR="00FC3106" w:rsidRDefault="00FC3106" w:rsidP="00FC3106">
      <w:pPr>
        <w:pStyle w:val="BodyText"/>
        <w:jc w:val="center"/>
      </w:pPr>
      <w:proofErr w:type="gramStart"/>
      <w:r>
        <w:t>Table</w:t>
      </w:r>
      <w:r w:rsidR="00561389">
        <w:t> </w:t>
      </w:r>
      <w:r>
        <w:t>5.</w:t>
      </w:r>
      <w:proofErr w:type="gramEnd"/>
      <w:r>
        <w:t xml:space="preserve">  Laboratories Collaborating in the Development of </w:t>
      </w:r>
      <w:r w:rsidR="008A5DC8">
        <w:t>“</w:t>
      </w:r>
      <w:proofErr w:type="spellStart"/>
      <w:r w:rsidR="008A5DC8">
        <w:t>Tracealloy</w:t>
      </w:r>
      <w:proofErr w:type="spellEnd"/>
      <w:r w:rsidR="008A5DC8">
        <w:t xml:space="preserve">” </w:t>
      </w:r>
      <w:r>
        <w:t>Material</w:t>
      </w:r>
      <w:r w:rsidR="008A5DC8">
        <w:t>s</w:t>
      </w:r>
    </w:p>
    <w:p w:rsidR="00561389" w:rsidRDefault="00561389" w:rsidP="00561389">
      <w:pPr>
        <w:pStyle w:val="BodyText"/>
      </w:pPr>
    </w:p>
    <w:tbl>
      <w:tblPr>
        <w:tblStyle w:val="TableGrid"/>
        <w:tblW w:w="872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024"/>
        <w:gridCol w:w="2824"/>
      </w:tblGrid>
      <w:tr w:rsidR="00561389" w:rsidTr="002102A5">
        <w:trPr>
          <w:jc w:val="center"/>
        </w:trPr>
        <w:tc>
          <w:tcPr>
            <w:tcW w:w="2880" w:type="dxa"/>
          </w:tcPr>
          <w:p w:rsidR="00561389" w:rsidRDefault="00561389" w:rsidP="002102A5">
            <w:pPr>
              <w:pStyle w:val="BodyText"/>
            </w:pPr>
            <w:proofErr w:type="spellStart"/>
            <w:r>
              <w:t>Acculabs</w:t>
            </w:r>
            <w:proofErr w:type="spellEnd"/>
            <w:r>
              <w:t xml:space="preserve"> – R. Brown</w:t>
            </w:r>
          </w:p>
        </w:tc>
        <w:tc>
          <w:tcPr>
            <w:tcW w:w="3024" w:type="dxa"/>
          </w:tcPr>
          <w:p w:rsidR="00561389" w:rsidRDefault="00561389" w:rsidP="002102A5">
            <w:pPr>
              <w:pStyle w:val="BodyText"/>
            </w:pPr>
            <w:r>
              <w:t>Cannon Muskegon – R. </w:t>
            </w:r>
            <w:proofErr w:type="spellStart"/>
            <w:r>
              <w:t>Schwer</w:t>
            </w:r>
            <w:proofErr w:type="spellEnd"/>
          </w:p>
        </w:tc>
        <w:tc>
          <w:tcPr>
            <w:tcW w:w="2824" w:type="dxa"/>
          </w:tcPr>
          <w:p w:rsidR="00561389" w:rsidRDefault="00561389" w:rsidP="002102A5">
            <w:pPr>
              <w:pStyle w:val="BodyText"/>
            </w:pPr>
            <w:proofErr w:type="spellStart"/>
            <w:r>
              <w:t>Cartech</w:t>
            </w:r>
            <w:proofErr w:type="spellEnd"/>
            <w:r>
              <w:t xml:space="preserve"> –  R. Whitney</w:t>
            </w:r>
          </w:p>
        </w:tc>
      </w:tr>
      <w:tr w:rsidR="00561389" w:rsidTr="002102A5">
        <w:trPr>
          <w:jc w:val="center"/>
        </w:trPr>
        <w:tc>
          <w:tcPr>
            <w:tcW w:w="2880" w:type="dxa"/>
          </w:tcPr>
          <w:p w:rsidR="00561389" w:rsidRDefault="00561389" w:rsidP="002102A5">
            <w:pPr>
              <w:pStyle w:val="BodyText"/>
            </w:pPr>
            <w:r>
              <w:t>Falconbridge – L. Morris</w:t>
            </w:r>
          </w:p>
        </w:tc>
        <w:tc>
          <w:tcPr>
            <w:tcW w:w="3024" w:type="dxa"/>
          </w:tcPr>
          <w:p w:rsidR="00561389" w:rsidRDefault="00561389" w:rsidP="002102A5">
            <w:pPr>
              <w:pStyle w:val="BodyText"/>
            </w:pPr>
            <w:r>
              <w:t>Howmet Alloy Division – J. White</w:t>
            </w:r>
          </w:p>
        </w:tc>
        <w:tc>
          <w:tcPr>
            <w:tcW w:w="2824" w:type="dxa"/>
          </w:tcPr>
          <w:p w:rsidR="00561389" w:rsidRDefault="00561389" w:rsidP="002102A5">
            <w:pPr>
              <w:pStyle w:val="BodyText"/>
            </w:pPr>
            <w:r>
              <w:t>Huntington Alloys – D. Carlson</w:t>
            </w:r>
          </w:p>
        </w:tc>
      </w:tr>
      <w:tr w:rsidR="00561389" w:rsidTr="002102A5">
        <w:trPr>
          <w:jc w:val="center"/>
        </w:trPr>
        <w:tc>
          <w:tcPr>
            <w:tcW w:w="2880" w:type="dxa"/>
          </w:tcPr>
          <w:p w:rsidR="00561389" w:rsidRDefault="00561389" w:rsidP="002102A5">
            <w:pPr>
              <w:pStyle w:val="BodyText"/>
            </w:pPr>
            <w:r>
              <w:t>INCO – C. David</w:t>
            </w:r>
          </w:p>
        </w:tc>
        <w:tc>
          <w:tcPr>
            <w:tcW w:w="3024" w:type="dxa"/>
          </w:tcPr>
          <w:p w:rsidR="00561389" w:rsidRDefault="00561389" w:rsidP="002102A5">
            <w:pPr>
              <w:pStyle w:val="BodyText"/>
            </w:pPr>
            <w:r>
              <w:t xml:space="preserve">J. </w:t>
            </w:r>
            <w:proofErr w:type="spellStart"/>
            <w:r>
              <w:t>Dirats</w:t>
            </w:r>
            <w:proofErr w:type="spellEnd"/>
            <w:r>
              <w:t xml:space="preserve"> &amp; Co. – E. </w:t>
            </w:r>
            <w:proofErr w:type="spellStart"/>
            <w:r>
              <w:t>Dirats</w:t>
            </w:r>
            <w:proofErr w:type="spellEnd"/>
          </w:p>
        </w:tc>
        <w:tc>
          <w:tcPr>
            <w:tcW w:w="2824" w:type="dxa"/>
          </w:tcPr>
          <w:p w:rsidR="00561389" w:rsidRDefault="00561389" w:rsidP="002102A5">
            <w:pPr>
              <w:pStyle w:val="BodyText"/>
            </w:pPr>
            <w:r>
              <w:t>Lycoming – R. </w:t>
            </w:r>
            <w:proofErr w:type="spellStart"/>
            <w:r>
              <w:t>Sussman</w:t>
            </w:r>
            <w:proofErr w:type="spellEnd"/>
          </w:p>
        </w:tc>
      </w:tr>
      <w:tr w:rsidR="00561389" w:rsidTr="002102A5">
        <w:trPr>
          <w:jc w:val="center"/>
        </w:trPr>
        <w:tc>
          <w:tcPr>
            <w:tcW w:w="2880" w:type="dxa"/>
          </w:tcPr>
          <w:p w:rsidR="00561389" w:rsidRDefault="00561389" w:rsidP="002102A5">
            <w:pPr>
              <w:pStyle w:val="BodyText"/>
            </w:pPr>
            <w:proofErr w:type="spellStart"/>
            <w:r>
              <w:t>Misco</w:t>
            </w:r>
            <w:proofErr w:type="spellEnd"/>
            <w:r>
              <w:t>-Howmet – D. Preston</w:t>
            </w:r>
          </w:p>
        </w:tc>
        <w:tc>
          <w:tcPr>
            <w:tcW w:w="3024" w:type="dxa"/>
          </w:tcPr>
          <w:p w:rsidR="00561389" w:rsidRDefault="00561389" w:rsidP="002102A5">
            <w:pPr>
              <w:pStyle w:val="BodyText"/>
            </w:pPr>
            <w:r>
              <w:t>Pratt &amp; Whitney – J. Marks</w:t>
            </w:r>
          </w:p>
        </w:tc>
        <w:tc>
          <w:tcPr>
            <w:tcW w:w="2824" w:type="dxa"/>
          </w:tcPr>
          <w:p w:rsidR="00561389" w:rsidRDefault="00561389" w:rsidP="002102A5">
            <w:pPr>
              <w:pStyle w:val="BodyText"/>
            </w:pPr>
            <w:r>
              <w:t>SNECMA – M. </w:t>
            </w:r>
            <w:proofErr w:type="spellStart"/>
            <w:r>
              <w:t>Frerre</w:t>
            </w:r>
            <w:proofErr w:type="spellEnd"/>
          </w:p>
        </w:tc>
      </w:tr>
      <w:tr w:rsidR="00561389" w:rsidTr="002102A5">
        <w:trPr>
          <w:jc w:val="center"/>
        </w:trPr>
        <w:tc>
          <w:tcPr>
            <w:tcW w:w="2880" w:type="dxa"/>
          </w:tcPr>
          <w:p w:rsidR="00561389" w:rsidRDefault="00561389" w:rsidP="002102A5">
            <w:pPr>
              <w:pStyle w:val="BodyText"/>
            </w:pPr>
            <w:r>
              <w:t>Special Metals – M. Harrington</w:t>
            </w:r>
          </w:p>
        </w:tc>
        <w:tc>
          <w:tcPr>
            <w:tcW w:w="3024" w:type="dxa"/>
          </w:tcPr>
          <w:p w:rsidR="00561389" w:rsidRDefault="00561389" w:rsidP="002102A5">
            <w:pPr>
              <w:pStyle w:val="BodyText"/>
            </w:pPr>
            <w:proofErr w:type="spellStart"/>
            <w:r>
              <w:t>Stellite</w:t>
            </w:r>
            <w:proofErr w:type="spellEnd"/>
            <w:r>
              <w:t>-Cabot – J. </w:t>
            </w:r>
            <w:proofErr w:type="spellStart"/>
            <w:r>
              <w:t>McLafferty</w:t>
            </w:r>
            <w:proofErr w:type="spellEnd"/>
          </w:p>
        </w:tc>
        <w:tc>
          <w:tcPr>
            <w:tcW w:w="2824" w:type="dxa"/>
          </w:tcPr>
          <w:p w:rsidR="00561389" w:rsidRDefault="00561389" w:rsidP="002102A5">
            <w:pPr>
              <w:pStyle w:val="BodyText"/>
            </w:pPr>
            <w:r>
              <w:t xml:space="preserve">Teledyne </w:t>
            </w:r>
            <w:proofErr w:type="spellStart"/>
            <w:r>
              <w:t>Allvac</w:t>
            </w:r>
            <w:proofErr w:type="spellEnd"/>
            <w:r>
              <w:t xml:space="preserve"> – W. Thomas</w:t>
            </w:r>
          </w:p>
        </w:tc>
      </w:tr>
      <w:tr w:rsidR="00561389" w:rsidTr="002102A5">
        <w:trPr>
          <w:jc w:val="center"/>
        </w:trPr>
        <w:tc>
          <w:tcPr>
            <w:tcW w:w="2880" w:type="dxa"/>
          </w:tcPr>
          <w:p w:rsidR="00561389" w:rsidRDefault="00561389" w:rsidP="002102A5">
            <w:pPr>
              <w:pStyle w:val="BodyText"/>
            </w:pPr>
            <w:r>
              <w:t>TRW – L. Harper</w:t>
            </w:r>
          </w:p>
        </w:tc>
        <w:tc>
          <w:tcPr>
            <w:tcW w:w="3024" w:type="dxa"/>
          </w:tcPr>
          <w:p w:rsidR="00561389" w:rsidRDefault="00561389" w:rsidP="002102A5">
            <w:pPr>
              <w:pStyle w:val="BodyText"/>
            </w:pPr>
            <w:r>
              <w:t>Union Carbide Metals – C. Brown</w:t>
            </w:r>
          </w:p>
        </w:tc>
        <w:tc>
          <w:tcPr>
            <w:tcW w:w="2824" w:type="dxa"/>
          </w:tcPr>
          <w:p w:rsidR="00561389" w:rsidRDefault="00561389" w:rsidP="002102A5">
            <w:pPr>
              <w:pStyle w:val="BodyText"/>
            </w:pPr>
            <w:r>
              <w:t>Union Carbide - UK – I. </w:t>
            </w:r>
            <w:proofErr w:type="spellStart"/>
            <w:r>
              <w:t>Nolleth</w:t>
            </w:r>
            <w:proofErr w:type="spellEnd"/>
          </w:p>
        </w:tc>
      </w:tr>
      <w:tr w:rsidR="00561389" w:rsidTr="002102A5">
        <w:trPr>
          <w:jc w:val="center"/>
        </w:trPr>
        <w:tc>
          <w:tcPr>
            <w:tcW w:w="2880" w:type="dxa"/>
          </w:tcPr>
          <w:p w:rsidR="00561389" w:rsidRDefault="00561389" w:rsidP="002102A5">
            <w:pPr>
              <w:pStyle w:val="BodyText"/>
              <w:jc w:val="right"/>
            </w:pPr>
            <w:r>
              <w:t>Universal-Cyclops – L. </w:t>
            </w:r>
            <w:proofErr w:type="spellStart"/>
            <w:r>
              <w:t>Lherbier</w:t>
            </w:r>
            <w:proofErr w:type="spellEnd"/>
            <w:r>
              <w:t>,  – A. </w:t>
            </w:r>
            <w:proofErr w:type="spellStart"/>
            <w:r>
              <w:t>Mirarchi</w:t>
            </w:r>
            <w:proofErr w:type="spellEnd"/>
          </w:p>
        </w:tc>
        <w:tc>
          <w:tcPr>
            <w:tcW w:w="3024" w:type="dxa"/>
          </w:tcPr>
          <w:p w:rsidR="00561389" w:rsidRDefault="00561389" w:rsidP="002102A5">
            <w:pPr>
              <w:pStyle w:val="BodyText"/>
            </w:pPr>
            <w:r>
              <w:t>Westinghouse – G. Beck</w:t>
            </w:r>
          </w:p>
        </w:tc>
        <w:tc>
          <w:tcPr>
            <w:tcW w:w="2824" w:type="dxa"/>
          </w:tcPr>
          <w:p w:rsidR="00561389" w:rsidRDefault="00561389" w:rsidP="002102A5">
            <w:pPr>
              <w:pStyle w:val="BodyText"/>
            </w:pPr>
            <w:r>
              <w:t>Wyman Gordon – R. Sparks</w:t>
            </w:r>
          </w:p>
        </w:tc>
      </w:tr>
    </w:tbl>
    <w:p w:rsidR="00561389" w:rsidRDefault="00561389" w:rsidP="00561389">
      <w:pPr>
        <w:pStyle w:val="BodyText"/>
      </w:pPr>
    </w:p>
    <w:p w:rsidR="00FA4487" w:rsidRDefault="00FA4487" w:rsidP="00561389">
      <w:pPr>
        <w:pStyle w:val="BodyText"/>
      </w:pPr>
    </w:p>
    <w:p w:rsidR="00FA4487" w:rsidRDefault="00FA4487">
      <w:pPr>
        <w:rPr>
          <w:sz w:val="20"/>
        </w:rPr>
      </w:pPr>
      <w:r>
        <w:br w:type="page"/>
      </w:r>
    </w:p>
    <w:p w:rsidR="00561389" w:rsidRDefault="00561389" w:rsidP="00561389">
      <w:pPr>
        <w:pStyle w:val="BodyText"/>
        <w:jc w:val="center"/>
      </w:pPr>
      <w:r>
        <w:t>REFERENCES</w:t>
      </w:r>
    </w:p>
    <w:p w:rsidR="00561389" w:rsidRDefault="00561389" w:rsidP="00561389">
      <w:pPr>
        <w:pStyle w:val="BodyText"/>
        <w:tabs>
          <w:tab w:val="left" w:pos="450"/>
        </w:tabs>
      </w:pPr>
    </w:p>
    <w:p w:rsidR="00561389" w:rsidRPr="00D148D6" w:rsidRDefault="00561389" w:rsidP="00C162D2">
      <w:pPr>
        <w:numPr>
          <w:ilvl w:val="0"/>
          <w:numId w:val="2"/>
        </w:numPr>
        <w:jc w:val="both"/>
        <w:rPr>
          <w:sz w:val="20"/>
        </w:rPr>
      </w:pPr>
      <w:r w:rsidRPr="00D148D6">
        <w:rPr>
          <w:sz w:val="20"/>
        </w:rPr>
        <w:t xml:space="preserve">Thompson, A.; Taylor, B.N.; </w:t>
      </w:r>
      <w:r w:rsidRPr="00D148D6">
        <w:rPr>
          <w:i/>
          <w:iCs/>
          <w:sz w:val="20"/>
        </w:rPr>
        <w:t>Guide for the Use of the International System of Units (SI)</w:t>
      </w:r>
      <w:r w:rsidRPr="00D148D6">
        <w:rPr>
          <w:iCs/>
          <w:sz w:val="20"/>
        </w:rPr>
        <w:t>; NIST Special Publication 811; U.S. Government Printing Office: Washington,</w:t>
      </w:r>
      <w:r w:rsidR="00C074CC">
        <w:rPr>
          <w:iCs/>
          <w:sz w:val="20"/>
        </w:rPr>
        <w:t> </w:t>
      </w:r>
      <w:r w:rsidRPr="00D148D6">
        <w:rPr>
          <w:iCs/>
          <w:sz w:val="20"/>
        </w:rPr>
        <w:t>DC (2008)</w:t>
      </w:r>
      <w:r w:rsidRPr="00D148D6">
        <w:rPr>
          <w:sz w:val="20"/>
        </w:rPr>
        <w:t xml:space="preserve"> available at http://physics.nist.gov/Pubs</w:t>
      </w:r>
      <w:r w:rsidRPr="00D148D6">
        <w:rPr>
          <w:iCs/>
          <w:sz w:val="20"/>
        </w:rPr>
        <w:t xml:space="preserve"> (accessed </w:t>
      </w:r>
      <w:r w:rsidR="00E6421D">
        <w:rPr>
          <w:iCs/>
          <w:sz w:val="20"/>
        </w:rPr>
        <w:t>Feb 2014</w:t>
      </w:r>
      <w:r w:rsidRPr="00D148D6">
        <w:rPr>
          <w:iCs/>
          <w:sz w:val="20"/>
        </w:rPr>
        <w:t>).</w:t>
      </w:r>
    </w:p>
    <w:p w:rsidR="00561389" w:rsidRPr="00D148D6" w:rsidRDefault="00561389" w:rsidP="00561389">
      <w:pPr>
        <w:pStyle w:val="ListParagraph"/>
        <w:numPr>
          <w:ilvl w:val="0"/>
          <w:numId w:val="2"/>
        </w:numPr>
        <w:tabs>
          <w:tab w:val="left" w:pos="454"/>
        </w:tabs>
        <w:jc w:val="both"/>
        <w:rPr>
          <w:sz w:val="20"/>
        </w:rPr>
      </w:pPr>
      <w:r w:rsidRPr="00D148D6">
        <w:rPr>
          <w:sz w:val="20"/>
        </w:rPr>
        <w:t xml:space="preserve">May, W.; Parris, R.; Beck II, C.; </w:t>
      </w:r>
      <w:proofErr w:type="spellStart"/>
      <w:r w:rsidRPr="00D148D6">
        <w:rPr>
          <w:sz w:val="20"/>
        </w:rPr>
        <w:t>Fassett</w:t>
      </w:r>
      <w:proofErr w:type="spellEnd"/>
      <w:r w:rsidRPr="00D148D6">
        <w:rPr>
          <w:sz w:val="20"/>
        </w:rPr>
        <w:t xml:space="preserve">, J.; Greenberg, R.; Guenther, F.; Kramer, G.; Wise, S.; Gills, T.; Colbert, J.; </w:t>
      </w:r>
      <w:proofErr w:type="spellStart"/>
      <w:r w:rsidRPr="00D148D6">
        <w:rPr>
          <w:sz w:val="20"/>
        </w:rPr>
        <w:t>Gettings</w:t>
      </w:r>
      <w:proofErr w:type="spellEnd"/>
      <w:r w:rsidRPr="00D148D6">
        <w:rPr>
          <w:sz w:val="20"/>
        </w:rPr>
        <w:t>, R.; MacDonald, B.;</w:t>
      </w:r>
      <w:r w:rsidRPr="00D148D6">
        <w:rPr>
          <w:i/>
          <w:sz w:val="20"/>
        </w:rPr>
        <w:t xml:space="preserve"> Definition of Terms and Modes Used at NIST for Value Assignment of Reference Materials for Chemical Measurements</w:t>
      </w:r>
      <w:r w:rsidRPr="00D148D6">
        <w:rPr>
          <w:sz w:val="20"/>
        </w:rPr>
        <w:t>; NIST Special Publication 260</w:t>
      </w:r>
      <w:r w:rsidRPr="00D148D6">
        <w:rPr>
          <w:sz w:val="20"/>
        </w:rPr>
        <w:noBreakHyphen/>
        <w:t xml:space="preserve">136 (2000); available at </w:t>
      </w:r>
      <w:hyperlink r:id="rId11" w:history="1">
        <w:r w:rsidRPr="00D148D6">
          <w:rPr>
            <w:rStyle w:val="Hyperlink"/>
            <w:color w:val="auto"/>
            <w:sz w:val="20"/>
            <w:u w:val="none"/>
          </w:rPr>
          <w:t>http://www.nist.gov/srm/upload/SP260-136.PDF</w:t>
        </w:r>
      </w:hyperlink>
      <w:r w:rsidRPr="00D148D6">
        <w:rPr>
          <w:sz w:val="20"/>
        </w:rPr>
        <w:t xml:space="preserve"> (accessed </w:t>
      </w:r>
      <w:r w:rsidR="00E6421D">
        <w:rPr>
          <w:sz w:val="20"/>
        </w:rPr>
        <w:t>Feb 2014</w:t>
      </w:r>
      <w:r w:rsidRPr="00D148D6">
        <w:rPr>
          <w:sz w:val="20"/>
        </w:rPr>
        <w:t>).</w:t>
      </w:r>
    </w:p>
    <w:p w:rsidR="00561389" w:rsidRPr="00D148D6" w:rsidRDefault="00561389" w:rsidP="00561389">
      <w:pPr>
        <w:numPr>
          <w:ilvl w:val="0"/>
          <w:numId w:val="2"/>
        </w:numPr>
        <w:rPr>
          <w:sz w:val="20"/>
        </w:rPr>
      </w:pPr>
      <w:r w:rsidRPr="00D148D6">
        <w:rPr>
          <w:sz w:val="20"/>
        </w:rPr>
        <w:t>Searle,</w:t>
      </w:r>
      <w:r w:rsidR="000F76F8">
        <w:rPr>
          <w:sz w:val="20"/>
        </w:rPr>
        <w:t> </w:t>
      </w:r>
      <w:r w:rsidRPr="00D148D6">
        <w:rPr>
          <w:sz w:val="20"/>
        </w:rPr>
        <w:t>S.R.; Casella,</w:t>
      </w:r>
      <w:r w:rsidR="000F76F8">
        <w:rPr>
          <w:sz w:val="20"/>
        </w:rPr>
        <w:t> </w:t>
      </w:r>
      <w:r w:rsidRPr="00D148D6">
        <w:rPr>
          <w:sz w:val="20"/>
        </w:rPr>
        <w:t>G.</w:t>
      </w:r>
      <w:r w:rsidR="000F76F8">
        <w:rPr>
          <w:sz w:val="20"/>
        </w:rPr>
        <w:t>;</w:t>
      </w:r>
      <w:r w:rsidRPr="00D148D6">
        <w:rPr>
          <w:sz w:val="20"/>
        </w:rPr>
        <w:t xml:space="preserve"> McCulloch,</w:t>
      </w:r>
      <w:r w:rsidR="000F76F8">
        <w:rPr>
          <w:sz w:val="20"/>
        </w:rPr>
        <w:t> </w:t>
      </w:r>
      <w:r w:rsidRPr="00D148D6">
        <w:rPr>
          <w:sz w:val="20"/>
        </w:rPr>
        <w:t>C.E.</w:t>
      </w:r>
      <w:r w:rsidR="000F76F8">
        <w:rPr>
          <w:sz w:val="20"/>
        </w:rPr>
        <w:t>;</w:t>
      </w:r>
      <w:r w:rsidRPr="00D148D6">
        <w:rPr>
          <w:sz w:val="20"/>
        </w:rPr>
        <w:t xml:space="preserve"> </w:t>
      </w:r>
      <w:r w:rsidRPr="009C7A61">
        <w:rPr>
          <w:i/>
          <w:sz w:val="20"/>
        </w:rPr>
        <w:t>Variance Components</w:t>
      </w:r>
      <w:r w:rsidR="000F76F8">
        <w:rPr>
          <w:sz w:val="20"/>
        </w:rPr>
        <w:t>;</w:t>
      </w:r>
      <w:r w:rsidRPr="00D148D6">
        <w:rPr>
          <w:sz w:val="20"/>
        </w:rPr>
        <w:t xml:space="preserve"> John Wiley &amp; Sons, Hoboken, NJ</w:t>
      </w:r>
      <w:r w:rsidR="000F76F8">
        <w:rPr>
          <w:sz w:val="20"/>
        </w:rPr>
        <w:t xml:space="preserve"> </w:t>
      </w:r>
      <w:r w:rsidR="000F76F8" w:rsidRPr="00D148D6">
        <w:rPr>
          <w:sz w:val="20"/>
        </w:rPr>
        <w:t>(2006)</w:t>
      </w:r>
      <w:r w:rsidRPr="00D148D6">
        <w:rPr>
          <w:sz w:val="20"/>
        </w:rPr>
        <w:t>.</w:t>
      </w:r>
    </w:p>
    <w:p w:rsidR="00561389" w:rsidRPr="00D148D6" w:rsidRDefault="00561389" w:rsidP="00561389">
      <w:pPr>
        <w:pStyle w:val="ListParagraph"/>
        <w:numPr>
          <w:ilvl w:val="0"/>
          <w:numId w:val="2"/>
        </w:numPr>
        <w:tabs>
          <w:tab w:val="left" w:pos="450"/>
          <w:tab w:val="left" w:pos="540"/>
        </w:tabs>
        <w:jc w:val="both"/>
        <w:rPr>
          <w:sz w:val="20"/>
        </w:rPr>
      </w:pPr>
      <w:proofErr w:type="spellStart"/>
      <w:r w:rsidRPr="00D148D6">
        <w:rPr>
          <w:sz w:val="20"/>
        </w:rPr>
        <w:t>Dersimonian</w:t>
      </w:r>
      <w:proofErr w:type="spellEnd"/>
      <w:r w:rsidRPr="00D148D6">
        <w:rPr>
          <w:sz w:val="20"/>
        </w:rPr>
        <w:t xml:space="preserve">, R.; Laird, N.; </w:t>
      </w:r>
      <w:r w:rsidRPr="00D148D6">
        <w:rPr>
          <w:i/>
          <w:sz w:val="20"/>
        </w:rPr>
        <w:t>Meta-Analysis in Clinical Trials</w:t>
      </w:r>
      <w:r w:rsidRPr="00D148D6">
        <w:rPr>
          <w:sz w:val="20"/>
        </w:rPr>
        <w:t xml:space="preserve">; Control </w:t>
      </w:r>
      <w:proofErr w:type="spellStart"/>
      <w:r w:rsidRPr="00D148D6">
        <w:rPr>
          <w:sz w:val="20"/>
        </w:rPr>
        <w:t>Clin</w:t>
      </w:r>
      <w:proofErr w:type="spellEnd"/>
      <w:r w:rsidRPr="00D148D6">
        <w:rPr>
          <w:sz w:val="20"/>
        </w:rPr>
        <w:t>. Trials, Vol. 7, pp. 177</w:t>
      </w:r>
      <w:r w:rsidRPr="00D148D6">
        <w:rPr>
          <w:sz w:val="20"/>
        </w:rPr>
        <w:sym w:font="Symbol" w:char="F02D"/>
      </w:r>
      <w:r w:rsidRPr="00D148D6">
        <w:rPr>
          <w:sz w:val="20"/>
        </w:rPr>
        <w:t>188 (1986).</w:t>
      </w:r>
      <w:r w:rsidRPr="00D148D6" w:rsidDel="00D77775">
        <w:rPr>
          <w:sz w:val="20"/>
        </w:rPr>
        <w:t xml:space="preserve"> </w:t>
      </w:r>
    </w:p>
    <w:p w:rsidR="00561389" w:rsidRPr="00D148D6" w:rsidRDefault="00561389" w:rsidP="00561389">
      <w:pPr>
        <w:pStyle w:val="ListParagraph"/>
        <w:numPr>
          <w:ilvl w:val="0"/>
          <w:numId w:val="2"/>
        </w:numPr>
        <w:tabs>
          <w:tab w:val="left" w:pos="450"/>
          <w:tab w:val="left" w:pos="540"/>
        </w:tabs>
        <w:jc w:val="both"/>
        <w:rPr>
          <w:sz w:val="20"/>
        </w:rPr>
      </w:pPr>
      <w:proofErr w:type="spellStart"/>
      <w:r w:rsidRPr="00D148D6">
        <w:rPr>
          <w:sz w:val="20"/>
        </w:rPr>
        <w:t>Rukhin</w:t>
      </w:r>
      <w:proofErr w:type="spellEnd"/>
      <w:r w:rsidRPr="00D148D6">
        <w:rPr>
          <w:sz w:val="20"/>
        </w:rPr>
        <w:t>,</w:t>
      </w:r>
      <w:r w:rsidR="000F76F8">
        <w:rPr>
          <w:sz w:val="20"/>
        </w:rPr>
        <w:t> </w:t>
      </w:r>
      <w:r w:rsidRPr="00D148D6">
        <w:rPr>
          <w:sz w:val="20"/>
        </w:rPr>
        <w:t xml:space="preserve">A.L.; </w:t>
      </w:r>
      <w:r w:rsidRPr="00D148D6">
        <w:rPr>
          <w:i/>
          <w:sz w:val="20"/>
        </w:rPr>
        <w:t xml:space="preserve">Weighted Means Statistics in </w:t>
      </w:r>
      <w:proofErr w:type="spellStart"/>
      <w:r w:rsidRPr="00D148D6">
        <w:rPr>
          <w:i/>
          <w:sz w:val="20"/>
        </w:rPr>
        <w:t>Interlaboratory</w:t>
      </w:r>
      <w:proofErr w:type="spellEnd"/>
      <w:r w:rsidRPr="00D148D6">
        <w:rPr>
          <w:i/>
          <w:sz w:val="20"/>
        </w:rPr>
        <w:t xml:space="preserve"> Studies</w:t>
      </w:r>
      <w:r w:rsidRPr="00D148D6">
        <w:rPr>
          <w:sz w:val="20"/>
        </w:rPr>
        <w:t xml:space="preserve">; </w:t>
      </w:r>
      <w:proofErr w:type="spellStart"/>
      <w:r w:rsidRPr="00D148D6">
        <w:rPr>
          <w:sz w:val="20"/>
        </w:rPr>
        <w:t>Metrologia</w:t>
      </w:r>
      <w:proofErr w:type="spellEnd"/>
      <w:r w:rsidRPr="00D148D6">
        <w:rPr>
          <w:sz w:val="20"/>
        </w:rPr>
        <w:t>, Vol. 46, pp. 323</w:t>
      </w:r>
      <w:r w:rsidRPr="00D148D6">
        <w:rPr>
          <w:sz w:val="20"/>
        </w:rPr>
        <w:sym w:font="Symbol" w:char="F02D"/>
      </w:r>
      <w:r w:rsidRPr="00D148D6">
        <w:rPr>
          <w:sz w:val="20"/>
        </w:rPr>
        <w:t>331 (2009).</w:t>
      </w:r>
    </w:p>
    <w:p w:rsidR="00561389" w:rsidRPr="00D148D6" w:rsidRDefault="00561389" w:rsidP="00561389">
      <w:pPr>
        <w:pStyle w:val="ListParagraph"/>
        <w:numPr>
          <w:ilvl w:val="0"/>
          <w:numId w:val="2"/>
        </w:numPr>
        <w:tabs>
          <w:tab w:val="left" w:pos="450"/>
          <w:tab w:val="left" w:pos="540"/>
        </w:tabs>
        <w:jc w:val="both"/>
        <w:rPr>
          <w:sz w:val="20"/>
        </w:rPr>
      </w:pPr>
      <w:r w:rsidRPr="00D148D6">
        <w:rPr>
          <w:sz w:val="20"/>
        </w:rPr>
        <w:t xml:space="preserve">JCGM 100:2008; </w:t>
      </w:r>
      <w:r w:rsidRPr="00D148D6">
        <w:rPr>
          <w:i/>
          <w:sz w:val="20"/>
        </w:rPr>
        <w:t>Evaluation of Measurement Data —</w:t>
      </w:r>
      <w:r w:rsidRPr="00D148D6">
        <w:rPr>
          <w:sz w:val="20"/>
        </w:rPr>
        <w:t xml:space="preserve"> </w:t>
      </w:r>
      <w:r w:rsidRPr="00D148D6">
        <w:rPr>
          <w:i/>
          <w:sz w:val="20"/>
        </w:rPr>
        <w:t>Guide to the Expression of Uncertainty in Measurement</w:t>
      </w:r>
      <w:r w:rsidRPr="00D148D6">
        <w:rPr>
          <w:sz w:val="20"/>
        </w:rPr>
        <w:t xml:space="preserve"> (GUM 1995 with Minor Corrections); Joint Committee for Guides in Metrology (2008); available at </w:t>
      </w:r>
      <w:hyperlink r:id="rId12" w:history="1">
        <w:r w:rsidRPr="00D148D6">
          <w:rPr>
            <w:rStyle w:val="Hyperlink"/>
            <w:color w:val="auto"/>
            <w:sz w:val="20"/>
            <w:u w:val="none"/>
          </w:rPr>
          <w:t>http://www.bipm.org/utils/common/documents/jcgm/JCGM_100_2008_E.pdf</w:t>
        </w:r>
      </w:hyperlink>
      <w:r w:rsidRPr="00D148D6">
        <w:rPr>
          <w:sz w:val="20"/>
        </w:rPr>
        <w:t xml:space="preserve"> (accessed </w:t>
      </w:r>
      <w:r w:rsidR="00E6421D">
        <w:rPr>
          <w:sz w:val="20"/>
        </w:rPr>
        <w:t>Feb 2014</w:t>
      </w:r>
      <w:r w:rsidRPr="00D148D6">
        <w:rPr>
          <w:sz w:val="20"/>
        </w:rPr>
        <w:t xml:space="preserve">); see also Taylor, B.N.; </w:t>
      </w:r>
      <w:proofErr w:type="spellStart"/>
      <w:r w:rsidRPr="00D148D6">
        <w:rPr>
          <w:sz w:val="20"/>
        </w:rPr>
        <w:t>Kuyatt</w:t>
      </w:r>
      <w:proofErr w:type="spellEnd"/>
      <w:r w:rsidRPr="00D148D6">
        <w:rPr>
          <w:sz w:val="20"/>
        </w:rPr>
        <w:t xml:space="preserve">, C.E.; </w:t>
      </w:r>
      <w:r w:rsidRPr="00D148D6">
        <w:rPr>
          <w:i/>
          <w:iCs/>
          <w:sz w:val="20"/>
        </w:rPr>
        <w:t>Guidelines for Evaluating and Expressing the Uncertainty of NIST Measurement Results</w:t>
      </w:r>
      <w:r w:rsidRPr="00D148D6">
        <w:rPr>
          <w:sz w:val="20"/>
        </w:rPr>
        <w:t xml:space="preserve">; NIST Technical Note 1297; U.S. Government Printing Office: Washington, DC (1994); available at </w:t>
      </w:r>
      <w:hyperlink r:id="rId13" w:history="1">
        <w:r w:rsidRPr="00D148D6">
          <w:rPr>
            <w:rStyle w:val="Hyperlink"/>
            <w:color w:val="auto"/>
            <w:sz w:val="20"/>
            <w:u w:val="none"/>
          </w:rPr>
          <w:t>http://www.nist.gov/physlab/pubs/index.cfm</w:t>
        </w:r>
      </w:hyperlink>
      <w:r w:rsidRPr="00D148D6">
        <w:rPr>
          <w:sz w:val="20"/>
        </w:rPr>
        <w:t xml:space="preserve"> (accessed </w:t>
      </w:r>
      <w:r w:rsidR="00E6421D">
        <w:rPr>
          <w:sz w:val="20"/>
        </w:rPr>
        <w:t>Feb 2014</w:t>
      </w:r>
      <w:r w:rsidRPr="00D148D6">
        <w:rPr>
          <w:sz w:val="20"/>
        </w:rPr>
        <w:t>).</w:t>
      </w:r>
    </w:p>
    <w:p w:rsidR="00561389" w:rsidRPr="00D148D6" w:rsidRDefault="00561389" w:rsidP="00561389">
      <w:pPr>
        <w:pStyle w:val="ListParagraph"/>
        <w:keepNext/>
        <w:keepLines/>
        <w:numPr>
          <w:ilvl w:val="0"/>
          <w:numId w:val="2"/>
        </w:numPr>
        <w:tabs>
          <w:tab w:val="left" w:pos="-1080"/>
          <w:tab w:val="left" w:pos="-720"/>
          <w:tab w:val="left" w:pos="450"/>
          <w:tab w:val="left" w:pos="540"/>
          <w:tab w:val="decimal" w:pos="3060"/>
          <w:tab w:val="decimal" w:pos="4680"/>
          <w:tab w:val="left" w:pos="4950"/>
          <w:tab w:val="left" w:pos="8467"/>
        </w:tabs>
        <w:jc w:val="both"/>
        <w:rPr>
          <w:kern w:val="2"/>
          <w:sz w:val="20"/>
        </w:rPr>
      </w:pPr>
      <w:r w:rsidRPr="00D148D6">
        <w:rPr>
          <w:kern w:val="2"/>
          <w:sz w:val="20"/>
        </w:rPr>
        <w:t xml:space="preserve">JCGM 101:2008; </w:t>
      </w:r>
      <w:r w:rsidRPr="00D148D6">
        <w:rPr>
          <w:i/>
          <w:iCs/>
          <w:kern w:val="2"/>
          <w:sz w:val="20"/>
        </w:rPr>
        <w:t>Evaluation of Measurement Data – Supplement 1 to the “Guide to the Expression of Uncertainty in Measurement”</w:t>
      </w:r>
      <w:r w:rsidRPr="00D148D6">
        <w:rPr>
          <w:iCs/>
          <w:kern w:val="2"/>
          <w:sz w:val="20"/>
        </w:rPr>
        <w:t xml:space="preserve"> </w:t>
      </w:r>
      <w:r w:rsidRPr="00D148D6">
        <w:rPr>
          <w:iCs/>
          <w:kern w:val="2"/>
          <w:sz w:val="20"/>
        </w:rPr>
        <w:noBreakHyphen/>
      </w:r>
      <w:r w:rsidRPr="00D148D6">
        <w:rPr>
          <w:kern w:val="2"/>
          <w:sz w:val="20"/>
        </w:rPr>
        <w:t xml:space="preserve"> </w:t>
      </w:r>
      <w:r w:rsidRPr="00D148D6">
        <w:rPr>
          <w:i/>
          <w:kern w:val="2"/>
          <w:sz w:val="20"/>
        </w:rPr>
        <w:t>Propagation of Distributions using a Monte Carlo method</w:t>
      </w:r>
      <w:r w:rsidRPr="00D148D6">
        <w:rPr>
          <w:kern w:val="2"/>
          <w:sz w:val="20"/>
        </w:rPr>
        <w:t xml:space="preserve">; </w:t>
      </w:r>
      <w:r w:rsidRPr="00D148D6">
        <w:rPr>
          <w:kern w:val="2"/>
          <w:sz w:val="20"/>
        </w:rPr>
        <w:br/>
        <w:t xml:space="preserve">JCGM (2008); available at </w:t>
      </w:r>
      <w:hyperlink r:id="rId14" w:history="1">
        <w:r w:rsidRPr="00D148D6">
          <w:rPr>
            <w:rStyle w:val="Hyperlink"/>
            <w:color w:val="auto"/>
            <w:kern w:val="2"/>
            <w:sz w:val="20"/>
            <w:u w:val="none"/>
          </w:rPr>
          <w:t>http://www.bipm.org/utils/common/documents/jcgm/JCGM_101_2008_E.pdf</w:t>
        </w:r>
      </w:hyperlink>
      <w:r w:rsidRPr="00D148D6">
        <w:rPr>
          <w:kern w:val="2"/>
          <w:sz w:val="20"/>
        </w:rPr>
        <w:t xml:space="preserve"> (accessed </w:t>
      </w:r>
      <w:r w:rsidR="00E6421D">
        <w:rPr>
          <w:kern w:val="2"/>
          <w:sz w:val="20"/>
        </w:rPr>
        <w:t>Feb 2014</w:t>
      </w:r>
      <w:r w:rsidRPr="00D148D6">
        <w:rPr>
          <w:kern w:val="2"/>
          <w:sz w:val="20"/>
        </w:rPr>
        <w:t>).</w:t>
      </w:r>
    </w:p>
    <w:p w:rsidR="00561389" w:rsidRPr="00D148D6" w:rsidRDefault="00561389" w:rsidP="00561389">
      <w:pPr>
        <w:pStyle w:val="BodyText"/>
        <w:numPr>
          <w:ilvl w:val="0"/>
          <w:numId w:val="2"/>
        </w:numPr>
      </w:pPr>
      <w:r w:rsidRPr="00D148D6">
        <w:t xml:space="preserve">ASTM E1834–11; </w:t>
      </w:r>
      <w:r w:rsidRPr="00D148D6">
        <w:rPr>
          <w:i/>
        </w:rPr>
        <w:t>Standard Test Method for Analysis of Nickel Alloys by Graphite Furnace Atomic Absorption Spectrometry</w:t>
      </w:r>
      <w:r w:rsidR="000F76F8">
        <w:t>;</w:t>
      </w:r>
      <w:r w:rsidR="000F76F8" w:rsidRPr="00D148D6">
        <w:t xml:space="preserve"> </w:t>
      </w:r>
      <w:proofErr w:type="spellStart"/>
      <w:r w:rsidRPr="00D148D6">
        <w:t>Annu</w:t>
      </w:r>
      <w:proofErr w:type="spellEnd"/>
      <w:r w:rsidRPr="00D148D6">
        <w:t xml:space="preserve">. Book of ASTM Stand., Vol. 03.05 (2011). </w:t>
      </w:r>
    </w:p>
    <w:p w:rsidR="00561389" w:rsidRPr="00D148D6" w:rsidRDefault="00561389" w:rsidP="00561389">
      <w:pPr>
        <w:pStyle w:val="BodyText"/>
        <w:numPr>
          <w:ilvl w:val="0"/>
          <w:numId w:val="2"/>
        </w:numPr>
      </w:pPr>
      <w:r w:rsidRPr="00D148D6">
        <w:t xml:space="preserve">ASTM E2823–11; </w:t>
      </w:r>
      <w:r w:rsidRPr="00D148D6">
        <w:rPr>
          <w:i/>
        </w:rPr>
        <w:t>Standard Test Method for Analysis of Nickel Alloys by Inductively Coupled Plasma Mass Spectrometry (Performance-Based Method</w:t>
      </w:r>
      <w:r w:rsidR="000F76F8" w:rsidRPr="00D148D6">
        <w:rPr>
          <w:i/>
        </w:rPr>
        <w:t>)</w:t>
      </w:r>
      <w:r w:rsidR="000F76F8">
        <w:t>;</w:t>
      </w:r>
      <w:r w:rsidR="000F76F8" w:rsidRPr="00D148D6">
        <w:t xml:space="preserve"> </w:t>
      </w:r>
      <w:proofErr w:type="spellStart"/>
      <w:r w:rsidRPr="00D148D6">
        <w:t>Annu</w:t>
      </w:r>
      <w:proofErr w:type="spellEnd"/>
      <w:r w:rsidRPr="00D148D6">
        <w:t>. Book of ASTM Stand., Vol. 03.05 (2011).</w:t>
      </w:r>
    </w:p>
    <w:p w:rsidR="00561389" w:rsidRPr="00D148D6" w:rsidRDefault="00561389" w:rsidP="00561389">
      <w:pPr>
        <w:pStyle w:val="BodyText"/>
        <w:tabs>
          <w:tab w:val="left" w:pos="450"/>
        </w:tabs>
        <w:ind w:left="450" w:hanging="450"/>
        <w:jc w:val="both"/>
      </w:pPr>
    </w:p>
    <w:p w:rsidR="00561389" w:rsidRDefault="00561389" w:rsidP="00561389">
      <w:pPr>
        <w:pStyle w:val="BodyText"/>
        <w:tabs>
          <w:tab w:val="left" w:pos="450"/>
        </w:tabs>
        <w:ind w:left="450" w:hanging="450"/>
        <w:jc w:val="both"/>
      </w:pPr>
    </w:p>
    <w:p w:rsidR="00561389" w:rsidRDefault="00561389" w:rsidP="00561389">
      <w:pPr>
        <w:pStyle w:val="BodyText"/>
        <w:tabs>
          <w:tab w:val="left" w:pos="450"/>
        </w:tabs>
        <w:ind w:left="450" w:hanging="450"/>
        <w:jc w:val="both"/>
      </w:pPr>
    </w:p>
    <w:p w:rsidR="00561389" w:rsidRDefault="00561389" w:rsidP="00561389">
      <w:pPr>
        <w:pStyle w:val="BodyText"/>
        <w:tabs>
          <w:tab w:val="left" w:pos="450"/>
        </w:tabs>
        <w:ind w:left="450" w:hanging="450"/>
        <w:jc w:val="both"/>
      </w:pPr>
    </w:p>
    <w:p w:rsidR="00561389" w:rsidRDefault="00561389" w:rsidP="00561389">
      <w:pPr>
        <w:pStyle w:val="BodyText"/>
        <w:tabs>
          <w:tab w:val="left" w:pos="450"/>
        </w:tabs>
        <w:ind w:left="450" w:hanging="450"/>
        <w:jc w:val="both"/>
      </w:pPr>
    </w:p>
    <w:p w:rsidR="00561389" w:rsidRDefault="00561389" w:rsidP="00561389">
      <w:pPr>
        <w:pStyle w:val="BodyText"/>
      </w:pPr>
    </w:p>
    <w:p w:rsidR="00561389" w:rsidRDefault="00561389"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FA4487">
      <w:pPr>
        <w:autoSpaceDE w:val="0"/>
        <w:autoSpaceDN w:val="0"/>
        <w:adjustRightInd w:val="0"/>
        <w:jc w:val="both"/>
        <w:rPr>
          <w:rFonts w:ascii="JMPIEO+TimesNewRoman,Bold" w:hAnsi="JMPIEO+TimesNewRoman,Bold" w:cs="JMPIEO+TimesNewRoman,Bold"/>
          <w:b/>
          <w:bCs/>
          <w:color w:val="000000"/>
          <w:sz w:val="20"/>
        </w:rPr>
      </w:pPr>
    </w:p>
    <w:p w:rsidR="00FA4487" w:rsidRPr="001C02DC" w:rsidRDefault="00FA4487" w:rsidP="00FA4487">
      <w:pPr>
        <w:pBdr>
          <w:top w:val="single" w:sz="4" w:space="1" w:color="auto"/>
          <w:left w:val="single" w:sz="4" w:space="4" w:color="auto"/>
          <w:bottom w:val="single" w:sz="4" w:space="1" w:color="auto"/>
          <w:right w:val="single" w:sz="4" w:space="4" w:color="auto"/>
        </w:pBdr>
        <w:autoSpaceDE w:val="0"/>
        <w:autoSpaceDN w:val="0"/>
        <w:adjustRightInd w:val="0"/>
        <w:jc w:val="both"/>
        <w:rPr>
          <w:rFonts w:ascii="JMPGGG+TimesNewRoman" w:hAnsi="JMPGGG+TimesNewRoman" w:cs="JMPGGG+TimesNewRoman"/>
          <w:color w:val="000000"/>
          <w:sz w:val="16"/>
          <w:szCs w:val="16"/>
        </w:rPr>
      </w:pPr>
      <w:r w:rsidRPr="00A151BE">
        <w:rPr>
          <w:rFonts w:ascii="JMPIEO+TimesNewRoman,Bold" w:hAnsi="JMPIEO+TimesNewRoman,Bold" w:cs="JMPIEO+TimesNewRoman,Bold"/>
          <w:b/>
          <w:bCs/>
          <w:color w:val="000000"/>
          <w:sz w:val="16"/>
          <w:szCs w:val="16"/>
        </w:rPr>
        <w:t>Certificate Revision History:</w:t>
      </w:r>
      <w:r>
        <w:rPr>
          <w:rFonts w:ascii="JMPIEO+TimesNewRoman,Bold" w:hAnsi="JMPIEO+TimesNewRoman,Bold" w:cs="JMPIEO+TimesNewRoman,Bold"/>
          <w:bCs/>
          <w:color w:val="000000"/>
          <w:sz w:val="16"/>
          <w:szCs w:val="16"/>
        </w:rPr>
        <w:t xml:space="preserve">  </w:t>
      </w:r>
      <w:r w:rsidR="009C7A61">
        <w:rPr>
          <w:bCs/>
          <w:color w:val="000000"/>
          <w:sz w:val="16"/>
          <w:szCs w:val="16"/>
        </w:rPr>
        <w:t>05</w:t>
      </w:r>
      <w:r w:rsidR="00E6421D">
        <w:rPr>
          <w:bCs/>
          <w:color w:val="000000"/>
          <w:sz w:val="16"/>
          <w:szCs w:val="16"/>
        </w:rPr>
        <w:t xml:space="preserve"> February 2014</w:t>
      </w:r>
      <w:r w:rsidRPr="009D0741">
        <w:rPr>
          <w:color w:val="000000"/>
          <w:sz w:val="16"/>
          <w:szCs w:val="16"/>
        </w:rPr>
        <w:t xml:space="preserve"> (</w:t>
      </w:r>
      <w:r>
        <w:rPr>
          <w:color w:val="000000"/>
          <w:sz w:val="16"/>
          <w:szCs w:val="16"/>
        </w:rPr>
        <w:t xml:space="preserve">Revision of certified </w:t>
      </w:r>
      <w:r w:rsidRPr="009D0741">
        <w:rPr>
          <w:color w:val="000000"/>
          <w:sz w:val="16"/>
          <w:szCs w:val="16"/>
        </w:rPr>
        <w:t xml:space="preserve">values </w:t>
      </w:r>
      <w:r>
        <w:rPr>
          <w:color w:val="000000"/>
          <w:sz w:val="16"/>
          <w:szCs w:val="16"/>
        </w:rPr>
        <w:t xml:space="preserve">and uncertainties </w:t>
      </w:r>
      <w:r w:rsidRPr="009D0741">
        <w:rPr>
          <w:color w:val="000000"/>
          <w:sz w:val="16"/>
          <w:szCs w:val="16"/>
        </w:rPr>
        <w:t xml:space="preserve">for </w:t>
      </w:r>
      <w:r>
        <w:rPr>
          <w:color w:val="000000"/>
          <w:sz w:val="16"/>
          <w:szCs w:val="16"/>
        </w:rPr>
        <w:t xml:space="preserve">Se, </w:t>
      </w:r>
      <w:proofErr w:type="spellStart"/>
      <w:r>
        <w:rPr>
          <w:color w:val="000000"/>
          <w:sz w:val="16"/>
          <w:szCs w:val="16"/>
        </w:rPr>
        <w:t>Te</w:t>
      </w:r>
      <w:proofErr w:type="spellEnd"/>
      <w:r>
        <w:rPr>
          <w:color w:val="000000"/>
          <w:sz w:val="16"/>
          <w:szCs w:val="16"/>
        </w:rPr>
        <w:t xml:space="preserve">, Tl, and </w:t>
      </w:r>
      <w:proofErr w:type="spellStart"/>
      <w:r>
        <w:rPr>
          <w:color w:val="000000"/>
          <w:sz w:val="16"/>
          <w:szCs w:val="16"/>
        </w:rPr>
        <w:t>Pb</w:t>
      </w:r>
      <w:proofErr w:type="spellEnd"/>
      <w:r>
        <w:rPr>
          <w:color w:val="000000"/>
          <w:sz w:val="16"/>
          <w:szCs w:val="16"/>
        </w:rPr>
        <w:t xml:space="preserve"> and</w:t>
      </w:r>
      <w:r w:rsidRPr="009D0741">
        <w:rPr>
          <w:color w:val="000000"/>
          <w:sz w:val="16"/>
          <w:szCs w:val="16"/>
        </w:rPr>
        <w:t xml:space="preserve"> </w:t>
      </w:r>
      <w:r>
        <w:rPr>
          <w:color w:val="000000"/>
          <w:sz w:val="16"/>
          <w:szCs w:val="16"/>
        </w:rPr>
        <w:t>new reference values for Ga, Ag, Sn, Sb, and Bi</w:t>
      </w:r>
      <w:r w:rsidRPr="009D0741">
        <w:rPr>
          <w:color w:val="000000"/>
          <w:sz w:val="16"/>
          <w:szCs w:val="16"/>
        </w:rPr>
        <w:t xml:space="preserve"> based on re-evaluation of the original </w:t>
      </w:r>
      <w:r>
        <w:rPr>
          <w:color w:val="000000"/>
          <w:sz w:val="16"/>
          <w:szCs w:val="16"/>
        </w:rPr>
        <w:t xml:space="preserve">and new </w:t>
      </w:r>
      <w:r w:rsidRPr="009D0741">
        <w:rPr>
          <w:color w:val="000000"/>
          <w:sz w:val="16"/>
          <w:szCs w:val="16"/>
        </w:rPr>
        <w:t>analytical results</w:t>
      </w:r>
      <w:r>
        <w:rPr>
          <w:color w:val="000000"/>
          <w:sz w:val="16"/>
          <w:szCs w:val="16"/>
        </w:rPr>
        <w:t>; editorial changes)</w:t>
      </w:r>
      <w:r>
        <w:rPr>
          <w:rFonts w:ascii="JMPGGG+TimesNewRoman" w:hAnsi="JMPGGG+TimesNewRoman" w:cs="JMPGGG+TimesNewRoman"/>
          <w:color w:val="000000"/>
          <w:sz w:val="16"/>
          <w:szCs w:val="16"/>
        </w:rPr>
        <w:t>; 31 August 1983 (Revision of value and uncertainty for lead); 08 August 1980 (Original certificate date).</w:t>
      </w:r>
    </w:p>
    <w:p w:rsidR="00FA4487" w:rsidRDefault="00FA4487" w:rsidP="00FA4487">
      <w:pPr>
        <w:pStyle w:val="BodyText"/>
      </w:pPr>
    </w:p>
    <w:p w:rsidR="00FA4487" w:rsidRDefault="00FA4487" w:rsidP="00FA4487">
      <w:pPr>
        <w:pStyle w:val="BodyText"/>
      </w:pPr>
    </w:p>
    <w:p w:rsidR="00FA4487" w:rsidRDefault="00FA4487" w:rsidP="00FA4487">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FA4487" w:rsidRDefault="00FA4487" w:rsidP="00561389">
      <w:pPr>
        <w:pStyle w:val="BodyText"/>
      </w:pPr>
    </w:p>
    <w:p w:rsidR="00561389" w:rsidRDefault="00561389" w:rsidP="00561389">
      <w:pPr>
        <w:pStyle w:val="BodyText"/>
      </w:pPr>
    </w:p>
    <w:p w:rsidR="00561389" w:rsidRDefault="00561389" w:rsidP="00561389">
      <w:pPr>
        <w:pStyle w:val="BodyText"/>
      </w:pPr>
    </w:p>
    <w:p w:rsidR="00561389" w:rsidRPr="00786A8A" w:rsidRDefault="00561389" w:rsidP="00561389">
      <w:pPr>
        <w:pStyle w:val="BodyText2"/>
        <w:jc w:val="both"/>
      </w:pPr>
      <w:r w:rsidRPr="000C2420">
        <w:t xml:space="preserve">Users of this SRM should ensure that the </w:t>
      </w:r>
      <w:r>
        <w:t>C</w:t>
      </w:r>
      <w:r w:rsidRPr="000C2420">
        <w:t xml:space="preserve">ertificate </w:t>
      </w:r>
      <w:r>
        <w:t xml:space="preserve">of Analysis </w:t>
      </w:r>
      <w:r w:rsidRPr="000C2420">
        <w:t xml:space="preserve">in their possession is current.  This can be accomplished by contacting the SRM Program:  telephone (301) 975-2200; fax (301) </w:t>
      </w:r>
      <w:r>
        <w:t>948-3730</w:t>
      </w:r>
      <w:r w:rsidRPr="000C2420">
        <w:t xml:space="preserve">, email srminfo@nist.gov; or via the Internet at </w:t>
      </w:r>
      <w:r w:rsidRPr="00D148D6">
        <w:t>http://www.nist.gov/srm</w:t>
      </w:r>
      <w:r w:rsidRPr="000C2420">
        <w:t>.</w:t>
      </w:r>
      <w:r w:rsidRPr="00F70A73">
        <w:rPr>
          <w:sz w:val="18"/>
          <w:szCs w:val="18"/>
        </w:rPr>
        <w:t xml:space="preserve"> </w:t>
      </w:r>
    </w:p>
    <w:p w:rsidR="00404509" w:rsidRPr="00786A8A" w:rsidRDefault="00404509" w:rsidP="00561389">
      <w:pPr>
        <w:pStyle w:val="BodyText"/>
      </w:pPr>
    </w:p>
    <w:sectPr w:rsidR="00404509" w:rsidRPr="00786A8A" w:rsidSect="0059454C">
      <w:footerReference w:type="default" r:id="rId15"/>
      <w:pgSz w:w="12240" w:h="15840"/>
      <w:pgMar w:top="720" w:right="1440" w:bottom="720" w:left="144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73B" w:rsidRDefault="0084073B">
      <w:r>
        <w:separator/>
      </w:r>
    </w:p>
  </w:endnote>
  <w:endnote w:type="continuationSeparator" w:id="0">
    <w:p w:rsidR="0084073B" w:rsidRDefault="00840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Linotext">
    <w:altName w:val="Times New Roman"/>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JMPIEO+TimesNewRoman,Bold">
    <w:altName w:val="Times New Roman"/>
    <w:panose1 w:val="00000000000000000000"/>
    <w:charset w:val="00"/>
    <w:family w:val="roman"/>
    <w:notTrueType/>
    <w:pitch w:val="default"/>
    <w:sig w:usb0="00000003" w:usb1="00000000" w:usb2="00000000" w:usb3="00000000" w:csb0="00000001" w:csb1="00000000"/>
  </w:font>
  <w:font w:name="JMPGGG+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14E2" w:rsidRPr="00C27CD4" w:rsidRDefault="000C14E2" w:rsidP="00F70A73">
    <w:pPr>
      <w:pStyle w:val="Footer"/>
      <w:tabs>
        <w:tab w:val="clear" w:pos="4320"/>
        <w:tab w:val="clear" w:pos="8640"/>
        <w:tab w:val="right" w:pos="9360"/>
      </w:tabs>
      <w:rPr>
        <w:sz w:val="20"/>
      </w:rPr>
    </w:pPr>
    <w:r>
      <w:rPr>
        <w:sz w:val="20"/>
      </w:rPr>
      <w:t xml:space="preserve">SRM </w:t>
    </w:r>
    <w:r w:rsidR="007815B1">
      <w:rPr>
        <w:sz w:val="20"/>
      </w:rPr>
      <w:t>898</w:t>
    </w:r>
    <w:r>
      <w:rPr>
        <w:sz w:val="20"/>
      </w:rPr>
      <w:tab/>
    </w:r>
    <w:r w:rsidRPr="00C27CD4">
      <w:rPr>
        <w:sz w:val="20"/>
      </w:rPr>
      <w:t xml:space="preserve">Page </w:t>
    </w:r>
    <w:r w:rsidRPr="00C27CD4">
      <w:rPr>
        <w:rStyle w:val="PageNumber"/>
        <w:sz w:val="20"/>
      </w:rPr>
      <w:fldChar w:fldCharType="begin"/>
    </w:r>
    <w:r w:rsidRPr="00C27CD4">
      <w:rPr>
        <w:rStyle w:val="PageNumber"/>
        <w:sz w:val="20"/>
      </w:rPr>
      <w:instrText xml:space="preserve"> PAGE </w:instrText>
    </w:r>
    <w:r w:rsidRPr="00C27CD4">
      <w:rPr>
        <w:rStyle w:val="PageNumber"/>
        <w:sz w:val="20"/>
      </w:rPr>
      <w:fldChar w:fldCharType="separate"/>
    </w:r>
    <w:r w:rsidR="00FA50C0">
      <w:rPr>
        <w:rStyle w:val="PageNumber"/>
        <w:noProof/>
        <w:sz w:val="20"/>
      </w:rPr>
      <w:t>2</w:t>
    </w:r>
    <w:r w:rsidRPr="00C27CD4">
      <w:rPr>
        <w:rStyle w:val="PageNumber"/>
        <w:sz w:val="20"/>
      </w:rPr>
      <w:fldChar w:fldCharType="end"/>
    </w:r>
    <w:r w:rsidRPr="00C27CD4">
      <w:rPr>
        <w:rStyle w:val="PageNumber"/>
        <w:sz w:val="20"/>
      </w:rPr>
      <w:t xml:space="preserve"> of </w:t>
    </w:r>
    <w:r w:rsidRPr="00C27CD4">
      <w:rPr>
        <w:rStyle w:val="PageNumber"/>
        <w:sz w:val="20"/>
      </w:rPr>
      <w:fldChar w:fldCharType="begin"/>
    </w:r>
    <w:r w:rsidRPr="00C27CD4">
      <w:rPr>
        <w:rStyle w:val="PageNumber"/>
        <w:sz w:val="20"/>
      </w:rPr>
      <w:instrText xml:space="preserve"> NUMPAGES </w:instrText>
    </w:r>
    <w:r w:rsidRPr="00C27CD4">
      <w:rPr>
        <w:rStyle w:val="PageNumber"/>
        <w:sz w:val="20"/>
      </w:rPr>
      <w:fldChar w:fldCharType="separate"/>
    </w:r>
    <w:r w:rsidR="00FA50C0">
      <w:rPr>
        <w:rStyle w:val="PageNumber"/>
        <w:noProof/>
        <w:sz w:val="20"/>
      </w:rPr>
      <w:t>4</w:t>
    </w:r>
    <w:r w:rsidRPr="00C27CD4">
      <w:rPr>
        <w:rStyle w:val="PageNumbe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73B" w:rsidRDefault="0084073B">
      <w:r>
        <w:separator/>
      </w:r>
    </w:p>
  </w:footnote>
  <w:footnote w:type="continuationSeparator" w:id="0">
    <w:p w:rsidR="0084073B" w:rsidRDefault="0084073B">
      <w:r>
        <w:continuationSeparator/>
      </w:r>
    </w:p>
  </w:footnote>
  <w:footnote w:id="1">
    <w:p w:rsidR="000D248E" w:rsidRDefault="00561389" w:rsidP="00C162D2">
      <w:pPr>
        <w:pStyle w:val="FootnoteText"/>
        <w:ind w:firstLine="720"/>
        <w:jc w:val="both"/>
      </w:pPr>
      <w:r w:rsidRPr="00C162D2">
        <w:rPr>
          <w:sz w:val="18"/>
          <w:szCs w:val="18"/>
          <w:vertAlign w:val="superscript"/>
        </w:rPr>
        <w:t>(</w:t>
      </w:r>
      <w:r w:rsidR="000D248E" w:rsidRPr="00C162D2">
        <w:rPr>
          <w:rStyle w:val="FootnoteReference"/>
          <w:sz w:val="18"/>
          <w:szCs w:val="18"/>
        </w:rPr>
        <w:footnoteRef/>
      </w:r>
      <w:r w:rsidRPr="00C162D2">
        <w:rPr>
          <w:sz w:val="18"/>
          <w:szCs w:val="18"/>
          <w:vertAlign w:val="superscript"/>
        </w:rPr>
        <w:t>)</w:t>
      </w:r>
      <w:r w:rsidR="000D248E" w:rsidRPr="00C162D2">
        <w:rPr>
          <w:sz w:val="18"/>
          <w:szCs w:val="18"/>
        </w:rPr>
        <w:t xml:space="preserve"> Certain commercial organizations, services, equipment, or materials are identified in this certificate in order to adequately specify the experimental procedure.  Such identification does not imply recommendation or endorsement by the National Institute of Standards and Technology, nor does it imply that the organizations, services, materials, or equipment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5A07FAC"/>
    <w:lvl w:ilvl="0">
      <w:start w:val="1"/>
      <w:numFmt w:val="decimal"/>
      <w:lvlText w:val="%1."/>
      <w:lvlJc w:val="left"/>
      <w:pPr>
        <w:tabs>
          <w:tab w:val="num" w:pos="1800"/>
        </w:tabs>
        <w:ind w:left="1800" w:hanging="360"/>
      </w:pPr>
    </w:lvl>
  </w:abstractNum>
  <w:abstractNum w:abstractNumId="1">
    <w:nsid w:val="FFFFFF7D"/>
    <w:multiLevelType w:val="singleLevel"/>
    <w:tmpl w:val="8F96E164"/>
    <w:lvl w:ilvl="0">
      <w:start w:val="1"/>
      <w:numFmt w:val="decimal"/>
      <w:lvlText w:val="%1."/>
      <w:lvlJc w:val="left"/>
      <w:pPr>
        <w:tabs>
          <w:tab w:val="num" w:pos="1440"/>
        </w:tabs>
        <w:ind w:left="1440" w:hanging="360"/>
      </w:pPr>
    </w:lvl>
  </w:abstractNum>
  <w:abstractNum w:abstractNumId="2">
    <w:nsid w:val="FFFFFF7E"/>
    <w:multiLevelType w:val="singleLevel"/>
    <w:tmpl w:val="DF0C8454"/>
    <w:lvl w:ilvl="0">
      <w:start w:val="1"/>
      <w:numFmt w:val="decimal"/>
      <w:lvlText w:val="%1."/>
      <w:lvlJc w:val="left"/>
      <w:pPr>
        <w:tabs>
          <w:tab w:val="num" w:pos="1080"/>
        </w:tabs>
        <w:ind w:left="1080" w:hanging="360"/>
      </w:pPr>
    </w:lvl>
  </w:abstractNum>
  <w:abstractNum w:abstractNumId="3">
    <w:nsid w:val="FFFFFF7F"/>
    <w:multiLevelType w:val="singleLevel"/>
    <w:tmpl w:val="F34AEE88"/>
    <w:lvl w:ilvl="0">
      <w:start w:val="1"/>
      <w:numFmt w:val="decimal"/>
      <w:lvlText w:val="%1."/>
      <w:lvlJc w:val="left"/>
      <w:pPr>
        <w:tabs>
          <w:tab w:val="num" w:pos="720"/>
        </w:tabs>
        <w:ind w:left="720" w:hanging="360"/>
      </w:pPr>
    </w:lvl>
  </w:abstractNum>
  <w:abstractNum w:abstractNumId="4">
    <w:nsid w:val="FFFFFF80"/>
    <w:multiLevelType w:val="singleLevel"/>
    <w:tmpl w:val="0C8E231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62E18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3B2E5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6045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63E09F8"/>
    <w:lvl w:ilvl="0">
      <w:start w:val="1"/>
      <w:numFmt w:val="decimal"/>
      <w:lvlText w:val="%1."/>
      <w:lvlJc w:val="left"/>
      <w:pPr>
        <w:tabs>
          <w:tab w:val="num" w:pos="360"/>
        </w:tabs>
        <w:ind w:left="360" w:hanging="360"/>
      </w:pPr>
    </w:lvl>
  </w:abstractNum>
  <w:abstractNum w:abstractNumId="9">
    <w:nsid w:val="FFFFFF89"/>
    <w:multiLevelType w:val="singleLevel"/>
    <w:tmpl w:val="4AAC3102"/>
    <w:lvl w:ilvl="0">
      <w:start w:val="1"/>
      <w:numFmt w:val="bullet"/>
      <w:lvlText w:val=""/>
      <w:lvlJc w:val="left"/>
      <w:pPr>
        <w:tabs>
          <w:tab w:val="num" w:pos="360"/>
        </w:tabs>
        <w:ind w:left="360" w:hanging="360"/>
      </w:pPr>
      <w:rPr>
        <w:rFonts w:ascii="Symbol" w:hAnsi="Symbol" w:hint="default"/>
      </w:rPr>
    </w:lvl>
  </w:abstractNum>
  <w:abstractNum w:abstractNumId="10">
    <w:nsid w:val="2E8C5EBF"/>
    <w:multiLevelType w:val="hybridMultilevel"/>
    <w:tmpl w:val="1A50C9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1B05F85"/>
    <w:multiLevelType w:val="singleLevel"/>
    <w:tmpl w:val="76783E5E"/>
    <w:lvl w:ilvl="0">
      <w:start w:val="1"/>
      <w:numFmt w:val="decimal"/>
      <w:lvlText w:val="[%1]"/>
      <w:lvlJc w:val="left"/>
      <w:pPr>
        <w:tabs>
          <w:tab w:val="num" w:pos="360"/>
        </w:tabs>
        <w:ind w:left="360" w:hanging="360"/>
      </w:pPr>
    </w:lvl>
  </w:abstractNum>
  <w:abstractNum w:abstractNumId="12">
    <w:nsid w:val="3DD9008B"/>
    <w:multiLevelType w:val="singleLevel"/>
    <w:tmpl w:val="FE745CDE"/>
    <w:lvl w:ilvl="0">
      <w:start w:val="1"/>
      <w:numFmt w:val="decimal"/>
      <w:lvlText w:val="[%1]"/>
      <w:lvlJc w:val="left"/>
      <w:pPr>
        <w:tabs>
          <w:tab w:val="num" w:pos="360"/>
        </w:tabs>
        <w:ind w:left="360" w:hanging="360"/>
      </w:pPr>
      <w:rPr>
        <w:rFonts w:hint="default"/>
      </w:rPr>
    </w:lvl>
  </w:abstractNum>
  <w:abstractNum w:abstractNumId="13">
    <w:nsid w:val="4E056438"/>
    <w:multiLevelType w:val="multilevel"/>
    <w:tmpl w:val="F0962EB6"/>
    <w:lvl w:ilvl="0">
      <w:start w:val="33"/>
      <w:numFmt w:val="decimal"/>
      <w:lvlText w:val="%1"/>
      <w:lvlJc w:val="left"/>
      <w:pPr>
        <w:tabs>
          <w:tab w:val="num" w:pos="540"/>
        </w:tabs>
        <w:ind w:left="540" w:hanging="540"/>
      </w:pPr>
      <w:rPr>
        <w:rFonts w:hint="default"/>
      </w:rPr>
    </w:lvl>
    <w:lvl w:ilvl="1">
      <w:start w:val="26"/>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11"/>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6C"/>
    <w:rsid w:val="00000603"/>
    <w:rsid w:val="000124BB"/>
    <w:rsid w:val="00014B6E"/>
    <w:rsid w:val="0002128A"/>
    <w:rsid w:val="000359DD"/>
    <w:rsid w:val="00042F0F"/>
    <w:rsid w:val="00043948"/>
    <w:rsid w:val="000444EB"/>
    <w:rsid w:val="00052EE2"/>
    <w:rsid w:val="0005302D"/>
    <w:rsid w:val="0005529B"/>
    <w:rsid w:val="0005632A"/>
    <w:rsid w:val="00056397"/>
    <w:rsid w:val="00056E2A"/>
    <w:rsid w:val="00061AEB"/>
    <w:rsid w:val="0007361F"/>
    <w:rsid w:val="00073ACA"/>
    <w:rsid w:val="00075E8E"/>
    <w:rsid w:val="000800A3"/>
    <w:rsid w:val="00081099"/>
    <w:rsid w:val="000812D7"/>
    <w:rsid w:val="00083A35"/>
    <w:rsid w:val="000907B3"/>
    <w:rsid w:val="0009522C"/>
    <w:rsid w:val="000A2281"/>
    <w:rsid w:val="000A797B"/>
    <w:rsid w:val="000B0A3C"/>
    <w:rsid w:val="000B0BE1"/>
    <w:rsid w:val="000C14E2"/>
    <w:rsid w:val="000D0628"/>
    <w:rsid w:val="000D248E"/>
    <w:rsid w:val="000D52B3"/>
    <w:rsid w:val="000D76F0"/>
    <w:rsid w:val="000E063D"/>
    <w:rsid w:val="000E07B6"/>
    <w:rsid w:val="000F218E"/>
    <w:rsid w:val="000F4F61"/>
    <w:rsid w:val="000F76F8"/>
    <w:rsid w:val="00100A83"/>
    <w:rsid w:val="00106D0D"/>
    <w:rsid w:val="0010781F"/>
    <w:rsid w:val="00114BC1"/>
    <w:rsid w:val="001201AB"/>
    <w:rsid w:val="00122A70"/>
    <w:rsid w:val="00122E5A"/>
    <w:rsid w:val="00135792"/>
    <w:rsid w:val="00135B5C"/>
    <w:rsid w:val="001372AA"/>
    <w:rsid w:val="0013785B"/>
    <w:rsid w:val="00140568"/>
    <w:rsid w:val="00140A9A"/>
    <w:rsid w:val="00151CCE"/>
    <w:rsid w:val="00164FDC"/>
    <w:rsid w:val="00174BE9"/>
    <w:rsid w:val="00177E11"/>
    <w:rsid w:val="00197B68"/>
    <w:rsid w:val="001A0300"/>
    <w:rsid w:val="001A5121"/>
    <w:rsid w:val="001B05DB"/>
    <w:rsid w:val="001B0CA2"/>
    <w:rsid w:val="001B2DBB"/>
    <w:rsid w:val="001B45C7"/>
    <w:rsid w:val="001C02DC"/>
    <w:rsid w:val="001C7CA9"/>
    <w:rsid w:val="001D1B59"/>
    <w:rsid w:val="001D37DE"/>
    <w:rsid w:val="001D5203"/>
    <w:rsid w:val="001D64D5"/>
    <w:rsid w:val="001E02BC"/>
    <w:rsid w:val="001F230D"/>
    <w:rsid w:val="001F3147"/>
    <w:rsid w:val="001F317C"/>
    <w:rsid w:val="001F50CB"/>
    <w:rsid w:val="001F69F7"/>
    <w:rsid w:val="0020119C"/>
    <w:rsid w:val="00214F59"/>
    <w:rsid w:val="002179AD"/>
    <w:rsid w:val="00221691"/>
    <w:rsid w:val="00224461"/>
    <w:rsid w:val="002266EE"/>
    <w:rsid w:val="00226C12"/>
    <w:rsid w:val="00227003"/>
    <w:rsid w:val="00233DED"/>
    <w:rsid w:val="00235F4D"/>
    <w:rsid w:val="00237C67"/>
    <w:rsid w:val="002444FF"/>
    <w:rsid w:val="00244869"/>
    <w:rsid w:val="002537DE"/>
    <w:rsid w:val="00256ADB"/>
    <w:rsid w:val="002776F1"/>
    <w:rsid w:val="0028306C"/>
    <w:rsid w:val="00292135"/>
    <w:rsid w:val="002A132F"/>
    <w:rsid w:val="002A20DE"/>
    <w:rsid w:val="002B67C2"/>
    <w:rsid w:val="002B6897"/>
    <w:rsid w:val="002B6E40"/>
    <w:rsid w:val="002C489E"/>
    <w:rsid w:val="002D0070"/>
    <w:rsid w:val="002D0A26"/>
    <w:rsid w:val="002E0BD8"/>
    <w:rsid w:val="002E4D42"/>
    <w:rsid w:val="002E7E27"/>
    <w:rsid w:val="002F3478"/>
    <w:rsid w:val="002F5ADB"/>
    <w:rsid w:val="00307B1D"/>
    <w:rsid w:val="003208E3"/>
    <w:rsid w:val="003266EF"/>
    <w:rsid w:val="00334CE2"/>
    <w:rsid w:val="003362B7"/>
    <w:rsid w:val="003401C6"/>
    <w:rsid w:val="00343EEA"/>
    <w:rsid w:val="00343F2E"/>
    <w:rsid w:val="003556A7"/>
    <w:rsid w:val="00361752"/>
    <w:rsid w:val="003645FB"/>
    <w:rsid w:val="00375487"/>
    <w:rsid w:val="003818C3"/>
    <w:rsid w:val="00393725"/>
    <w:rsid w:val="00396221"/>
    <w:rsid w:val="003A13BB"/>
    <w:rsid w:val="003A2511"/>
    <w:rsid w:val="003A405F"/>
    <w:rsid w:val="003A72F4"/>
    <w:rsid w:val="003B0AA1"/>
    <w:rsid w:val="003B1AAB"/>
    <w:rsid w:val="003B588D"/>
    <w:rsid w:val="003C0931"/>
    <w:rsid w:val="003C7A9A"/>
    <w:rsid w:val="003D68D5"/>
    <w:rsid w:val="003E0ADD"/>
    <w:rsid w:val="003F0B88"/>
    <w:rsid w:val="003F354F"/>
    <w:rsid w:val="003F367A"/>
    <w:rsid w:val="003F395B"/>
    <w:rsid w:val="003F43CD"/>
    <w:rsid w:val="00404509"/>
    <w:rsid w:val="00410F90"/>
    <w:rsid w:val="004152C8"/>
    <w:rsid w:val="00416702"/>
    <w:rsid w:val="0042629F"/>
    <w:rsid w:val="00435FDE"/>
    <w:rsid w:val="00442311"/>
    <w:rsid w:val="00446132"/>
    <w:rsid w:val="004547AC"/>
    <w:rsid w:val="00465405"/>
    <w:rsid w:val="00466763"/>
    <w:rsid w:val="00470070"/>
    <w:rsid w:val="0047726D"/>
    <w:rsid w:val="00487C8E"/>
    <w:rsid w:val="00487EFA"/>
    <w:rsid w:val="004A0539"/>
    <w:rsid w:val="004B3B4F"/>
    <w:rsid w:val="004C322E"/>
    <w:rsid w:val="004C4035"/>
    <w:rsid w:val="004D12E5"/>
    <w:rsid w:val="004D3EBD"/>
    <w:rsid w:val="004E13F7"/>
    <w:rsid w:val="004E196F"/>
    <w:rsid w:val="004E2FF3"/>
    <w:rsid w:val="004F1F6D"/>
    <w:rsid w:val="004F5A9F"/>
    <w:rsid w:val="005106E3"/>
    <w:rsid w:val="00510B25"/>
    <w:rsid w:val="00513AEE"/>
    <w:rsid w:val="00515B03"/>
    <w:rsid w:val="0052050C"/>
    <w:rsid w:val="0052132D"/>
    <w:rsid w:val="00521D35"/>
    <w:rsid w:val="0052476D"/>
    <w:rsid w:val="0053431B"/>
    <w:rsid w:val="005417D4"/>
    <w:rsid w:val="00545C5C"/>
    <w:rsid w:val="00556BD0"/>
    <w:rsid w:val="005575A4"/>
    <w:rsid w:val="00561389"/>
    <w:rsid w:val="00563C1A"/>
    <w:rsid w:val="00565541"/>
    <w:rsid w:val="00574B62"/>
    <w:rsid w:val="00582592"/>
    <w:rsid w:val="00582B5D"/>
    <w:rsid w:val="00583853"/>
    <w:rsid w:val="00592386"/>
    <w:rsid w:val="005924EB"/>
    <w:rsid w:val="0059454C"/>
    <w:rsid w:val="005B7613"/>
    <w:rsid w:val="005C1279"/>
    <w:rsid w:val="005C4BF4"/>
    <w:rsid w:val="005D1DDB"/>
    <w:rsid w:val="005D49C9"/>
    <w:rsid w:val="005D62FC"/>
    <w:rsid w:val="005E6D6D"/>
    <w:rsid w:val="005F1163"/>
    <w:rsid w:val="005F3473"/>
    <w:rsid w:val="005F3939"/>
    <w:rsid w:val="005F520E"/>
    <w:rsid w:val="005F617C"/>
    <w:rsid w:val="00601500"/>
    <w:rsid w:val="006029C0"/>
    <w:rsid w:val="00603B9C"/>
    <w:rsid w:val="00604BD2"/>
    <w:rsid w:val="0060681B"/>
    <w:rsid w:val="00611AB0"/>
    <w:rsid w:val="00613808"/>
    <w:rsid w:val="0062006D"/>
    <w:rsid w:val="00627554"/>
    <w:rsid w:val="006312B7"/>
    <w:rsid w:val="00636298"/>
    <w:rsid w:val="00640F54"/>
    <w:rsid w:val="00641851"/>
    <w:rsid w:val="00643345"/>
    <w:rsid w:val="006448D6"/>
    <w:rsid w:val="006650E3"/>
    <w:rsid w:val="0067032E"/>
    <w:rsid w:val="00673944"/>
    <w:rsid w:val="006821CA"/>
    <w:rsid w:val="006840FA"/>
    <w:rsid w:val="00687BBE"/>
    <w:rsid w:val="00691912"/>
    <w:rsid w:val="00695576"/>
    <w:rsid w:val="006A54DD"/>
    <w:rsid w:val="006A5890"/>
    <w:rsid w:val="006A7A47"/>
    <w:rsid w:val="006B0547"/>
    <w:rsid w:val="006B5502"/>
    <w:rsid w:val="006B5CC5"/>
    <w:rsid w:val="006B64CA"/>
    <w:rsid w:val="006B7932"/>
    <w:rsid w:val="006C18A3"/>
    <w:rsid w:val="006D2C72"/>
    <w:rsid w:val="006D5195"/>
    <w:rsid w:val="006D7869"/>
    <w:rsid w:val="006D7F7B"/>
    <w:rsid w:val="006E4440"/>
    <w:rsid w:val="006E5DD4"/>
    <w:rsid w:val="006F7321"/>
    <w:rsid w:val="007011B8"/>
    <w:rsid w:val="0070384D"/>
    <w:rsid w:val="0070513B"/>
    <w:rsid w:val="00710458"/>
    <w:rsid w:val="0071177B"/>
    <w:rsid w:val="007162D8"/>
    <w:rsid w:val="007327F0"/>
    <w:rsid w:val="007435CD"/>
    <w:rsid w:val="007438FD"/>
    <w:rsid w:val="007472E0"/>
    <w:rsid w:val="007577C8"/>
    <w:rsid w:val="0076641C"/>
    <w:rsid w:val="007801FF"/>
    <w:rsid w:val="007815B1"/>
    <w:rsid w:val="00786A8A"/>
    <w:rsid w:val="0079035D"/>
    <w:rsid w:val="0079712C"/>
    <w:rsid w:val="0079744B"/>
    <w:rsid w:val="007A0F04"/>
    <w:rsid w:val="007B5A69"/>
    <w:rsid w:val="007C06F1"/>
    <w:rsid w:val="007C7B00"/>
    <w:rsid w:val="007D69A1"/>
    <w:rsid w:val="007F31E2"/>
    <w:rsid w:val="007F7AB0"/>
    <w:rsid w:val="0080026D"/>
    <w:rsid w:val="008125C4"/>
    <w:rsid w:val="00822B2A"/>
    <w:rsid w:val="008303A2"/>
    <w:rsid w:val="00834267"/>
    <w:rsid w:val="00835668"/>
    <w:rsid w:val="0083761E"/>
    <w:rsid w:val="0084073B"/>
    <w:rsid w:val="00840A75"/>
    <w:rsid w:val="00844915"/>
    <w:rsid w:val="00852D59"/>
    <w:rsid w:val="008757E5"/>
    <w:rsid w:val="0089607C"/>
    <w:rsid w:val="00897DAB"/>
    <w:rsid w:val="008A0EF8"/>
    <w:rsid w:val="008A120D"/>
    <w:rsid w:val="008A5DC8"/>
    <w:rsid w:val="008B3C5B"/>
    <w:rsid w:val="008B4011"/>
    <w:rsid w:val="008B4FCD"/>
    <w:rsid w:val="008B70E7"/>
    <w:rsid w:val="008C0895"/>
    <w:rsid w:val="008C11A2"/>
    <w:rsid w:val="008C2BCC"/>
    <w:rsid w:val="008C45B9"/>
    <w:rsid w:val="008C6E50"/>
    <w:rsid w:val="008D0A36"/>
    <w:rsid w:val="008F2C5C"/>
    <w:rsid w:val="00900754"/>
    <w:rsid w:val="00901511"/>
    <w:rsid w:val="009019A0"/>
    <w:rsid w:val="00912F20"/>
    <w:rsid w:val="009134C2"/>
    <w:rsid w:val="00915F65"/>
    <w:rsid w:val="00916197"/>
    <w:rsid w:val="0093058B"/>
    <w:rsid w:val="009375DC"/>
    <w:rsid w:val="009454DA"/>
    <w:rsid w:val="009456EF"/>
    <w:rsid w:val="00947DE1"/>
    <w:rsid w:val="00951A87"/>
    <w:rsid w:val="00952C9B"/>
    <w:rsid w:val="009561B8"/>
    <w:rsid w:val="009565CD"/>
    <w:rsid w:val="009568CA"/>
    <w:rsid w:val="00961923"/>
    <w:rsid w:val="009805E3"/>
    <w:rsid w:val="009853B3"/>
    <w:rsid w:val="00986B96"/>
    <w:rsid w:val="00986BEA"/>
    <w:rsid w:val="00986F8A"/>
    <w:rsid w:val="00993B83"/>
    <w:rsid w:val="009A3252"/>
    <w:rsid w:val="009A3FF9"/>
    <w:rsid w:val="009B06CA"/>
    <w:rsid w:val="009B1728"/>
    <w:rsid w:val="009B31B0"/>
    <w:rsid w:val="009B7C5A"/>
    <w:rsid w:val="009C0D16"/>
    <w:rsid w:val="009C3C20"/>
    <w:rsid w:val="009C7A61"/>
    <w:rsid w:val="009D08A3"/>
    <w:rsid w:val="009D12A8"/>
    <w:rsid w:val="009D248E"/>
    <w:rsid w:val="00A07CF5"/>
    <w:rsid w:val="00A151BE"/>
    <w:rsid w:val="00A17493"/>
    <w:rsid w:val="00A20990"/>
    <w:rsid w:val="00A25494"/>
    <w:rsid w:val="00A26169"/>
    <w:rsid w:val="00A32852"/>
    <w:rsid w:val="00A3339B"/>
    <w:rsid w:val="00A34355"/>
    <w:rsid w:val="00A43F46"/>
    <w:rsid w:val="00A43F96"/>
    <w:rsid w:val="00A5221E"/>
    <w:rsid w:val="00A621CC"/>
    <w:rsid w:val="00A62408"/>
    <w:rsid w:val="00A7614E"/>
    <w:rsid w:val="00A80B38"/>
    <w:rsid w:val="00A838DB"/>
    <w:rsid w:val="00A868BC"/>
    <w:rsid w:val="00A86EA8"/>
    <w:rsid w:val="00A91608"/>
    <w:rsid w:val="00A930E8"/>
    <w:rsid w:val="00A941C4"/>
    <w:rsid w:val="00A94DA7"/>
    <w:rsid w:val="00A95B6A"/>
    <w:rsid w:val="00A960B5"/>
    <w:rsid w:val="00AB3C62"/>
    <w:rsid w:val="00AB466E"/>
    <w:rsid w:val="00AB6B93"/>
    <w:rsid w:val="00AC329F"/>
    <w:rsid w:val="00AC7213"/>
    <w:rsid w:val="00AC7483"/>
    <w:rsid w:val="00AD5BB0"/>
    <w:rsid w:val="00AE1D7E"/>
    <w:rsid w:val="00AF4995"/>
    <w:rsid w:val="00AF5DAC"/>
    <w:rsid w:val="00AF72F4"/>
    <w:rsid w:val="00B009E4"/>
    <w:rsid w:val="00B02FE5"/>
    <w:rsid w:val="00B056D1"/>
    <w:rsid w:val="00B07BA2"/>
    <w:rsid w:val="00B11349"/>
    <w:rsid w:val="00B1781D"/>
    <w:rsid w:val="00B2040D"/>
    <w:rsid w:val="00B2405F"/>
    <w:rsid w:val="00B27760"/>
    <w:rsid w:val="00B27DAE"/>
    <w:rsid w:val="00B32C9E"/>
    <w:rsid w:val="00B34A25"/>
    <w:rsid w:val="00B40455"/>
    <w:rsid w:val="00B51B01"/>
    <w:rsid w:val="00B70D71"/>
    <w:rsid w:val="00B71EFC"/>
    <w:rsid w:val="00B77B65"/>
    <w:rsid w:val="00B8121B"/>
    <w:rsid w:val="00B82C0D"/>
    <w:rsid w:val="00B97E26"/>
    <w:rsid w:val="00BA3092"/>
    <w:rsid w:val="00BA5444"/>
    <w:rsid w:val="00BA5ADC"/>
    <w:rsid w:val="00BA7088"/>
    <w:rsid w:val="00BB5CD0"/>
    <w:rsid w:val="00BB5E92"/>
    <w:rsid w:val="00BB7D4F"/>
    <w:rsid w:val="00BE0290"/>
    <w:rsid w:val="00BE2389"/>
    <w:rsid w:val="00BE2615"/>
    <w:rsid w:val="00C00072"/>
    <w:rsid w:val="00C074CC"/>
    <w:rsid w:val="00C162D2"/>
    <w:rsid w:val="00C17910"/>
    <w:rsid w:val="00C26F3A"/>
    <w:rsid w:val="00C27CD4"/>
    <w:rsid w:val="00C31E54"/>
    <w:rsid w:val="00C348B0"/>
    <w:rsid w:val="00C35FCD"/>
    <w:rsid w:val="00C4104A"/>
    <w:rsid w:val="00C53802"/>
    <w:rsid w:val="00C53FC0"/>
    <w:rsid w:val="00C54DCF"/>
    <w:rsid w:val="00C56859"/>
    <w:rsid w:val="00C575CA"/>
    <w:rsid w:val="00C61F4D"/>
    <w:rsid w:val="00C6245F"/>
    <w:rsid w:val="00C7624F"/>
    <w:rsid w:val="00C80DBB"/>
    <w:rsid w:val="00C94EE5"/>
    <w:rsid w:val="00CA5FDB"/>
    <w:rsid w:val="00CB0911"/>
    <w:rsid w:val="00CB3649"/>
    <w:rsid w:val="00CB5A11"/>
    <w:rsid w:val="00CB74F8"/>
    <w:rsid w:val="00CC1797"/>
    <w:rsid w:val="00CC2510"/>
    <w:rsid w:val="00CC437A"/>
    <w:rsid w:val="00CC60A2"/>
    <w:rsid w:val="00CD5E20"/>
    <w:rsid w:val="00CE07B5"/>
    <w:rsid w:val="00CE6B5F"/>
    <w:rsid w:val="00D00C59"/>
    <w:rsid w:val="00D1136A"/>
    <w:rsid w:val="00D22EC5"/>
    <w:rsid w:val="00D24393"/>
    <w:rsid w:val="00D33793"/>
    <w:rsid w:val="00D370DC"/>
    <w:rsid w:val="00D43524"/>
    <w:rsid w:val="00D520B0"/>
    <w:rsid w:val="00D52DE7"/>
    <w:rsid w:val="00D54268"/>
    <w:rsid w:val="00D543BA"/>
    <w:rsid w:val="00D57FA3"/>
    <w:rsid w:val="00D603BD"/>
    <w:rsid w:val="00D835DD"/>
    <w:rsid w:val="00D92DF1"/>
    <w:rsid w:val="00D94637"/>
    <w:rsid w:val="00D97DF2"/>
    <w:rsid w:val="00DA0C34"/>
    <w:rsid w:val="00DA109E"/>
    <w:rsid w:val="00DA2CB7"/>
    <w:rsid w:val="00DA3DE6"/>
    <w:rsid w:val="00DB3871"/>
    <w:rsid w:val="00DB5932"/>
    <w:rsid w:val="00DC56B2"/>
    <w:rsid w:val="00DC68BC"/>
    <w:rsid w:val="00DC763D"/>
    <w:rsid w:val="00DD17DD"/>
    <w:rsid w:val="00DD640A"/>
    <w:rsid w:val="00DD736E"/>
    <w:rsid w:val="00DE7179"/>
    <w:rsid w:val="00DF003A"/>
    <w:rsid w:val="00DF0502"/>
    <w:rsid w:val="00DF07FA"/>
    <w:rsid w:val="00DF08FC"/>
    <w:rsid w:val="00E01FD6"/>
    <w:rsid w:val="00E043F5"/>
    <w:rsid w:val="00E0595E"/>
    <w:rsid w:val="00E066C0"/>
    <w:rsid w:val="00E20866"/>
    <w:rsid w:val="00E24CAB"/>
    <w:rsid w:val="00E26678"/>
    <w:rsid w:val="00E30A96"/>
    <w:rsid w:val="00E34563"/>
    <w:rsid w:val="00E43166"/>
    <w:rsid w:val="00E44F89"/>
    <w:rsid w:val="00E46732"/>
    <w:rsid w:val="00E5181E"/>
    <w:rsid w:val="00E54801"/>
    <w:rsid w:val="00E60588"/>
    <w:rsid w:val="00E6421D"/>
    <w:rsid w:val="00E77179"/>
    <w:rsid w:val="00E80990"/>
    <w:rsid w:val="00EA2982"/>
    <w:rsid w:val="00EA3D58"/>
    <w:rsid w:val="00EA61A3"/>
    <w:rsid w:val="00ED45E8"/>
    <w:rsid w:val="00EE2379"/>
    <w:rsid w:val="00EE5DA5"/>
    <w:rsid w:val="00EE7392"/>
    <w:rsid w:val="00EE7449"/>
    <w:rsid w:val="00EF59E4"/>
    <w:rsid w:val="00F043C4"/>
    <w:rsid w:val="00F07D73"/>
    <w:rsid w:val="00F100FA"/>
    <w:rsid w:val="00F106DE"/>
    <w:rsid w:val="00F14104"/>
    <w:rsid w:val="00F16790"/>
    <w:rsid w:val="00F209AD"/>
    <w:rsid w:val="00F26BF8"/>
    <w:rsid w:val="00F37CBC"/>
    <w:rsid w:val="00F47B20"/>
    <w:rsid w:val="00F6141D"/>
    <w:rsid w:val="00F65B3A"/>
    <w:rsid w:val="00F66DF9"/>
    <w:rsid w:val="00F70A73"/>
    <w:rsid w:val="00F70D0E"/>
    <w:rsid w:val="00F72213"/>
    <w:rsid w:val="00F73C41"/>
    <w:rsid w:val="00F968D8"/>
    <w:rsid w:val="00FA4487"/>
    <w:rsid w:val="00FA50C0"/>
    <w:rsid w:val="00FB507C"/>
    <w:rsid w:val="00FC2A36"/>
    <w:rsid w:val="00FC3106"/>
    <w:rsid w:val="00FD6166"/>
    <w:rsid w:val="00FE2BC0"/>
    <w:rsid w:val="00FE3A49"/>
    <w:rsid w:val="00FF2960"/>
    <w:rsid w:val="00FF2FF8"/>
    <w:rsid w:val="00FF4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sz w:val="28"/>
    </w:rPr>
  </w:style>
  <w:style w:type="paragraph" w:styleId="Subtitle">
    <w:name w:val="Subtitle"/>
    <w:basedOn w:val="Normal"/>
    <w:qFormat/>
    <w:pPr>
      <w:jc w:val="center"/>
    </w:pPr>
    <w:rPr>
      <w:sz w:val="36"/>
    </w:rPr>
  </w:style>
  <w:style w:type="paragraph" w:styleId="BodyText">
    <w:name w:val="Body Text"/>
    <w:basedOn w:val="Normal"/>
    <w:rPr>
      <w:sz w:val="20"/>
    </w:rPr>
  </w:style>
  <w:style w:type="paragraph" w:styleId="BodyText2">
    <w:name w:val="Body Text 2"/>
    <w:basedOn w:val="Normal"/>
    <w:rPr>
      <w:i/>
      <w:sz w:val="20"/>
    </w:rPr>
  </w:style>
  <w:style w:type="paragraph" w:customStyle="1" w:styleId="Default">
    <w:name w:val="Default"/>
    <w:pPr>
      <w:autoSpaceDE w:val="0"/>
      <w:autoSpaceDN w:val="0"/>
      <w:adjustRightInd w:val="0"/>
    </w:pPr>
    <w:rPr>
      <w:rFonts w:ascii="Linotext" w:hAnsi="Linotext"/>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C27CD4"/>
  </w:style>
  <w:style w:type="character" w:styleId="Hyperlink">
    <w:name w:val="Hyperlink"/>
    <w:rsid w:val="00CB5A11"/>
    <w:rPr>
      <w:color w:val="0000FF"/>
      <w:u w:val="single"/>
    </w:rPr>
  </w:style>
  <w:style w:type="character" w:styleId="CommentReference">
    <w:name w:val="annotation reference"/>
    <w:semiHidden/>
    <w:rsid w:val="009568CA"/>
    <w:rPr>
      <w:sz w:val="16"/>
      <w:szCs w:val="16"/>
    </w:rPr>
  </w:style>
  <w:style w:type="paragraph" w:styleId="CommentText">
    <w:name w:val="annotation text"/>
    <w:basedOn w:val="Normal"/>
    <w:semiHidden/>
    <w:rsid w:val="009568CA"/>
    <w:rPr>
      <w:sz w:val="20"/>
    </w:rPr>
  </w:style>
  <w:style w:type="paragraph" w:styleId="CommentSubject">
    <w:name w:val="annotation subject"/>
    <w:basedOn w:val="CommentText"/>
    <w:next w:val="CommentText"/>
    <w:semiHidden/>
    <w:rsid w:val="009568CA"/>
    <w:rPr>
      <w:b/>
      <w:bCs/>
    </w:rPr>
  </w:style>
  <w:style w:type="paragraph" w:styleId="FootnoteText">
    <w:name w:val="footnote text"/>
    <w:basedOn w:val="Normal"/>
    <w:link w:val="FootnoteTextChar"/>
    <w:semiHidden/>
    <w:unhideWhenUsed/>
    <w:rsid w:val="00AE1D7E"/>
    <w:rPr>
      <w:sz w:val="20"/>
    </w:rPr>
  </w:style>
  <w:style w:type="character" w:customStyle="1" w:styleId="FootnoteTextChar">
    <w:name w:val="Footnote Text Char"/>
    <w:basedOn w:val="DefaultParagraphFont"/>
    <w:link w:val="FootnoteText"/>
    <w:uiPriority w:val="99"/>
    <w:semiHidden/>
    <w:rsid w:val="00AE1D7E"/>
  </w:style>
  <w:style w:type="character" w:styleId="FootnoteReference">
    <w:name w:val="footnote reference"/>
    <w:semiHidden/>
    <w:unhideWhenUsed/>
    <w:rsid w:val="00AE1D7E"/>
    <w:rPr>
      <w:vertAlign w:val="superscript"/>
    </w:rPr>
  </w:style>
  <w:style w:type="table" w:styleId="TableGrid">
    <w:name w:val="Table Grid"/>
    <w:basedOn w:val="TableNormal"/>
    <w:uiPriority w:val="59"/>
    <w:rsid w:val="00FC3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3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jc w:val="center"/>
    </w:pPr>
    <w:rPr>
      <w:sz w:val="28"/>
    </w:rPr>
  </w:style>
  <w:style w:type="paragraph" w:styleId="Subtitle">
    <w:name w:val="Subtitle"/>
    <w:basedOn w:val="Normal"/>
    <w:qFormat/>
    <w:pPr>
      <w:jc w:val="center"/>
    </w:pPr>
    <w:rPr>
      <w:sz w:val="36"/>
    </w:rPr>
  </w:style>
  <w:style w:type="paragraph" w:styleId="BodyText">
    <w:name w:val="Body Text"/>
    <w:basedOn w:val="Normal"/>
    <w:rPr>
      <w:sz w:val="20"/>
    </w:rPr>
  </w:style>
  <w:style w:type="paragraph" w:styleId="BodyText2">
    <w:name w:val="Body Text 2"/>
    <w:basedOn w:val="Normal"/>
    <w:rPr>
      <w:i/>
      <w:sz w:val="20"/>
    </w:rPr>
  </w:style>
  <w:style w:type="paragraph" w:customStyle="1" w:styleId="Default">
    <w:name w:val="Default"/>
    <w:pPr>
      <w:autoSpaceDE w:val="0"/>
      <w:autoSpaceDN w:val="0"/>
      <w:adjustRightInd w:val="0"/>
    </w:pPr>
    <w:rPr>
      <w:rFonts w:ascii="Linotext" w:hAnsi="Linotext"/>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C27CD4"/>
  </w:style>
  <w:style w:type="character" w:styleId="Hyperlink">
    <w:name w:val="Hyperlink"/>
    <w:rsid w:val="00CB5A11"/>
    <w:rPr>
      <w:color w:val="0000FF"/>
      <w:u w:val="single"/>
    </w:rPr>
  </w:style>
  <w:style w:type="character" w:styleId="CommentReference">
    <w:name w:val="annotation reference"/>
    <w:semiHidden/>
    <w:rsid w:val="009568CA"/>
    <w:rPr>
      <w:sz w:val="16"/>
      <w:szCs w:val="16"/>
    </w:rPr>
  </w:style>
  <w:style w:type="paragraph" w:styleId="CommentText">
    <w:name w:val="annotation text"/>
    <w:basedOn w:val="Normal"/>
    <w:semiHidden/>
    <w:rsid w:val="009568CA"/>
    <w:rPr>
      <w:sz w:val="20"/>
    </w:rPr>
  </w:style>
  <w:style w:type="paragraph" w:styleId="CommentSubject">
    <w:name w:val="annotation subject"/>
    <w:basedOn w:val="CommentText"/>
    <w:next w:val="CommentText"/>
    <w:semiHidden/>
    <w:rsid w:val="009568CA"/>
    <w:rPr>
      <w:b/>
      <w:bCs/>
    </w:rPr>
  </w:style>
  <w:style w:type="paragraph" w:styleId="FootnoteText">
    <w:name w:val="footnote text"/>
    <w:basedOn w:val="Normal"/>
    <w:link w:val="FootnoteTextChar"/>
    <w:semiHidden/>
    <w:unhideWhenUsed/>
    <w:rsid w:val="00AE1D7E"/>
    <w:rPr>
      <w:sz w:val="20"/>
    </w:rPr>
  </w:style>
  <w:style w:type="character" w:customStyle="1" w:styleId="FootnoteTextChar">
    <w:name w:val="Footnote Text Char"/>
    <w:basedOn w:val="DefaultParagraphFont"/>
    <w:link w:val="FootnoteText"/>
    <w:uiPriority w:val="99"/>
    <w:semiHidden/>
    <w:rsid w:val="00AE1D7E"/>
  </w:style>
  <w:style w:type="character" w:styleId="FootnoteReference">
    <w:name w:val="footnote reference"/>
    <w:semiHidden/>
    <w:unhideWhenUsed/>
    <w:rsid w:val="00AE1D7E"/>
    <w:rPr>
      <w:vertAlign w:val="superscript"/>
    </w:rPr>
  </w:style>
  <w:style w:type="table" w:styleId="TableGrid">
    <w:name w:val="Table Grid"/>
    <w:basedOn w:val="TableNormal"/>
    <w:uiPriority w:val="59"/>
    <w:rsid w:val="00FC3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1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48588">
      <w:bodyDiv w:val="1"/>
      <w:marLeft w:val="0"/>
      <w:marRight w:val="0"/>
      <w:marTop w:val="0"/>
      <w:marBottom w:val="0"/>
      <w:divBdr>
        <w:top w:val="none" w:sz="0" w:space="0" w:color="auto"/>
        <w:left w:val="none" w:sz="0" w:space="0" w:color="auto"/>
        <w:bottom w:val="none" w:sz="0" w:space="0" w:color="auto"/>
        <w:right w:val="none" w:sz="0" w:space="0" w:color="auto"/>
      </w:divBdr>
    </w:div>
    <w:div w:id="2025395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ist.gov/physlab/pubs/index.cf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ipm.org/utils/common/documents/jcgm/JCGM_100_2008_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ist.gov/srm/upload/SP260-136.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yperlink" Target="http://www.bipm.org/utils/common/documents/jcgm/JCGM_101_2008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65B1B-22DD-43C8-B349-26D2D4439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1890</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National Institute of Standards &amp; Technology</vt:lpstr>
    </vt:vector>
  </TitlesOfParts>
  <Company>NIST</Company>
  <LinksUpToDate>false</LinksUpToDate>
  <CharactersWithSpaces>13111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Institute of Standards &amp; Technology</dc:title>
  <dc:creator>John R. Sieber</dc:creator>
  <cp:lastModifiedBy>Bercik, Ilse</cp:lastModifiedBy>
  <cp:revision>4</cp:revision>
  <cp:lastPrinted>2013-12-18T16:25:00Z</cp:lastPrinted>
  <dcterms:created xsi:type="dcterms:W3CDTF">2014-02-05T15:23:00Z</dcterms:created>
  <dcterms:modified xsi:type="dcterms:W3CDTF">2014-02-05T15:42:00Z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