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139FC" w14:textId="77777777" w:rsidR="00FD5524" w:rsidRPr="008719C7" w:rsidRDefault="00FD5524" w:rsidP="00B4734C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 w:rsidRPr="008719C7">
        <w:rPr>
          <w:noProof/>
        </w:rPr>
        <w:drawing>
          <wp:anchor distT="0" distB="0" distL="114300" distR="114300" simplePos="0" relativeHeight="251681280" behindDoc="0" locked="0" layoutInCell="1" allowOverlap="1" wp14:anchorId="188A0995" wp14:editId="029E699B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9C7">
        <w:rPr>
          <w:rFonts w:eastAsia="Times New Roman"/>
          <w:bCs/>
          <w:sz w:val="24"/>
          <w:szCs w:val="24"/>
        </w:rPr>
        <w:t xml:space="preserve">Date of Issue: </w:t>
      </w:r>
    </w:p>
    <w:p w14:paraId="477A6232" w14:textId="34B7FC97" w:rsidR="00FD5524" w:rsidRPr="008719C7" w:rsidRDefault="00B4734C" w:rsidP="00B4734C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3</w:t>
      </w:r>
      <w:r w:rsidR="0058550F">
        <w:rPr>
          <w:rFonts w:eastAsia="Times New Roman"/>
          <w:bCs/>
          <w:sz w:val="24"/>
          <w:szCs w:val="24"/>
        </w:rPr>
        <w:t>0 August 2016</w:t>
      </w:r>
    </w:p>
    <w:p w14:paraId="3D15F659" w14:textId="77777777" w:rsidR="00FD5524" w:rsidRPr="008719C7" w:rsidRDefault="00FD5524">
      <w:pPr>
        <w:widowControl/>
        <w:spacing w:after="0" w:line="240" w:lineRule="auto"/>
        <w:ind w:left="2242" w:right="2104"/>
        <w:jc w:val="center"/>
        <w:rPr>
          <w:rFonts w:eastAsia="Times New Roman"/>
          <w:b/>
          <w:bCs/>
          <w:szCs w:val="20"/>
        </w:rPr>
      </w:pPr>
    </w:p>
    <w:p w14:paraId="0E989A8A" w14:textId="77777777" w:rsidR="00E24579" w:rsidRPr="008719C7" w:rsidRDefault="00BF5DD9">
      <w:pPr>
        <w:widowControl/>
        <w:spacing w:after="0" w:line="240" w:lineRule="auto"/>
        <w:ind w:left="2242" w:right="2104"/>
        <w:jc w:val="center"/>
        <w:rPr>
          <w:rFonts w:eastAsia="Times New Roman"/>
          <w:sz w:val="32"/>
          <w:szCs w:val="32"/>
        </w:rPr>
      </w:pPr>
      <w:r w:rsidRPr="008719C7">
        <w:rPr>
          <w:rFonts w:eastAsia="Times New Roman"/>
          <w:b/>
          <w:bCs/>
          <w:sz w:val="32"/>
          <w:szCs w:val="32"/>
        </w:rPr>
        <w:t>SAFETY DATA SHEET</w:t>
      </w:r>
    </w:p>
    <w:p w14:paraId="0F6D4A52" w14:textId="77777777" w:rsidR="00D60A36" w:rsidRPr="008719C7" w:rsidRDefault="00D60A36">
      <w:pPr>
        <w:widowControl/>
        <w:spacing w:after="0" w:line="240" w:lineRule="auto"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:rsidRPr="008719C7" w14:paraId="2CAE13EB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EC8E961" w14:textId="77777777" w:rsidR="00D60A36" w:rsidRPr="008719C7" w:rsidRDefault="00D60A36">
            <w:pPr>
              <w:keepNext/>
              <w:widowControl/>
              <w:spacing w:after="0" w:line="240" w:lineRule="auto"/>
              <w:rPr>
                <w:sz w:val="24"/>
                <w:szCs w:val="24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 xml:space="preserve">1. </w:t>
            </w:r>
            <w:r w:rsidRPr="008719C7">
              <w:rPr>
                <w:rFonts w:eastAsia="Times New Roman"/>
                <w:b/>
                <w:bCs/>
                <w:smallCaps/>
                <w:sz w:val="24"/>
                <w:szCs w:val="24"/>
              </w:rPr>
              <w:t>S</w:t>
            </w:r>
            <w:r w:rsidR="00D90F89" w:rsidRPr="008719C7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8719C7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2D3EE495" w14:textId="77777777" w:rsidR="00150BAB" w:rsidRPr="008719C7" w:rsidRDefault="007666FB" w:rsidP="00B4734C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</w:rPr>
      </w:pPr>
      <w:r w:rsidRPr="008719C7">
        <w:rPr>
          <w:rFonts w:eastAsia="Times New Roman"/>
          <w:b/>
          <w:bCs/>
          <w:szCs w:val="20"/>
        </w:rPr>
        <w:t>P</w:t>
      </w:r>
      <w:r w:rsidR="00150BAB" w:rsidRPr="008719C7">
        <w:rPr>
          <w:rFonts w:eastAsia="Times New Roman"/>
          <w:b/>
          <w:bCs/>
          <w:szCs w:val="20"/>
        </w:rPr>
        <w:t xml:space="preserve">roduct </w:t>
      </w:r>
      <w:r w:rsidR="00B124D7" w:rsidRPr="008719C7">
        <w:rPr>
          <w:rFonts w:eastAsia="Times New Roman"/>
          <w:b/>
          <w:bCs/>
          <w:szCs w:val="20"/>
        </w:rPr>
        <w:t>Identifier</w:t>
      </w:r>
    </w:p>
    <w:p w14:paraId="60D3E32C" w14:textId="77777777" w:rsidR="00150BAB" w:rsidRPr="008719C7" w:rsidRDefault="00150BAB" w:rsidP="00C61FDA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SRM Number:</w:t>
      </w:r>
      <w:r w:rsidR="00FC7D09" w:rsidRPr="008719C7">
        <w:rPr>
          <w:rFonts w:eastAsia="Times New Roman"/>
          <w:b/>
          <w:bCs/>
          <w:szCs w:val="20"/>
        </w:rPr>
        <w:tab/>
      </w:r>
      <w:r w:rsidR="002577EE" w:rsidRPr="008719C7">
        <w:rPr>
          <w:bCs/>
          <w:szCs w:val="20"/>
        </w:rPr>
        <w:t>2225</w:t>
      </w:r>
    </w:p>
    <w:p w14:paraId="3BBEEDEB" w14:textId="7E12E6B2" w:rsidR="00D51ABE" w:rsidRPr="008719C7" w:rsidRDefault="00150BAB" w:rsidP="00C61FDA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SRM Name:</w:t>
      </w:r>
      <w:r w:rsidR="00FC7D09" w:rsidRPr="008719C7">
        <w:rPr>
          <w:rFonts w:eastAsia="Times New Roman"/>
          <w:b/>
          <w:bCs/>
          <w:szCs w:val="20"/>
        </w:rPr>
        <w:tab/>
      </w:r>
      <w:r w:rsidR="002577EE" w:rsidRPr="008719C7">
        <w:rPr>
          <w:rFonts w:eastAsia="Times New Roman"/>
          <w:bCs/>
          <w:szCs w:val="20"/>
        </w:rPr>
        <w:t>Mercury</w:t>
      </w:r>
      <w:r w:rsidR="00DF3711">
        <w:rPr>
          <w:rFonts w:eastAsia="Times New Roman"/>
          <w:bCs/>
          <w:szCs w:val="20"/>
        </w:rPr>
        <w:t xml:space="preserve"> for Thermal Analysis</w:t>
      </w:r>
    </w:p>
    <w:p w14:paraId="26BA2F88" w14:textId="77777777" w:rsidR="00FD5524" w:rsidRPr="008719C7" w:rsidRDefault="00FD5524" w:rsidP="00C61FDA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Other Means of Identification:  </w:t>
      </w:r>
      <w:r w:rsidRPr="008719C7">
        <w:rPr>
          <w:rFonts w:eastAsia="Times New Roman"/>
          <w:bCs/>
          <w:szCs w:val="20"/>
        </w:rPr>
        <w:t xml:space="preserve">Not </w:t>
      </w:r>
      <w:r w:rsidR="009F49E7" w:rsidRPr="008719C7">
        <w:rPr>
          <w:rFonts w:eastAsia="Times New Roman"/>
          <w:bCs/>
          <w:szCs w:val="20"/>
        </w:rPr>
        <w:t>applicable</w:t>
      </w:r>
      <w:r w:rsidRPr="008719C7">
        <w:rPr>
          <w:rFonts w:eastAsia="Times New Roman"/>
          <w:bCs/>
          <w:szCs w:val="20"/>
        </w:rPr>
        <w:t>.</w:t>
      </w:r>
    </w:p>
    <w:p w14:paraId="4FBE421B" w14:textId="77777777" w:rsidR="00150BAB" w:rsidRPr="008719C7" w:rsidRDefault="00150BAB" w:rsidP="00B4734C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Recommended </w:t>
      </w:r>
      <w:r w:rsidR="00B54925" w:rsidRPr="008719C7">
        <w:rPr>
          <w:rFonts w:eastAsia="Times New Roman"/>
          <w:b/>
          <w:bCs/>
          <w:szCs w:val="20"/>
        </w:rPr>
        <w:t xml:space="preserve">Use </w:t>
      </w:r>
      <w:r w:rsidR="00BB0995" w:rsidRPr="008719C7">
        <w:rPr>
          <w:rFonts w:eastAsia="Times New Roman"/>
          <w:b/>
          <w:bCs/>
          <w:szCs w:val="20"/>
        </w:rPr>
        <w:t xml:space="preserve">of </w:t>
      </w:r>
      <w:r w:rsidR="00B54925" w:rsidRPr="008719C7">
        <w:rPr>
          <w:rFonts w:eastAsia="Times New Roman"/>
          <w:b/>
          <w:bCs/>
          <w:szCs w:val="20"/>
        </w:rPr>
        <w:t>T</w:t>
      </w:r>
      <w:r w:rsidR="00BB0995" w:rsidRPr="008719C7">
        <w:rPr>
          <w:rFonts w:eastAsia="Times New Roman"/>
          <w:b/>
          <w:bCs/>
          <w:szCs w:val="20"/>
        </w:rPr>
        <w:t xml:space="preserve">his </w:t>
      </w:r>
      <w:r w:rsidR="00B54925" w:rsidRPr="008719C7">
        <w:rPr>
          <w:rFonts w:eastAsia="Times New Roman"/>
          <w:b/>
          <w:bCs/>
          <w:szCs w:val="20"/>
        </w:rPr>
        <w:t>M</w:t>
      </w:r>
      <w:r w:rsidR="00BB0995" w:rsidRPr="008719C7">
        <w:rPr>
          <w:rFonts w:eastAsia="Times New Roman"/>
          <w:b/>
          <w:bCs/>
          <w:szCs w:val="20"/>
        </w:rPr>
        <w:t xml:space="preserve">aterial and </w:t>
      </w:r>
      <w:r w:rsidR="00B54925" w:rsidRPr="008719C7">
        <w:rPr>
          <w:rFonts w:eastAsia="Times New Roman"/>
          <w:b/>
          <w:bCs/>
          <w:szCs w:val="20"/>
        </w:rPr>
        <w:t>R</w:t>
      </w:r>
      <w:r w:rsidR="00BB0995" w:rsidRPr="008719C7">
        <w:rPr>
          <w:rFonts w:eastAsia="Times New Roman"/>
          <w:b/>
          <w:bCs/>
          <w:szCs w:val="20"/>
        </w:rPr>
        <w:t xml:space="preserve">estrictions of </w:t>
      </w:r>
      <w:r w:rsidR="00B54925" w:rsidRPr="008719C7">
        <w:rPr>
          <w:rFonts w:eastAsia="Times New Roman"/>
          <w:b/>
          <w:bCs/>
          <w:szCs w:val="20"/>
        </w:rPr>
        <w:t>U</w:t>
      </w:r>
      <w:r w:rsidR="00BB0995" w:rsidRPr="008719C7">
        <w:rPr>
          <w:rFonts w:eastAsia="Times New Roman"/>
          <w:b/>
          <w:bCs/>
          <w:szCs w:val="20"/>
        </w:rPr>
        <w:t>se</w:t>
      </w:r>
    </w:p>
    <w:p w14:paraId="50FAED82" w14:textId="1161EB6C" w:rsidR="00150BAB" w:rsidRPr="0059682C" w:rsidRDefault="00A749F6">
      <w:pPr>
        <w:widowControl/>
        <w:spacing w:after="0" w:line="240" w:lineRule="auto"/>
        <w:ind w:left="360"/>
        <w:rPr>
          <w:rFonts w:eastAsia="Times New Roman"/>
          <w:i/>
          <w:szCs w:val="20"/>
        </w:rPr>
      </w:pPr>
      <w:r w:rsidRPr="008719C7">
        <w:t>This Standard Reference Material</w:t>
      </w:r>
      <w:r w:rsidR="00D733AA" w:rsidRPr="008719C7">
        <w:t> </w:t>
      </w:r>
      <w:r w:rsidRPr="008719C7">
        <w:t xml:space="preserve">(SRM) is intended for use </w:t>
      </w:r>
      <w:r w:rsidR="002577EE" w:rsidRPr="008719C7">
        <w:t>in calibrating differential scanning calor</w:t>
      </w:r>
      <w:r w:rsidR="002577EE" w:rsidRPr="0059682C">
        <w:t xml:space="preserve">imeters, differential thermal analyzers, and similar instruments.  </w:t>
      </w:r>
      <w:r w:rsidR="00B4734C">
        <w:t xml:space="preserve">A unit of </w:t>
      </w:r>
      <w:r w:rsidR="002577EE" w:rsidRPr="0059682C">
        <w:t>SRM</w:t>
      </w:r>
      <w:r w:rsidR="00B4734C">
        <w:t> 2225</w:t>
      </w:r>
      <w:r w:rsidR="002577EE" w:rsidRPr="0059682C">
        <w:t xml:space="preserve"> consist</w:t>
      </w:r>
      <w:r w:rsidR="00B4734C">
        <w:t>s</w:t>
      </w:r>
      <w:r w:rsidR="002577EE" w:rsidRPr="0059682C">
        <w:t xml:space="preserve"> of 2.</w:t>
      </w:r>
      <w:r w:rsidR="00D12C7E" w:rsidRPr="0059682C">
        <w:t>5</w:t>
      </w:r>
      <w:r w:rsidR="00D12C7E">
        <w:t> </w:t>
      </w:r>
      <w:r w:rsidR="002577EE" w:rsidRPr="0059682C">
        <w:t>g of very high purity mercury (Hg).  It is packaged in a vial with a septum through which a sample a mercury can be withdrawn by a syringe.</w:t>
      </w:r>
    </w:p>
    <w:p w14:paraId="45767D0D" w14:textId="77777777" w:rsidR="00F6032E" w:rsidRPr="008719C7" w:rsidRDefault="00F6032E">
      <w:pPr>
        <w:widowControl/>
        <w:tabs>
          <w:tab w:val="left" w:pos="5440"/>
        </w:tabs>
        <w:spacing w:before="120" w:after="120" w:line="240" w:lineRule="auto"/>
        <w:rPr>
          <w:rFonts w:eastAsia="Times New Roman"/>
          <w:b/>
          <w:bCs/>
          <w:szCs w:val="20"/>
        </w:rPr>
      </w:pPr>
      <w:bookmarkStart w:id="0" w:name="_GoBack"/>
      <w:bookmarkEnd w:id="0"/>
      <w:r w:rsidRPr="0059682C">
        <w:rPr>
          <w:rFonts w:eastAsia="Times New Roman"/>
          <w:b/>
          <w:bCs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8719C7" w14:paraId="4F1C528F" w14:textId="77777777" w:rsidTr="002F28B5">
        <w:tc>
          <w:tcPr>
            <w:tcW w:w="4590" w:type="dxa"/>
          </w:tcPr>
          <w:p w14:paraId="6DA839FB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69C53F5A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8719C7" w14:paraId="14290701" w14:textId="77777777" w:rsidTr="002F28B5">
        <w:tc>
          <w:tcPr>
            <w:tcW w:w="4590" w:type="dxa"/>
          </w:tcPr>
          <w:p w14:paraId="0C982340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438D05EC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8719C7" w14:paraId="7993AA36" w14:textId="77777777" w:rsidTr="002F28B5">
        <w:tc>
          <w:tcPr>
            <w:tcW w:w="4590" w:type="dxa"/>
          </w:tcPr>
          <w:p w14:paraId="04FE63CB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E471F97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8719C7" w14:paraId="7A7D4B18" w14:textId="77777777" w:rsidTr="002F28B5">
        <w:tc>
          <w:tcPr>
            <w:tcW w:w="4590" w:type="dxa"/>
          </w:tcPr>
          <w:p w14:paraId="30F5C8F6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602B5C35" w14:textId="77777777" w:rsidR="00F6032E" w:rsidRPr="008719C7" w:rsidRDefault="00F6032E" w:rsidP="00C61FDA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8719C7" w14:paraId="070C9515" w14:textId="77777777" w:rsidTr="002F28B5">
        <w:tc>
          <w:tcPr>
            <w:tcW w:w="4590" w:type="dxa"/>
          </w:tcPr>
          <w:p w14:paraId="33B6E2DD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0A29F79A" w14:textId="77777777" w:rsidR="00F6032E" w:rsidRPr="008719C7" w:rsidRDefault="00F6032E" w:rsidP="00C61FDA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8719C7" w14:paraId="038E2A34" w14:textId="77777777" w:rsidTr="002F28B5">
        <w:tc>
          <w:tcPr>
            <w:tcW w:w="4590" w:type="dxa"/>
          </w:tcPr>
          <w:p w14:paraId="08BFFAB5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4801AE72" w14:textId="77777777" w:rsidR="00F6032E" w:rsidRPr="008719C7" w:rsidRDefault="00F6032E" w:rsidP="00C61FDA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F6032E" w:rsidRPr="008719C7" w14:paraId="0F4E6B55" w14:textId="77777777" w:rsidTr="002F28B5">
        <w:tc>
          <w:tcPr>
            <w:tcW w:w="4590" w:type="dxa"/>
          </w:tcPr>
          <w:p w14:paraId="7FF5B7BF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109716B2" w14:textId="77777777" w:rsidR="00F6032E" w:rsidRPr="008719C7" w:rsidRDefault="00F6032E" w:rsidP="00C61FDA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ab/>
              <w:t>1-800-424-9300</w:t>
            </w:r>
            <w:r w:rsidRPr="008719C7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F6032E" w:rsidRPr="008719C7" w14:paraId="686455FD" w14:textId="77777777" w:rsidTr="002F28B5">
        <w:tc>
          <w:tcPr>
            <w:tcW w:w="4590" w:type="dxa"/>
          </w:tcPr>
          <w:p w14:paraId="4E7845FD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8719C7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7721D7E5" w14:textId="77777777" w:rsidR="00F6032E" w:rsidRPr="008719C7" w:rsidRDefault="00F6032E" w:rsidP="00C61FDA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ab/>
              <w:t>+1-703-527-3887</w:t>
            </w:r>
            <w:r w:rsidRPr="008719C7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F6032E" w:rsidRPr="008719C7" w14:paraId="0DEF9519" w14:textId="77777777" w:rsidTr="002F28B5">
        <w:tc>
          <w:tcPr>
            <w:tcW w:w="4590" w:type="dxa"/>
          </w:tcPr>
          <w:p w14:paraId="6C43B708" w14:textId="77777777" w:rsidR="00F6032E" w:rsidRPr="008719C7" w:rsidRDefault="00F6032E" w:rsidP="00C61F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8719C7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7CD18BDD" w14:textId="77777777" w:rsidR="00F6032E" w:rsidRPr="008719C7" w:rsidRDefault="00F6032E" w:rsidP="00C61FDA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3B37A4A4" w14:textId="77777777" w:rsidR="002577EE" w:rsidRPr="008719C7" w:rsidRDefault="002577EE" w:rsidP="00C61FDA">
      <w:pPr>
        <w:widowControl/>
        <w:spacing w:after="0"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8719C7" w14:paraId="75CF4A38" w14:textId="77777777" w:rsidTr="002577EE">
        <w:trPr>
          <w:trHeight w:hRule="exact" w:val="360"/>
        </w:trPr>
        <w:tc>
          <w:tcPr>
            <w:tcW w:w="9360" w:type="dxa"/>
            <w:vAlign w:val="center"/>
          </w:tcPr>
          <w:p w14:paraId="60B40922" w14:textId="77777777" w:rsidR="002B22C8" w:rsidRPr="008719C7" w:rsidRDefault="002B22C8" w:rsidP="00B4734C">
            <w:pPr>
              <w:keepNext/>
              <w:widowControl/>
              <w:spacing w:after="0" w:line="240" w:lineRule="auto"/>
              <w:rPr>
                <w:sz w:val="13"/>
                <w:szCs w:val="13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2. H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AZARDS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DENTIFICATION</w:t>
            </w:r>
          </w:p>
        </w:tc>
      </w:tr>
    </w:tbl>
    <w:p w14:paraId="2C5F43A0" w14:textId="77777777" w:rsidR="001C4F6D" w:rsidRPr="008719C7" w:rsidRDefault="002B22C8" w:rsidP="00B4734C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Classification</w:t>
      </w:r>
      <w:r w:rsidR="006D24D9" w:rsidRPr="008719C7">
        <w:rPr>
          <w:rFonts w:eastAsia="Times New Roman"/>
          <w:bCs/>
          <w:szCs w:val="20"/>
        </w:rPr>
        <w:t xml:space="preserve"> </w:t>
      </w:r>
    </w:p>
    <w:p w14:paraId="5DB21F93" w14:textId="6DBDDD0E" w:rsidR="0073150A" w:rsidRPr="008719C7" w:rsidRDefault="0073150A">
      <w:pPr>
        <w:widowControl/>
        <w:tabs>
          <w:tab w:val="left" w:pos="2250"/>
          <w:tab w:val="left" w:pos="53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Physical Hazard:</w:t>
      </w:r>
      <w:r w:rsidR="0044226E" w:rsidRPr="008719C7">
        <w:rPr>
          <w:rFonts w:eastAsia="Times New Roman"/>
          <w:bCs/>
          <w:szCs w:val="20"/>
        </w:rPr>
        <w:tab/>
      </w:r>
      <w:r w:rsidR="00597EF8" w:rsidRPr="00597EF8">
        <w:rPr>
          <w:rFonts w:eastAsia="Times New Roman"/>
          <w:bCs/>
          <w:szCs w:val="20"/>
        </w:rPr>
        <w:t>Corrosive to Metals</w:t>
      </w:r>
      <w:r w:rsidR="00597EF8" w:rsidRPr="00597EF8">
        <w:rPr>
          <w:rFonts w:eastAsia="Times New Roman"/>
          <w:bCs/>
          <w:szCs w:val="20"/>
        </w:rPr>
        <w:tab/>
        <w:t>Category 1</w:t>
      </w:r>
    </w:p>
    <w:p w14:paraId="15722B10" w14:textId="77777777" w:rsidR="000E2F99" w:rsidRPr="008719C7" w:rsidRDefault="0073150A">
      <w:pPr>
        <w:widowControl/>
        <w:tabs>
          <w:tab w:val="left" w:pos="2250"/>
          <w:tab w:val="left" w:pos="53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Health Hazard:</w:t>
      </w:r>
      <w:r w:rsidR="0044226E" w:rsidRPr="008719C7">
        <w:rPr>
          <w:rFonts w:eastAsia="Times New Roman"/>
          <w:bCs/>
          <w:szCs w:val="20"/>
        </w:rPr>
        <w:tab/>
      </w:r>
      <w:r w:rsidR="000E2F99" w:rsidRPr="008719C7">
        <w:rPr>
          <w:rFonts w:eastAsia="Times New Roman"/>
          <w:bCs/>
          <w:szCs w:val="20"/>
        </w:rPr>
        <w:t xml:space="preserve">Acute Toxicity, </w:t>
      </w:r>
      <w:r w:rsidR="008719C7" w:rsidRPr="008719C7">
        <w:rPr>
          <w:rFonts w:eastAsia="Times New Roman"/>
          <w:bCs/>
          <w:szCs w:val="20"/>
        </w:rPr>
        <w:t>Inhalation</w:t>
      </w:r>
      <w:r w:rsidR="000E2F99" w:rsidRPr="008719C7">
        <w:rPr>
          <w:rFonts w:eastAsia="Times New Roman"/>
          <w:bCs/>
          <w:szCs w:val="20"/>
        </w:rPr>
        <w:tab/>
        <w:t xml:space="preserve">Category </w:t>
      </w:r>
      <w:r w:rsidR="008719C7" w:rsidRPr="008719C7">
        <w:rPr>
          <w:rFonts w:eastAsia="Times New Roman"/>
          <w:bCs/>
          <w:szCs w:val="20"/>
        </w:rPr>
        <w:t>2</w:t>
      </w:r>
    </w:p>
    <w:p w14:paraId="57EAC46D" w14:textId="33E7D0D2" w:rsidR="008719C7" w:rsidRPr="008719C7" w:rsidRDefault="000E2F99">
      <w:pPr>
        <w:widowControl/>
        <w:tabs>
          <w:tab w:val="left" w:pos="2250"/>
          <w:tab w:val="left" w:pos="53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ab/>
      </w:r>
      <w:r w:rsidR="008719C7" w:rsidRPr="008719C7">
        <w:rPr>
          <w:rFonts w:eastAsia="Times New Roman"/>
          <w:bCs/>
          <w:szCs w:val="20"/>
        </w:rPr>
        <w:t>Skin Sensitization</w:t>
      </w:r>
      <w:r w:rsidR="008719C7" w:rsidRPr="008719C7">
        <w:rPr>
          <w:rFonts w:eastAsia="Times New Roman"/>
          <w:bCs/>
          <w:szCs w:val="20"/>
        </w:rPr>
        <w:tab/>
        <w:t>Category 1</w:t>
      </w:r>
      <w:r w:rsidR="00614DE3">
        <w:rPr>
          <w:rFonts w:eastAsia="Times New Roman"/>
          <w:bCs/>
          <w:szCs w:val="20"/>
        </w:rPr>
        <w:t>B</w:t>
      </w:r>
    </w:p>
    <w:p w14:paraId="647E6B9A" w14:textId="77777777" w:rsidR="00037080" w:rsidRPr="008719C7" w:rsidRDefault="008719C7">
      <w:pPr>
        <w:widowControl/>
        <w:tabs>
          <w:tab w:val="left" w:pos="2250"/>
          <w:tab w:val="left" w:pos="53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ab/>
      </w:r>
      <w:r w:rsidR="008A0E2A" w:rsidRPr="008719C7">
        <w:rPr>
          <w:rFonts w:eastAsia="Times New Roman"/>
          <w:bCs/>
          <w:szCs w:val="20"/>
        </w:rPr>
        <w:t>Reproductive Toxicity</w:t>
      </w:r>
      <w:r w:rsidR="008A0E2A" w:rsidRPr="008719C7">
        <w:rPr>
          <w:rFonts w:eastAsia="Times New Roman"/>
          <w:bCs/>
          <w:szCs w:val="20"/>
        </w:rPr>
        <w:tab/>
      </w:r>
      <w:r w:rsidR="00A749F6" w:rsidRPr="008719C7">
        <w:rPr>
          <w:rFonts w:eastAsia="Times New Roman"/>
          <w:bCs/>
          <w:szCs w:val="20"/>
        </w:rPr>
        <w:t xml:space="preserve">Category </w:t>
      </w:r>
      <w:r w:rsidR="000D6ABB" w:rsidRPr="008719C7">
        <w:rPr>
          <w:rFonts w:eastAsia="Times New Roman"/>
          <w:bCs/>
          <w:szCs w:val="20"/>
        </w:rPr>
        <w:t>1</w:t>
      </w:r>
      <w:r w:rsidRPr="008719C7">
        <w:rPr>
          <w:rFonts w:eastAsia="Times New Roman"/>
          <w:bCs/>
          <w:szCs w:val="20"/>
        </w:rPr>
        <w:t>B</w:t>
      </w:r>
    </w:p>
    <w:p w14:paraId="60F2E343" w14:textId="77777777" w:rsidR="00010583" w:rsidRPr="008719C7" w:rsidRDefault="00010583">
      <w:pPr>
        <w:widowControl/>
        <w:tabs>
          <w:tab w:val="left" w:pos="2250"/>
          <w:tab w:val="left" w:pos="5310"/>
        </w:tabs>
        <w:spacing w:after="0" w:line="240" w:lineRule="auto"/>
        <w:ind w:left="1714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ab/>
        <w:t>STOT, Repeated Exposure </w:t>
      </w:r>
      <w:r w:rsidRPr="008719C7">
        <w:rPr>
          <w:rFonts w:eastAsia="Times New Roman"/>
          <w:bCs/>
          <w:szCs w:val="20"/>
        </w:rPr>
        <w:tab/>
        <w:t>Category </w:t>
      </w:r>
      <w:r w:rsidR="008719C7" w:rsidRPr="008719C7">
        <w:rPr>
          <w:rFonts w:eastAsia="Times New Roman"/>
          <w:bCs/>
          <w:szCs w:val="20"/>
        </w:rPr>
        <w:t>1</w:t>
      </w:r>
    </w:p>
    <w:p w14:paraId="610565E4" w14:textId="77777777" w:rsidR="00010583" w:rsidRPr="008719C7" w:rsidRDefault="00010583">
      <w:pPr>
        <w:widowControl/>
        <w:tabs>
          <w:tab w:val="left" w:pos="2250"/>
          <w:tab w:val="left" w:pos="5310"/>
        </w:tabs>
        <w:spacing w:after="0" w:line="240" w:lineRule="auto"/>
        <w:ind w:left="360"/>
        <w:rPr>
          <w:rFonts w:eastAsia="Times New Roman"/>
          <w:bCs/>
          <w:sz w:val="16"/>
          <w:szCs w:val="16"/>
        </w:rPr>
      </w:pPr>
    </w:p>
    <w:p w14:paraId="2722D2E4" w14:textId="77777777" w:rsidR="00730686" w:rsidRPr="008719C7" w:rsidRDefault="00730686">
      <w:pPr>
        <w:widowControl/>
        <w:tabs>
          <w:tab w:val="left" w:pos="1890"/>
          <w:tab w:val="left" w:pos="6120"/>
        </w:tabs>
        <w:spacing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Label Elements</w:t>
      </w:r>
    </w:p>
    <w:p w14:paraId="7E01405A" w14:textId="77777777" w:rsidR="00910EA2" w:rsidRPr="008719C7" w:rsidRDefault="0073068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Symbol</w:t>
      </w:r>
      <w:r w:rsidR="00910EA2" w:rsidRPr="008719C7">
        <w:rPr>
          <w:rFonts w:eastAsia="Times New Roman"/>
          <w:b/>
          <w:bCs/>
          <w:szCs w:val="20"/>
        </w:rPr>
        <w:t xml:space="preserve"> </w:t>
      </w:r>
    </w:p>
    <w:p w14:paraId="110EC07F" w14:textId="7B66CB55" w:rsidR="00910EA2" w:rsidRPr="008719C7" w:rsidRDefault="00442780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634"/>
        <w:rPr>
          <w:rFonts w:eastAsia="Times New Roman"/>
          <w:b/>
          <w:bCs/>
          <w:szCs w:val="20"/>
        </w:rPr>
      </w:pPr>
      <w:r w:rsidRPr="002C338A">
        <w:rPr>
          <w:rFonts w:eastAsia="Times New Roman"/>
          <w:b/>
          <w:bCs/>
          <w:noProof/>
          <w:szCs w:val="20"/>
        </w:rPr>
        <w:drawing>
          <wp:inline distT="0" distB="0" distL="0" distR="0" wp14:anchorId="31936382" wp14:editId="7E5D2DCB">
            <wp:extent cx="73152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719C7" w:rsidRPr="00A46956">
        <w:rPr>
          <w:noProof/>
        </w:rPr>
        <w:drawing>
          <wp:inline distT="0" distB="0" distL="0" distR="0" wp14:anchorId="6C7DFF2D" wp14:editId="38B35B85">
            <wp:extent cx="730505" cy="731520"/>
            <wp:effectExtent l="0" t="0" r="0" b="0"/>
            <wp:docPr id="21" name="Picture 0" descr="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ll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9C7" w:rsidRPr="00A85A37">
        <w:rPr>
          <w:noProof/>
        </w:rPr>
        <w:drawing>
          <wp:inline distT="0" distB="0" distL="0" distR="0" wp14:anchorId="53CACA6B" wp14:editId="25C44131">
            <wp:extent cx="732537" cy="731520"/>
            <wp:effectExtent l="0" t="0" r="0" b="0"/>
            <wp:docPr id="20" name="Picture 4" descr="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95C" w:rsidRPr="008719C7">
        <w:rPr>
          <w:noProof/>
        </w:rPr>
        <w:drawing>
          <wp:inline distT="0" distB="0" distL="0" distR="0" wp14:anchorId="733C2819" wp14:editId="65DB4256">
            <wp:extent cx="731520" cy="731520"/>
            <wp:effectExtent l="0" t="0" r="0" b="0"/>
            <wp:docPr id="18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8F17" w14:textId="77777777" w:rsidR="00910EA2" w:rsidRPr="008719C7" w:rsidRDefault="00730686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Signal Word</w:t>
      </w:r>
    </w:p>
    <w:p w14:paraId="36AD6615" w14:textId="77777777" w:rsidR="00910EA2" w:rsidRPr="008719C7" w:rsidRDefault="0073068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szCs w:val="20"/>
        </w:rPr>
      </w:pPr>
      <w:r w:rsidRPr="008719C7">
        <w:rPr>
          <w:szCs w:val="20"/>
        </w:rPr>
        <w:t>DANGER</w:t>
      </w:r>
    </w:p>
    <w:p w14:paraId="35320FDE" w14:textId="77777777" w:rsidR="00730686" w:rsidRPr="0027557A" w:rsidRDefault="00730686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27557A">
        <w:rPr>
          <w:rFonts w:eastAsia="Times New Roman"/>
          <w:b/>
          <w:bCs/>
          <w:szCs w:val="20"/>
        </w:rPr>
        <w:t>Hazard Statement(s</w:t>
      </w:r>
      <w:r w:rsidR="00FC3C8B" w:rsidRPr="0027557A">
        <w:rPr>
          <w:rFonts w:eastAsia="Times New Roman"/>
          <w:b/>
          <w:bCs/>
          <w:szCs w:val="20"/>
        </w:rPr>
        <w:t>)</w:t>
      </w:r>
      <w:r w:rsidR="00296E4D" w:rsidRPr="0027557A">
        <w:rPr>
          <w:rFonts w:eastAsia="Times New Roman"/>
          <w:b/>
          <w:bCs/>
          <w:szCs w:val="20"/>
        </w:rPr>
        <w:t xml:space="preserve"> </w:t>
      </w:r>
    </w:p>
    <w:p w14:paraId="5BAB3988" w14:textId="52CB09DF" w:rsidR="00B0436D" w:rsidRPr="0027557A" w:rsidRDefault="00B0436D">
      <w:pPr>
        <w:widowControl/>
        <w:tabs>
          <w:tab w:val="left" w:pos="2250"/>
        </w:tabs>
        <w:spacing w:after="0" w:line="240" w:lineRule="auto"/>
        <w:ind w:left="360"/>
        <w:rPr>
          <w:szCs w:val="20"/>
        </w:rPr>
      </w:pPr>
      <w:r w:rsidRPr="0027557A">
        <w:rPr>
          <w:szCs w:val="20"/>
        </w:rPr>
        <w:t>H290</w:t>
      </w:r>
      <w:r w:rsidRPr="0027557A">
        <w:rPr>
          <w:szCs w:val="20"/>
        </w:rPr>
        <w:tab/>
        <w:t>May be corrosive to metals.</w:t>
      </w:r>
    </w:p>
    <w:p w14:paraId="5C978220" w14:textId="77777777" w:rsidR="00601808" w:rsidRPr="0027557A" w:rsidRDefault="00601808">
      <w:pPr>
        <w:widowControl/>
        <w:tabs>
          <w:tab w:val="left" w:pos="2250"/>
        </w:tabs>
        <w:spacing w:after="0" w:line="240" w:lineRule="auto"/>
        <w:ind w:left="360"/>
        <w:rPr>
          <w:szCs w:val="20"/>
        </w:rPr>
      </w:pPr>
      <w:r w:rsidRPr="0027557A">
        <w:rPr>
          <w:szCs w:val="20"/>
        </w:rPr>
        <w:t>H3</w:t>
      </w:r>
      <w:r w:rsidR="008719C7" w:rsidRPr="0027557A">
        <w:rPr>
          <w:szCs w:val="20"/>
        </w:rPr>
        <w:t>30</w:t>
      </w:r>
      <w:r w:rsidRPr="0027557A">
        <w:rPr>
          <w:szCs w:val="20"/>
        </w:rPr>
        <w:tab/>
      </w:r>
      <w:r w:rsidR="008719C7" w:rsidRPr="0027557A">
        <w:rPr>
          <w:szCs w:val="20"/>
        </w:rPr>
        <w:t>Fatal if inhaled</w:t>
      </w:r>
      <w:r w:rsidRPr="0027557A">
        <w:rPr>
          <w:szCs w:val="20"/>
        </w:rPr>
        <w:t>.</w:t>
      </w:r>
    </w:p>
    <w:p w14:paraId="3B67F498" w14:textId="77777777" w:rsidR="008719C7" w:rsidRPr="0027557A" w:rsidRDefault="008719C7">
      <w:pPr>
        <w:widowControl/>
        <w:tabs>
          <w:tab w:val="left" w:pos="2250"/>
        </w:tabs>
        <w:spacing w:after="0" w:line="240" w:lineRule="auto"/>
        <w:ind w:left="360"/>
        <w:rPr>
          <w:szCs w:val="20"/>
        </w:rPr>
      </w:pPr>
      <w:r w:rsidRPr="0027557A">
        <w:rPr>
          <w:szCs w:val="20"/>
        </w:rPr>
        <w:t>H</w:t>
      </w:r>
      <w:r w:rsidR="00A57B44" w:rsidRPr="0027557A">
        <w:rPr>
          <w:szCs w:val="20"/>
        </w:rPr>
        <w:t>317</w:t>
      </w:r>
      <w:r w:rsidRPr="0027557A">
        <w:rPr>
          <w:szCs w:val="20"/>
        </w:rPr>
        <w:tab/>
        <w:t>May cause allergic skin reaction.</w:t>
      </w:r>
    </w:p>
    <w:p w14:paraId="1E1F456F" w14:textId="77777777" w:rsidR="00D570B6" w:rsidRPr="0027557A" w:rsidRDefault="00D62EAF">
      <w:pPr>
        <w:widowControl/>
        <w:tabs>
          <w:tab w:val="left" w:pos="2250"/>
        </w:tabs>
        <w:spacing w:after="0" w:line="240" w:lineRule="auto"/>
        <w:ind w:left="360"/>
        <w:rPr>
          <w:szCs w:val="20"/>
        </w:rPr>
      </w:pPr>
      <w:r w:rsidRPr="0027557A">
        <w:rPr>
          <w:szCs w:val="20"/>
        </w:rPr>
        <w:t>H3</w:t>
      </w:r>
      <w:r w:rsidR="00D570B6" w:rsidRPr="0027557A">
        <w:rPr>
          <w:szCs w:val="20"/>
        </w:rPr>
        <w:t>6</w:t>
      </w:r>
      <w:r w:rsidR="008719C7" w:rsidRPr="0027557A">
        <w:rPr>
          <w:szCs w:val="20"/>
        </w:rPr>
        <w:t>0</w:t>
      </w:r>
      <w:r w:rsidR="00D570B6" w:rsidRPr="0027557A">
        <w:rPr>
          <w:szCs w:val="20"/>
        </w:rPr>
        <w:tab/>
        <w:t>May damage fertility or the unborn child.</w:t>
      </w:r>
    </w:p>
    <w:p w14:paraId="30B7817A" w14:textId="22BDCCC0" w:rsidR="000D6ABB" w:rsidRPr="0027557A" w:rsidRDefault="000D6ABB">
      <w:pPr>
        <w:widowControl/>
        <w:tabs>
          <w:tab w:val="left" w:pos="2250"/>
        </w:tabs>
        <w:spacing w:after="0" w:line="240" w:lineRule="auto"/>
        <w:ind w:left="360"/>
        <w:rPr>
          <w:szCs w:val="20"/>
        </w:rPr>
      </w:pPr>
      <w:r w:rsidRPr="0027557A">
        <w:rPr>
          <w:szCs w:val="20"/>
        </w:rPr>
        <w:t>H3</w:t>
      </w:r>
      <w:r w:rsidR="00D570B6" w:rsidRPr="0027557A">
        <w:rPr>
          <w:szCs w:val="20"/>
        </w:rPr>
        <w:t>72</w:t>
      </w:r>
      <w:r w:rsidR="00D570B6" w:rsidRPr="0027557A">
        <w:rPr>
          <w:szCs w:val="20"/>
        </w:rPr>
        <w:tab/>
        <w:t>Causes damage to organs thro</w:t>
      </w:r>
      <w:r w:rsidR="008719C7" w:rsidRPr="0027557A">
        <w:rPr>
          <w:szCs w:val="20"/>
        </w:rPr>
        <w:t>ugh prolonged or repeat</w:t>
      </w:r>
      <w:r w:rsidR="000C0A3B" w:rsidRPr="0027557A">
        <w:rPr>
          <w:szCs w:val="20"/>
        </w:rPr>
        <w:t>ed</w:t>
      </w:r>
      <w:r w:rsidR="008719C7" w:rsidRPr="0027557A">
        <w:rPr>
          <w:szCs w:val="20"/>
        </w:rPr>
        <w:t xml:space="preserve"> inhalation exposure</w:t>
      </w:r>
      <w:r w:rsidR="00D570B6" w:rsidRPr="0027557A">
        <w:rPr>
          <w:szCs w:val="20"/>
        </w:rPr>
        <w:t>.</w:t>
      </w:r>
    </w:p>
    <w:p w14:paraId="0AEEEA1C" w14:textId="77777777" w:rsidR="00910EA2" w:rsidRPr="0027557A" w:rsidRDefault="00730686">
      <w:pPr>
        <w:widowControl/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27557A">
        <w:rPr>
          <w:rFonts w:eastAsia="Times New Roman"/>
          <w:b/>
          <w:bCs/>
          <w:szCs w:val="20"/>
        </w:rPr>
        <w:t>Precautionary Statement(s)</w:t>
      </w:r>
    </w:p>
    <w:p w14:paraId="0A97DDE9" w14:textId="77777777" w:rsidR="00D62EAF" w:rsidRPr="0027557A" w:rsidRDefault="00D62EAF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P201</w:t>
      </w:r>
      <w:r w:rsidRPr="0027557A">
        <w:rPr>
          <w:rFonts w:eastAsia="Times New Roman"/>
          <w:bCs/>
          <w:szCs w:val="20"/>
        </w:rPr>
        <w:tab/>
        <w:t>Obtain special instructions before use.</w:t>
      </w:r>
    </w:p>
    <w:p w14:paraId="7F28EDC9" w14:textId="77777777" w:rsidR="00D62EAF" w:rsidRPr="0027557A" w:rsidRDefault="00D62EAF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P202</w:t>
      </w:r>
      <w:r w:rsidRPr="0027557A">
        <w:rPr>
          <w:rFonts w:eastAsia="Times New Roman"/>
          <w:bCs/>
          <w:szCs w:val="20"/>
        </w:rPr>
        <w:tab/>
        <w:t>Do not handle until all safety precautions have been read and understood.</w:t>
      </w:r>
    </w:p>
    <w:p w14:paraId="481B8E9A" w14:textId="77777777" w:rsidR="001B2F69" w:rsidRPr="0027557A" w:rsidRDefault="001B2F69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P234</w:t>
      </w:r>
      <w:r w:rsidRPr="0027557A">
        <w:rPr>
          <w:rFonts w:eastAsia="Times New Roman"/>
          <w:bCs/>
          <w:szCs w:val="20"/>
        </w:rPr>
        <w:tab/>
        <w:t>Keep only in original container.</w:t>
      </w:r>
    </w:p>
    <w:p w14:paraId="6037366C" w14:textId="5765671B" w:rsidR="00D23FCC" w:rsidRPr="0027557A" w:rsidRDefault="00D23FCC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P260</w:t>
      </w:r>
      <w:r w:rsidRPr="0027557A">
        <w:rPr>
          <w:rFonts w:eastAsia="Times New Roman"/>
          <w:bCs/>
          <w:szCs w:val="20"/>
        </w:rPr>
        <w:tab/>
        <w:t>Do not breathe</w:t>
      </w:r>
      <w:r w:rsidR="000E5DA2" w:rsidRPr="0027557A">
        <w:rPr>
          <w:rFonts w:eastAsia="Times New Roman"/>
          <w:bCs/>
          <w:szCs w:val="20"/>
        </w:rPr>
        <w:t xml:space="preserve"> </w:t>
      </w:r>
      <w:r w:rsidRPr="0027557A">
        <w:rPr>
          <w:rFonts w:eastAsia="Times New Roman"/>
          <w:bCs/>
          <w:szCs w:val="20"/>
        </w:rPr>
        <w:t>fume</w:t>
      </w:r>
      <w:r w:rsidR="00597EF8" w:rsidRPr="0027557A">
        <w:rPr>
          <w:rFonts w:eastAsia="Times New Roman"/>
          <w:bCs/>
          <w:szCs w:val="20"/>
        </w:rPr>
        <w:t>s</w:t>
      </w:r>
      <w:r w:rsidR="00DB6AC7" w:rsidRPr="0027557A">
        <w:rPr>
          <w:rFonts w:eastAsia="Times New Roman"/>
          <w:bCs/>
          <w:szCs w:val="20"/>
        </w:rPr>
        <w:t>,</w:t>
      </w:r>
      <w:r w:rsidR="000E5DA2" w:rsidRPr="0027557A">
        <w:rPr>
          <w:rFonts w:eastAsia="Times New Roman"/>
          <w:bCs/>
          <w:szCs w:val="20"/>
        </w:rPr>
        <w:t xml:space="preserve"> </w:t>
      </w:r>
      <w:r w:rsidRPr="0027557A">
        <w:rPr>
          <w:rFonts w:eastAsia="Times New Roman"/>
          <w:bCs/>
          <w:szCs w:val="20"/>
        </w:rPr>
        <w:t>mists</w:t>
      </w:r>
      <w:r w:rsidR="00D01B3F" w:rsidRPr="0027557A">
        <w:rPr>
          <w:rFonts w:eastAsia="Times New Roman"/>
          <w:bCs/>
          <w:szCs w:val="20"/>
        </w:rPr>
        <w:t xml:space="preserve">, </w:t>
      </w:r>
      <w:r w:rsidRPr="0027557A">
        <w:rPr>
          <w:rFonts w:eastAsia="Times New Roman"/>
          <w:bCs/>
          <w:szCs w:val="20"/>
        </w:rPr>
        <w:t>vapors</w:t>
      </w:r>
      <w:r w:rsidR="00D01B3F" w:rsidRPr="0027557A">
        <w:rPr>
          <w:rFonts w:eastAsia="Times New Roman"/>
          <w:bCs/>
          <w:szCs w:val="20"/>
        </w:rPr>
        <w:t xml:space="preserve">, </w:t>
      </w:r>
      <w:r w:rsidR="00251CE7" w:rsidRPr="0027557A">
        <w:rPr>
          <w:rFonts w:eastAsia="Times New Roman"/>
          <w:bCs/>
          <w:szCs w:val="20"/>
        </w:rPr>
        <w:t xml:space="preserve">or </w:t>
      </w:r>
      <w:r w:rsidRPr="0027557A">
        <w:rPr>
          <w:rFonts w:eastAsia="Times New Roman"/>
          <w:bCs/>
          <w:szCs w:val="20"/>
        </w:rPr>
        <w:t>spray.</w:t>
      </w:r>
    </w:p>
    <w:p w14:paraId="412FB78F" w14:textId="77777777" w:rsidR="00D23B04" w:rsidRPr="0027557A" w:rsidRDefault="00D23B0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P264</w:t>
      </w:r>
      <w:r w:rsidRPr="0027557A">
        <w:rPr>
          <w:rFonts w:eastAsia="Times New Roman"/>
          <w:bCs/>
          <w:szCs w:val="20"/>
        </w:rPr>
        <w:tab/>
        <w:t xml:space="preserve">Wash </w:t>
      </w:r>
      <w:r w:rsidR="008F7B1B" w:rsidRPr="0027557A">
        <w:rPr>
          <w:rFonts w:eastAsia="Times New Roman"/>
          <w:bCs/>
          <w:szCs w:val="20"/>
        </w:rPr>
        <w:t xml:space="preserve">hands </w:t>
      </w:r>
      <w:r w:rsidRPr="0027557A">
        <w:rPr>
          <w:rFonts w:eastAsia="Times New Roman"/>
          <w:bCs/>
          <w:szCs w:val="20"/>
        </w:rPr>
        <w:t>thoroughly after handling.</w:t>
      </w:r>
    </w:p>
    <w:p w14:paraId="5EA1B91F" w14:textId="77777777" w:rsidR="003C0F38" w:rsidRPr="0027557A" w:rsidRDefault="003C0F38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P270</w:t>
      </w:r>
      <w:r w:rsidRPr="0027557A">
        <w:rPr>
          <w:rFonts w:eastAsia="Times New Roman"/>
          <w:bCs/>
          <w:szCs w:val="20"/>
        </w:rPr>
        <w:tab/>
        <w:t>Do not eat, drink or smoke when using this product.</w:t>
      </w:r>
    </w:p>
    <w:p w14:paraId="7D47C1BC" w14:textId="77777777" w:rsidR="008719C7" w:rsidRPr="0027557A" w:rsidRDefault="00A57B4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lastRenderedPageBreak/>
        <w:t>P271</w:t>
      </w:r>
      <w:r w:rsidRPr="0027557A">
        <w:rPr>
          <w:rFonts w:eastAsia="Times New Roman"/>
          <w:bCs/>
          <w:szCs w:val="20"/>
        </w:rPr>
        <w:tab/>
      </w:r>
      <w:r w:rsidR="008719C7" w:rsidRPr="0027557A">
        <w:rPr>
          <w:rFonts w:eastAsia="Times New Roman"/>
          <w:bCs/>
          <w:szCs w:val="20"/>
        </w:rPr>
        <w:t>Use only outdoors or in a well-ventilated area.</w:t>
      </w:r>
    </w:p>
    <w:p w14:paraId="44E04394" w14:textId="77777777" w:rsidR="008719C7" w:rsidRPr="0027557A" w:rsidRDefault="00A57B4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P284</w:t>
      </w:r>
      <w:r w:rsidRPr="0027557A">
        <w:rPr>
          <w:rFonts w:eastAsia="Times New Roman"/>
          <w:bCs/>
          <w:szCs w:val="20"/>
        </w:rPr>
        <w:tab/>
      </w:r>
      <w:proofErr w:type="gramStart"/>
      <w:r w:rsidR="008719C7" w:rsidRPr="0027557A">
        <w:rPr>
          <w:rFonts w:eastAsia="Times New Roman"/>
          <w:bCs/>
          <w:szCs w:val="20"/>
        </w:rPr>
        <w:t>In</w:t>
      </w:r>
      <w:proofErr w:type="gramEnd"/>
      <w:r w:rsidR="008719C7" w:rsidRPr="0027557A">
        <w:rPr>
          <w:rFonts w:eastAsia="Times New Roman"/>
          <w:bCs/>
          <w:szCs w:val="20"/>
        </w:rPr>
        <w:t xml:space="preserve"> case of inadequate ventilation, wear respiratory protection.</w:t>
      </w:r>
    </w:p>
    <w:p w14:paraId="6A8D6F63" w14:textId="77777777" w:rsidR="008719C7" w:rsidRPr="0027557A" w:rsidRDefault="00A57B4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P272</w:t>
      </w:r>
      <w:r w:rsidRPr="0027557A">
        <w:rPr>
          <w:rFonts w:eastAsia="Times New Roman"/>
          <w:bCs/>
          <w:szCs w:val="20"/>
        </w:rPr>
        <w:tab/>
      </w:r>
      <w:r w:rsidR="008719C7" w:rsidRPr="0027557A">
        <w:rPr>
          <w:rFonts w:eastAsia="Times New Roman"/>
          <w:bCs/>
          <w:szCs w:val="20"/>
        </w:rPr>
        <w:t>Contaminated work clothing must not be allowed out of the workplace.</w:t>
      </w:r>
    </w:p>
    <w:p w14:paraId="4EF71503" w14:textId="77777777" w:rsidR="00D23B04" w:rsidRPr="0027557A" w:rsidRDefault="00D23B0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P280</w:t>
      </w:r>
      <w:r w:rsidRPr="0027557A">
        <w:rPr>
          <w:rFonts w:eastAsia="Times New Roman"/>
          <w:bCs/>
          <w:szCs w:val="20"/>
        </w:rPr>
        <w:tab/>
        <w:t>Wear protective gloves</w:t>
      </w:r>
      <w:r w:rsidR="00D01B3F" w:rsidRPr="0027557A">
        <w:rPr>
          <w:rFonts w:eastAsia="Times New Roman"/>
          <w:bCs/>
          <w:szCs w:val="20"/>
        </w:rPr>
        <w:t xml:space="preserve">, </w:t>
      </w:r>
      <w:r w:rsidRPr="0027557A">
        <w:rPr>
          <w:rFonts w:eastAsia="Times New Roman"/>
          <w:bCs/>
          <w:szCs w:val="20"/>
        </w:rPr>
        <w:t>protective clothing</w:t>
      </w:r>
      <w:r w:rsidR="0079291D" w:rsidRPr="0027557A">
        <w:rPr>
          <w:rFonts w:eastAsia="Times New Roman"/>
          <w:bCs/>
          <w:szCs w:val="20"/>
        </w:rPr>
        <w:t xml:space="preserve">, </w:t>
      </w:r>
      <w:r w:rsidR="00601808" w:rsidRPr="0027557A">
        <w:rPr>
          <w:rFonts w:eastAsia="Times New Roman"/>
          <w:bCs/>
          <w:szCs w:val="20"/>
        </w:rPr>
        <w:t xml:space="preserve">and </w:t>
      </w:r>
      <w:r w:rsidR="0079291D" w:rsidRPr="0027557A">
        <w:rPr>
          <w:rFonts w:eastAsia="Times New Roman"/>
          <w:bCs/>
          <w:szCs w:val="20"/>
        </w:rPr>
        <w:t>eye</w:t>
      </w:r>
      <w:r w:rsidR="006C328C" w:rsidRPr="0027557A">
        <w:rPr>
          <w:rFonts w:eastAsia="Times New Roman"/>
          <w:bCs/>
          <w:szCs w:val="20"/>
        </w:rPr>
        <w:t xml:space="preserve"> </w:t>
      </w:r>
      <w:r w:rsidRPr="0027557A">
        <w:rPr>
          <w:rFonts w:eastAsia="Times New Roman"/>
          <w:bCs/>
          <w:szCs w:val="20"/>
        </w:rPr>
        <w:t>protectio</w:t>
      </w:r>
      <w:r w:rsidR="00D01B3F" w:rsidRPr="0027557A">
        <w:rPr>
          <w:rFonts w:eastAsia="Times New Roman"/>
          <w:bCs/>
          <w:szCs w:val="20"/>
        </w:rPr>
        <w:t>n</w:t>
      </w:r>
      <w:r w:rsidRPr="0027557A">
        <w:rPr>
          <w:rFonts w:eastAsia="Times New Roman"/>
          <w:bCs/>
          <w:szCs w:val="20"/>
        </w:rPr>
        <w:t>.</w:t>
      </w:r>
    </w:p>
    <w:p w14:paraId="77EDEB14" w14:textId="77777777" w:rsidR="00601808" w:rsidRPr="0027557A" w:rsidRDefault="00601808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</w:p>
    <w:p w14:paraId="7D605A0B" w14:textId="77777777" w:rsidR="00D23B04" w:rsidRPr="0027557A" w:rsidRDefault="007E578F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P304+P340</w:t>
      </w:r>
      <w:r w:rsidRPr="0027557A">
        <w:rPr>
          <w:rFonts w:eastAsia="Times New Roman"/>
          <w:bCs/>
          <w:szCs w:val="20"/>
        </w:rPr>
        <w:tab/>
      </w:r>
      <w:r w:rsidR="008719C7" w:rsidRPr="0027557A">
        <w:rPr>
          <w:rFonts w:eastAsia="Times New Roman"/>
          <w:bCs/>
          <w:szCs w:val="20"/>
        </w:rPr>
        <w:t>If inhaled:  Remove person to fresh air and keep comfortable for breathing.</w:t>
      </w:r>
    </w:p>
    <w:p w14:paraId="746B5AE5" w14:textId="77777777" w:rsidR="008719C7" w:rsidRPr="0027557A" w:rsidRDefault="007E578F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P310</w:t>
      </w:r>
      <w:r w:rsidRPr="0027557A">
        <w:rPr>
          <w:rFonts w:eastAsia="Times New Roman"/>
          <w:bCs/>
          <w:szCs w:val="20"/>
        </w:rPr>
        <w:tab/>
      </w:r>
      <w:r w:rsidR="008719C7" w:rsidRPr="0027557A">
        <w:rPr>
          <w:rFonts w:eastAsia="Times New Roman"/>
          <w:bCs/>
          <w:szCs w:val="20"/>
        </w:rPr>
        <w:t>Immediately call a doctor.</w:t>
      </w:r>
    </w:p>
    <w:p w14:paraId="558AE99E" w14:textId="77777777" w:rsidR="00D23B04" w:rsidRPr="0027557A" w:rsidRDefault="00D23B0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P30</w:t>
      </w:r>
      <w:r w:rsidR="00A57B44" w:rsidRPr="0027557A">
        <w:rPr>
          <w:rFonts w:eastAsia="Times New Roman"/>
          <w:bCs/>
          <w:szCs w:val="20"/>
        </w:rPr>
        <w:t>2+P352</w:t>
      </w:r>
      <w:r w:rsidRPr="0027557A">
        <w:rPr>
          <w:rFonts w:eastAsia="Times New Roman"/>
          <w:bCs/>
          <w:szCs w:val="20"/>
        </w:rPr>
        <w:tab/>
        <w:t xml:space="preserve">If on skin: </w:t>
      </w:r>
      <w:r w:rsidR="00D570B6" w:rsidRPr="0027557A">
        <w:rPr>
          <w:rFonts w:eastAsia="Times New Roman"/>
          <w:bCs/>
          <w:szCs w:val="20"/>
        </w:rPr>
        <w:t xml:space="preserve"> </w:t>
      </w:r>
      <w:r w:rsidR="007E578F" w:rsidRPr="0027557A">
        <w:rPr>
          <w:rFonts w:eastAsia="Times New Roman"/>
          <w:bCs/>
          <w:szCs w:val="20"/>
        </w:rPr>
        <w:t xml:space="preserve">Wash with plenty of water. </w:t>
      </w:r>
    </w:p>
    <w:p w14:paraId="4D3137ED" w14:textId="77777777" w:rsidR="007E578F" w:rsidRPr="0027557A" w:rsidRDefault="007E578F">
      <w:pPr>
        <w:widowControl/>
        <w:tabs>
          <w:tab w:val="left" w:pos="2250"/>
        </w:tabs>
        <w:spacing w:after="0" w:line="240" w:lineRule="auto"/>
        <w:ind w:left="2250" w:hanging="189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</w:t>
      </w:r>
      <w:r w:rsidR="00A57B44" w:rsidRPr="0027557A">
        <w:rPr>
          <w:rFonts w:eastAsia="Times New Roman"/>
          <w:bCs/>
          <w:szCs w:val="20"/>
        </w:rPr>
        <w:t>333+P313</w:t>
      </w:r>
      <w:r w:rsidRPr="0027557A">
        <w:rPr>
          <w:rFonts w:eastAsia="Times New Roman"/>
          <w:bCs/>
          <w:szCs w:val="20"/>
        </w:rPr>
        <w:tab/>
        <w:t>If skin irritation or rash occurs:  Get medical attention.</w:t>
      </w:r>
    </w:p>
    <w:p w14:paraId="5BF83D68" w14:textId="5714F670" w:rsidR="0027557A" w:rsidRDefault="0027557A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P308+P313</w:t>
      </w:r>
      <w:r>
        <w:rPr>
          <w:rFonts w:eastAsia="Times New Roman"/>
          <w:bCs/>
          <w:szCs w:val="20"/>
        </w:rPr>
        <w:tab/>
        <w:t>If exposed or concerned: Get medical attention.</w:t>
      </w:r>
    </w:p>
    <w:p w14:paraId="743B5DA8" w14:textId="47E0A8F4" w:rsidR="00A57B44" w:rsidRPr="0027557A" w:rsidRDefault="00A57B44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P36</w:t>
      </w:r>
      <w:r w:rsidR="0027557A">
        <w:rPr>
          <w:rFonts w:eastAsia="Times New Roman"/>
          <w:bCs/>
          <w:szCs w:val="20"/>
        </w:rPr>
        <w:t>3</w:t>
      </w:r>
      <w:r w:rsidRPr="0027557A">
        <w:rPr>
          <w:rFonts w:eastAsia="Times New Roman"/>
          <w:bCs/>
          <w:szCs w:val="20"/>
        </w:rPr>
        <w:tab/>
      </w:r>
      <w:r w:rsidR="0027557A">
        <w:rPr>
          <w:rFonts w:eastAsia="Times New Roman"/>
          <w:bCs/>
          <w:szCs w:val="20"/>
        </w:rPr>
        <w:t xml:space="preserve">Wash contaminated clothing before </w:t>
      </w:r>
      <w:r w:rsidRPr="0027557A">
        <w:rPr>
          <w:rFonts w:eastAsia="Times New Roman"/>
          <w:bCs/>
          <w:szCs w:val="20"/>
        </w:rPr>
        <w:t>reuse.</w:t>
      </w:r>
    </w:p>
    <w:p w14:paraId="2484D8B7" w14:textId="5BDF7B07" w:rsidR="00A57B44" w:rsidRPr="0027557A" w:rsidRDefault="001B2F69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P390</w:t>
      </w:r>
      <w:r w:rsidRPr="0027557A">
        <w:rPr>
          <w:rFonts w:eastAsia="Times New Roman"/>
          <w:bCs/>
          <w:szCs w:val="20"/>
        </w:rPr>
        <w:tab/>
        <w:t>Absorb spillage to prevent material damage.</w:t>
      </w:r>
    </w:p>
    <w:p w14:paraId="31C7DFBF" w14:textId="77777777" w:rsidR="001B2F69" w:rsidRPr="0027557A" w:rsidRDefault="001B2F69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</w:p>
    <w:p w14:paraId="177AA080" w14:textId="77777777" w:rsidR="008719C7" w:rsidRPr="0027557A" w:rsidRDefault="008719C7">
      <w:pPr>
        <w:widowControl/>
        <w:tabs>
          <w:tab w:val="left" w:pos="2250"/>
        </w:tabs>
        <w:spacing w:after="0" w:line="240" w:lineRule="auto"/>
        <w:ind w:firstLine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P403+P233</w:t>
      </w:r>
      <w:r w:rsidRPr="0027557A">
        <w:rPr>
          <w:rFonts w:eastAsia="Times New Roman"/>
          <w:bCs/>
          <w:szCs w:val="20"/>
        </w:rPr>
        <w:tab/>
        <w:t xml:space="preserve">Store in a well-ventilated place.  Keep container tightly closed. </w:t>
      </w:r>
    </w:p>
    <w:p w14:paraId="566C14EE" w14:textId="77777777" w:rsidR="000177D1" w:rsidRPr="0027557A" w:rsidRDefault="000177D1">
      <w:pPr>
        <w:widowControl/>
        <w:tabs>
          <w:tab w:val="left" w:pos="2250"/>
        </w:tabs>
        <w:spacing w:after="0" w:line="240" w:lineRule="auto"/>
        <w:ind w:firstLine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P405</w:t>
      </w:r>
      <w:r w:rsidRPr="0027557A">
        <w:rPr>
          <w:rFonts w:eastAsia="Times New Roman"/>
          <w:bCs/>
          <w:szCs w:val="20"/>
        </w:rPr>
        <w:tab/>
        <w:t>Store locked up.</w:t>
      </w:r>
    </w:p>
    <w:p w14:paraId="0B6BE4C7" w14:textId="36F69A25" w:rsidR="00F346E0" w:rsidRPr="0027557A" w:rsidRDefault="001B2F69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P406</w:t>
      </w:r>
      <w:r w:rsidRPr="0027557A">
        <w:rPr>
          <w:rFonts w:eastAsia="Times New Roman"/>
          <w:bCs/>
          <w:szCs w:val="20"/>
        </w:rPr>
        <w:tab/>
        <w:t>Store in corrosive resistant container or a container with a resistant inner liner.</w:t>
      </w:r>
    </w:p>
    <w:p w14:paraId="2D846033" w14:textId="77777777" w:rsidR="001B2F69" w:rsidRPr="0027557A" w:rsidRDefault="001B2F69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</w:p>
    <w:p w14:paraId="45345280" w14:textId="77777777" w:rsidR="000177D1" w:rsidRPr="0027557A" w:rsidRDefault="000177D1">
      <w:pPr>
        <w:widowControl/>
        <w:tabs>
          <w:tab w:val="left" w:pos="225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27557A">
        <w:rPr>
          <w:rFonts w:eastAsia="Times New Roman"/>
          <w:bCs/>
          <w:szCs w:val="20"/>
        </w:rPr>
        <w:t>P501</w:t>
      </w:r>
      <w:r w:rsidRPr="0027557A">
        <w:rPr>
          <w:rFonts w:eastAsia="Times New Roman"/>
          <w:bCs/>
          <w:szCs w:val="20"/>
        </w:rPr>
        <w:tab/>
        <w:t>Dispose of contents</w:t>
      </w:r>
      <w:r w:rsidR="00486685" w:rsidRPr="0027557A">
        <w:rPr>
          <w:rFonts w:eastAsia="Times New Roman"/>
          <w:bCs/>
          <w:szCs w:val="20"/>
        </w:rPr>
        <w:t xml:space="preserve"> and container</w:t>
      </w:r>
      <w:r w:rsidRPr="0027557A">
        <w:rPr>
          <w:rFonts w:eastAsia="Times New Roman"/>
          <w:bCs/>
          <w:szCs w:val="20"/>
        </w:rPr>
        <w:t xml:space="preserve"> according to local regulations.</w:t>
      </w:r>
    </w:p>
    <w:p w14:paraId="034DD8C9" w14:textId="77777777" w:rsidR="002B22C8" w:rsidRPr="008719C7" w:rsidRDefault="00910EA2">
      <w:pPr>
        <w:widowControl/>
        <w:spacing w:before="120" w:after="120" w:line="240" w:lineRule="auto"/>
        <w:ind w:left="360"/>
        <w:rPr>
          <w:rFonts w:eastAsia="Times New Roman"/>
          <w:b/>
          <w:bCs/>
          <w:szCs w:val="20"/>
        </w:rPr>
      </w:pPr>
      <w:r w:rsidRPr="0027557A">
        <w:rPr>
          <w:rFonts w:eastAsia="Times New Roman"/>
          <w:b/>
          <w:bCs/>
          <w:szCs w:val="20"/>
        </w:rPr>
        <w:t>Hazards Not Otherwise Classified:</w:t>
      </w:r>
      <w:r w:rsidR="00971EDC" w:rsidRPr="0027557A">
        <w:rPr>
          <w:rFonts w:eastAsia="Times New Roman"/>
          <w:bCs/>
          <w:szCs w:val="20"/>
        </w:rPr>
        <w:t xml:space="preserve">  </w:t>
      </w:r>
      <w:r w:rsidR="00743478" w:rsidRPr="0027557A">
        <w:rPr>
          <w:rFonts w:eastAsia="Times New Roman"/>
          <w:bCs/>
          <w:szCs w:val="20"/>
        </w:rPr>
        <w:t>Not applicable</w:t>
      </w:r>
      <w:r w:rsidR="00EF4006" w:rsidRPr="0027557A">
        <w:rPr>
          <w:rFonts w:eastAsia="Times New Roman"/>
          <w:bCs/>
          <w:szCs w:val="20"/>
        </w:rPr>
        <w:t>.</w:t>
      </w:r>
    </w:p>
    <w:p w14:paraId="5C825A27" w14:textId="77777777" w:rsidR="00371ED3" w:rsidRPr="008719C7" w:rsidRDefault="00910EA2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Ingredients(s) with Unknown Acute Toxicity</w:t>
      </w:r>
      <w:r w:rsidR="00971EDC" w:rsidRPr="008719C7">
        <w:rPr>
          <w:rFonts w:eastAsia="Times New Roman"/>
          <w:b/>
          <w:bCs/>
          <w:szCs w:val="20"/>
        </w:rPr>
        <w:t>:</w:t>
      </w:r>
      <w:r w:rsidR="00971EDC" w:rsidRPr="008719C7">
        <w:rPr>
          <w:rFonts w:eastAsia="Times New Roman"/>
          <w:bCs/>
          <w:szCs w:val="20"/>
        </w:rPr>
        <w:t xml:space="preserve">  </w:t>
      </w:r>
      <w:r w:rsidR="00743478" w:rsidRPr="008719C7">
        <w:rPr>
          <w:rFonts w:eastAsia="Times New Roman"/>
          <w:bCs/>
          <w:szCs w:val="20"/>
        </w:rPr>
        <w:t>Not applicable</w:t>
      </w:r>
      <w:r w:rsidR="00EF4006" w:rsidRPr="008719C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8719C7" w14:paraId="405E57BE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0FC980C9" w14:textId="77777777" w:rsidR="00371ED3" w:rsidRPr="008719C7" w:rsidRDefault="00371ED3">
            <w:pPr>
              <w:keepNext/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3. C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OMPOSITION AND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NFORMATION ON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AZARDOUS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NGREDIENTS</w:t>
            </w:r>
          </w:p>
        </w:tc>
      </w:tr>
    </w:tbl>
    <w:p w14:paraId="7E58DAC1" w14:textId="77777777" w:rsidR="00BB0995" w:rsidRPr="008719C7" w:rsidRDefault="00BB0995" w:rsidP="00B4734C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Substance:</w:t>
      </w:r>
      <w:r w:rsidRPr="008719C7">
        <w:rPr>
          <w:rFonts w:eastAsia="Times New Roman"/>
          <w:bCs/>
          <w:szCs w:val="20"/>
        </w:rPr>
        <w:t xml:space="preserve"> </w:t>
      </w:r>
      <w:r w:rsidR="004B09CF" w:rsidRPr="008719C7">
        <w:rPr>
          <w:rFonts w:eastAsia="Times New Roman"/>
          <w:szCs w:val="20"/>
        </w:rPr>
        <w:t>Mercury</w:t>
      </w:r>
    </w:p>
    <w:p w14:paraId="31CD09F0" w14:textId="77777777" w:rsidR="00D51ABE" w:rsidRPr="008719C7" w:rsidRDefault="00BB0995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Other Designations:</w:t>
      </w:r>
      <w:r w:rsidRPr="008719C7">
        <w:rPr>
          <w:rFonts w:eastAsia="Times New Roman"/>
          <w:szCs w:val="20"/>
        </w:rPr>
        <w:t xml:space="preserve"> </w:t>
      </w:r>
      <w:r w:rsidR="00DC0227" w:rsidRPr="008719C7">
        <w:rPr>
          <w:rFonts w:eastAsia="Times New Roman"/>
          <w:szCs w:val="20"/>
        </w:rPr>
        <w:t xml:space="preserve"> </w:t>
      </w:r>
      <w:r w:rsidR="00A2434E" w:rsidRPr="008719C7">
        <w:rPr>
          <w:rFonts w:eastAsia="Times New Roman"/>
          <w:szCs w:val="20"/>
        </w:rPr>
        <w:t xml:space="preserve">colloidal mercury; metallic mercury; inorganic mercury; elemental mercury; quicksilver; </w:t>
      </w:r>
      <w:proofErr w:type="spellStart"/>
      <w:r w:rsidR="00A2434E" w:rsidRPr="008719C7">
        <w:rPr>
          <w:rFonts w:eastAsia="Times New Roman"/>
          <w:szCs w:val="20"/>
        </w:rPr>
        <w:t>hydrargyrum</w:t>
      </w:r>
      <w:proofErr w:type="spellEnd"/>
      <w:r w:rsidR="00A2434E" w:rsidRPr="008719C7">
        <w:rPr>
          <w:rFonts w:eastAsia="Times New Roman"/>
          <w:szCs w:val="20"/>
        </w:rPr>
        <w:t>.</w:t>
      </w:r>
    </w:p>
    <w:p w14:paraId="2202FE5A" w14:textId="77777777" w:rsidR="00037080" w:rsidRPr="008719C7" w:rsidRDefault="00661CCC">
      <w:pPr>
        <w:widowControl/>
        <w:spacing w:before="120" w:after="120" w:line="240" w:lineRule="auto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Components are listed in compliance with OSHA’s 29</w:t>
      </w:r>
      <w:r w:rsidR="002F28B5" w:rsidRPr="008719C7">
        <w:rPr>
          <w:rFonts w:eastAsia="Times New Roman"/>
          <w:szCs w:val="20"/>
        </w:rPr>
        <w:t> </w:t>
      </w:r>
      <w:r w:rsidRPr="008719C7">
        <w:rPr>
          <w:rFonts w:eastAsia="Times New Roman"/>
          <w:szCs w:val="20"/>
        </w:rPr>
        <w:t>CFR</w:t>
      </w:r>
      <w:r w:rsidR="002F28B5" w:rsidRPr="008719C7">
        <w:rPr>
          <w:rFonts w:eastAsia="Times New Roman"/>
          <w:szCs w:val="20"/>
        </w:rPr>
        <w:t> </w:t>
      </w:r>
      <w:r w:rsidRPr="008719C7">
        <w:rPr>
          <w:rFonts w:eastAsia="Times New Roman"/>
          <w:szCs w:val="20"/>
        </w:rPr>
        <w:t xml:space="preserve">1910.1200; for the actual values see the </w:t>
      </w:r>
      <w:r w:rsidR="00A749F6" w:rsidRPr="008719C7">
        <w:rPr>
          <w:rFonts w:eastAsia="Times New Roman"/>
          <w:szCs w:val="20"/>
        </w:rPr>
        <w:t xml:space="preserve">NIST </w:t>
      </w:r>
      <w:r w:rsidRPr="008719C7">
        <w:rPr>
          <w:rFonts w:eastAsia="Times New Roman"/>
          <w:szCs w:val="20"/>
        </w:rPr>
        <w:t>Certificate of Analysis.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710"/>
        <w:gridCol w:w="1710"/>
        <w:gridCol w:w="2880"/>
      </w:tblGrid>
      <w:tr w:rsidR="00037080" w:rsidRPr="008719C7" w14:paraId="180BAE20" w14:textId="77777777" w:rsidTr="002F28B5">
        <w:trPr>
          <w:trHeight w:val="576"/>
        </w:trPr>
        <w:tc>
          <w:tcPr>
            <w:tcW w:w="2988" w:type="dxa"/>
          </w:tcPr>
          <w:p w14:paraId="67E48514" w14:textId="77777777" w:rsidR="00037080" w:rsidRPr="001975DA" w:rsidRDefault="00037080">
            <w:pPr>
              <w:widowControl/>
              <w:spacing w:after="0" w:line="240" w:lineRule="auto"/>
              <w:ind w:right="-108"/>
              <w:rPr>
                <w:rFonts w:eastAsia="Times New Roman"/>
                <w:szCs w:val="20"/>
              </w:rPr>
            </w:pPr>
            <w:r w:rsidRPr="00251CE7">
              <w:rPr>
                <w:rFonts w:eastAsia="Times New Roman"/>
                <w:b/>
                <w:bCs/>
                <w:szCs w:val="20"/>
              </w:rPr>
              <w:t>Hazardous Component(s)</w:t>
            </w:r>
          </w:p>
        </w:tc>
        <w:tc>
          <w:tcPr>
            <w:tcW w:w="1710" w:type="dxa"/>
          </w:tcPr>
          <w:p w14:paraId="44D24DEC" w14:textId="77777777" w:rsidR="00037080" w:rsidRPr="001975DA" w:rsidRDefault="00037080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eastAsia="Times New Roman"/>
                <w:szCs w:val="20"/>
              </w:rPr>
            </w:pPr>
            <w:r w:rsidRPr="00251CE7">
              <w:rPr>
                <w:rFonts w:eastAsia="Times New Roman"/>
                <w:b/>
                <w:bCs/>
                <w:szCs w:val="20"/>
              </w:rPr>
              <w:t>CAS Number</w:t>
            </w:r>
          </w:p>
        </w:tc>
        <w:tc>
          <w:tcPr>
            <w:tcW w:w="1710" w:type="dxa"/>
          </w:tcPr>
          <w:p w14:paraId="530421A9" w14:textId="77777777" w:rsidR="00037080" w:rsidRPr="00251CE7" w:rsidRDefault="00037080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zCs w:val="20"/>
              </w:rPr>
            </w:pPr>
            <w:r w:rsidRPr="00251CE7">
              <w:rPr>
                <w:rFonts w:eastAsia="Times New Roman"/>
                <w:b/>
                <w:bCs/>
                <w:szCs w:val="20"/>
              </w:rPr>
              <w:t>EC Number</w:t>
            </w:r>
          </w:p>
          <w:p w14:paraId="608C42CF" w14:textId="77777777" w:rsidR="00037080" w:rsidRPr="001975DA" w:rsidRDefault="00037080">
            <w:pPr>
              <w:widowControl/>
              <w:spacing w:after="0" w:line="240" w:lineRule="auto"/>
              <w:jc w:val="center"/>
              <w:rPr>
                <w:rFonts w:eastAsia="Times New Roman"/>
                <w:szCs w:val="20"/>
              </w:rPr>
            </w:pPr>
            <w:r w:rsidRPr="00251CE7">
              <w:rPr>
                <w:rFonts w:eastAsia="Times New Roman"/>
                <w:b/>
                <w:bCs/>
                <w:szCs w:val="20"/>
              </w:rPr>
              <w:t>(EINECS)</w:t>
            </w:r>
          </w:p>
        </w:tc>
        <w:tc>
          <w:tcPr>
            <w:tcW w:w="2880" w:type="dxa"/>
          </w:tcPr>
          <w:p w14:paraId="7FEBE70C" w14:textId="77777777" w:rsidR="00037080" w:rsidRPr="00607136" w:rsidRDefault="00037080" w:rsidP="00C61FDA">
            <w:pPr>
              <w:widowControl/>
              <w:spacing w:after="0" w:line="240" w:lineRule="auto"/>
              <w:jc w:val="center"/>
              <w:rPr>
                <w:b/>
                <w:szCs w:val="20"/>
              </w:rPr>
            </w:pPr>
            <w:r w:rsidRPr="00251CE7">
              <w:rPr>
                <w:b/>
                <w:szCs w:val="20"/>
              </w:rPr>
              <w:t>Nominal Mass Concentration</w:t>
            </w:r>
            <w:r w:rsidRPr="00251CE7">
              <w:rPr>
                <w:b/>
                <w:szCs w:val="20"/>
              </w:rPr>
              <w:br/>
              <w:t>(%)</w:t>
            </w:r>
          </w:p>
        </w:tc>
      </w:tr>
      <w:tr w:rsidR="00037080" w:rsidRPr="008719C7" w14:paraId="732E8E79" w14:textId="77777777" w:rsidTr="002F28B5">
        <w:trPr>
          <w:trHeight w:val="288"/>
        </w:trPr>
        <w:tc>
          <w:tcPr>
            <w:tcW w:w="2988" w:type="dxa"/>
          </w:tcPr>
          <w:p w14:paraId="1323B15B" w14:textId="77777777" w:rsidR="00037080" w:rsidRPr="001975DA" w:rsidRDefault="00A2434E" w:rsidP="00B4734C">
            <w:pPr>
              <w:widowControl/>
              <w:spacing w:after="0" w:line="240" w:lineRule="auto"/>
              <w:ind w:right="-108"/>
              <w:rPr>
                <w:rFonts w:eastAsia="Times New Roman"/>
                <w:szCs w:val="20"/>
              </w:rPr>
            </w:pPr>
            <w:r w:rsidRPr="001975DA">
              <w:rPr>
                <w:rFonts w:eastAsia="Times New Roman"/>
                <w:szCs w:val="20"/>
              </w:rPr>
              <w:t>Mercury</w:t>
            </w:r>
          </w:p>
        </w:tc>
        <w:tc>
          <w:tcPr>
            <w:tcW w:w="1710" w:type="dxa"/>
          </w:tcPr>
          <w:p w14:paraId="5B57BE95" w14:textId="77777777" w:rsidR="00037080" w:rsidRPr="001975DA" w:rsidRDefault="00A2434E">
            <w:pPr>
              <w:widowControl/>
              <w:tabs>
                <w:tab w:val="right" w:pos="1134"/>
              </w:tabs>
              <w:spacing w:after="0" w:line="240" w:lineRule="auto"/>
              <w:rPr>
                <w:rFonts w:eastAsia="Times New Roman"/>
                <w:szCs w:val="20"/>
              </w:rPr>
            </w:pPr>
            <w:r w:rsidRPr="001975DA">
              <w:rPr>
                <w:rFonts w:eastAsia="Times New Roman"/>
                <w:szCs w:val="20"/>
              </w:rPr>
              <w:tab/>
              <w:t>7439-97-6</w:t>
            </w:r>
          </w:p>
        </w:tc>
        <w:tc>
          <w:tcPr>
            <w:tcW w:w="1710" w:type="dxa"/>
          </w:tcPr>
          <w:p w14:paraId="503741C1" w14:textId="77777777" w:rsidR="00037080" w:rsidRPr="001975DA" w:rsidRDefault="00A2434E">
            <w:pPr>
              <w:widowControl/>
              <w:spacing w:after="0" w:line="240" w:lineRule="auto"/>
              <w:jc w:val="center"/>
              <w:rPr>
                <w:rFonts w:eastAsia="Times New Roman"/>
                <w:szCs w:val="20"/>
              </w:rPr>
            </w:pPr>
            <w:r w:rsidRPr="001975DA">
              <w:rPr>
                <w:rFonts w:eastAsia="Times New Roman"/>
                <w:szCs w:val="20"/>
              </w:rPr>
              <w:t>231-106-7</w:t>
            </w:r>
          </w:p>
        </w:tc>
        <w:tc>
          <w:tcPr>
            <w:tcW w:w="2880" w:type="dxa"/>
          </w:tcPr>
          <w:p w14:paraId="72E26AF8" w14:textId="77777777" w:rsidR="00037080" w:rsidRPr="00251CE7" w:rsidRDefault="002577EE" w:rsidP="00C61FDA">
            <w:pPr>
              <w:widowControl/>
              <w:tabs>
                <w:tab w:val="decimal" w:pos="1404"/>
              </w:tabs>
              <w:spacing w:after="0" w:line="240" w:lineRule="auto"/>
              <w:jc w:val="left"/>
              <w:rPr>
                <w:szCs w:val="20"/>
              </w:rPr>
            </w:pPr>
            <w:r w:rsidRPr="00251CE7">
              <w:rPr>
                <w:szCs w:val="20"/>
              </w:rPr>
              <w:t>100</w:t>
            </w:r>
          </w:p>
        </w:tc>
      </w:tr>
    </w:tbl>
    <w:p w14:paraId="5C1CA4D4" w14:textId="77777777" w:rsidR="000062AB" w:rsidRPr="008719C7" w:rsidRDefault="000062AB" w:rsidP="00C61FDA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8719C7" w14:paraId="6CFA9224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51EC3002" w14:textId="77777777" w:rsidR="00037080" w:rsidRPr="008719C7" w:rsidRDefault="00037080" w:rsidP="00B4734C">
            <w:pPr>
              <w:keepNext/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4. F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IRST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ID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63C571FA" w14:textId="77777777" w:rsidR="00C508A0" w:rsidRPr="008719C7" w:rsidRDefault="00BB0995" w:rsidP="00B4734C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Description of First</w:t>
      </w:r>
      <w:r w:rsidR="00C508A0" w:rsidRPr="008719C7">
        <w:rPr>
          <w:rFonts w:eastAsia="Times New Roman"/>
          <w:b/>
          <w:bCs/>
          <w:szCs w:val="20"/>
        </w:rPr>
        <w:t xml:space="preserve"> Aid Measures</w:t>
      </w:r>
      <w:r w:rsidR="004E7C12" w:rsidRPr="008719C7">
        <w:rPr>
          <w:rFonts w:eastAsia="Times New Roman"/>
          <w:b/>
          <w:bCs/>
          <w:szCs w:val="20"/>
        </w:rPr>
        <w:t>:</w:t>
      </w:r>
      <w:r w:rsidRPr="008719C7">
        <w:rPr>
          <w:rFonts w:eastAsia="Times New Roman"/>
          <w:b/>
          <w:bCs/>
          <w:szCs w:val="20"/>
        </w:rPr>
        <w:t xml:space="preserve"> </w:t>
      </w:r>
    </w:p>
    <w:p w14:paraId="28B26A40" w14:textId="77777777" w:rsidR="00C508A0" w:rsidRPr="008719C7" w:rsidRDefault="00BF5DD9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Inhalation:</w:t>
      </w:r>
      <w:r w:rsidRPr="008719C7">
        <w:rPr>
          <w:rFonts w:eastAsia="Times New Roman"/>
          <w:bCs/>
          <w:szCs w:val="20"/>
        </w:rPr>
        <w:t xml:space="preserve"> </w:t>
      </w:r>
      <w:r w:rsidR="00DC0227" w:rsidRPr="008719C7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5FA2D857" w14:textId="77777777" w:rsidR="00C508A0" w:rsidRPr="008719C7" w:rsidRDefault="00BF5DD9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Skin Contact: </w:t>
      </w:r>
      <w:r w:rsidR="00DC0227" w:rsidRPr="008719C7">
        <w:rPr>
          <w:rFonts w:eastAsia="Times New Roman"/>
          <w:b/>
          <w:bCs/>
          <w:szCs w:val="20"/>
        </w:rPr>
        <w:t xml:space="preserve"> </w:t>
      </w:r>
      <w:r w:rsidR="00DD38F6" w:rsidRPr="008719C7">
        <w:rPr>
          <w:rFonts w:eastAsia="Times New Roman"/>
          <w:bCs/>
          <w:szCs w:val="20"/>
        </w:rPr>
        <w:t xml:space="preserve">Wash skin with soap and water for at least 15 minutes while removing contaminated clothing and shoes.  Get immediate medical attention. </w:t>
      </w:r>
      <w:r w:rsidR="00CC6C33" w:rsidRPr="008719C7">
        <w:rPr>
          <w:rFonts w:eastAsia="Times New Roman"/>
          <w:bCs/>
          <w:szCs w:val="20"/>
        </w:rPr>
        <w:t xml:space="preserve"> </w:t>
      </w:r>
      <w:r w:rsidR="00DD38F6" w:rsidRPr="008719C7">
        <w:rPr>
          <w:rFonts w:eastAsia="Times New Roman"/>
          <w:bCs/>
          <w:szCs w:val="20"/>
        </w:rPr>
        <w:t>Thoroughly clean and dry contaminated clothing before reuse. Destroy contaminated shoes</w:t>
      </w:r>
      <w:r w:rsidR="00DC0227" w:rsidRPr="008719C7">
        <w:rPr>
          <w:rFonts w:eastAsia="Times New Roman"/>
          <w:bCs/>
          <w:szCs w:val="20"/>
        </w:rPr>
        <w:t>.</w:t>
      </w:r>
    </w:p>
    <w:p w14:paraId="05525933" w14:textId="00BFCCD4" w:rsidR="00C508A0" w:rsidRPr="008719C7" w:rsidRDefault="00BF5DD9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Eye Contact: </w:t>
      </w:r>
      <w:r w:rsidR="00DC0227" w:rsidRPr="008719C7">
        <w:rPr>
          <w:rFonts w:eastAsia="Times New Roman"/>
          <w:b/>
          <w:bCs/>
          <w:szCs w:val="20"/>
        </w:rPr>
        <w:t xml:space="preserve"> </w:t>
      </w:r>
      <w:r w:rsidR="00DC0227" w:rsidRPr="008719C7">
        <w:rPr>
          <w:rFonts w:eastAsia="Times New Roman"/>
          <w:bCs/>
          <w:szCs w:val="20"/>
        </w:rPr>
        <w:t xml:space="preserve">Immediately flush eyes, including under the eyelids with copious amounts of water for at least </w:t>
      </w:r>
      <w:r w:rsidR="007E107C" w:rsidRPr="008719C7">
        <w:rPr>
          <w:rFonts w:eastAsia="Times New Roman"/>
          <w:bCs/>
          <w:szCs w:val="20"/>
        </w:rPr>
        <w:t>15</w:t>
      </w:r>
      <w:r w:rsidR="00251CE7">
        <w:rPr>
          <w:rFonts w:eastAsia="Times New Roman"/>
          <w:bCs/>
          <w:szCs w:val="20"/>
        </w:rPr>
        <w:t> </w:t>
      </w:r>
      <w:r w:rsidR="00DC0227" w:rsidRPr="008719C7">
        <w:rPr>
          <w:rFonts w:eastAsia="Times New Roman"/>
          <w:bCs/>
          <w:szCs w:val="20"/>
        </w:rPr>
        <w:t>minutes.  Seek immediate medical attention.</w:t>
      </w:r>
    </w:p>
    <w:p w14:paraId="4334B9F7" w14:textId="77777777" w:rsidR="00E24579" w:rsidRPr="008719C7" w:rsidRDefault="00BF5DD9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Ingestion:</w:t>
      </w:r>
      <w:r w:rsidR="00DC0227" w:rsidRPr="008719C7">
        <w:rPr>
          <w:rFonts w:eastAsia="Times New Roman"/>
          <w:b/>
          <w:bCs/>
          <w:szCs w:val="20"/>
        </w:rPr>
        <w:t xml:space="preserve">  </w:t>
      </w:r>
      <w:r w:rsidR="00B56A4E" w:rsidRPr="008719C7">
        <w:rPr>
          <w:rFonts w:eastAsia="Times New Roman"/>
          <w:bCs/>
          <w:szCs w:val="20"/>
        </w:rPr>
        <w:t xml:space="preserve">Contact a poison control center immediately for instructions.  </w:t>
      </w:r>
      <w:r w:rsidR="00A2434E" w:rsidRPr="008719C7">
        <w:rPr>
          <w:rFonts w:eastAsia="Times New Roman"/>
          <w:bCs/>
          <w:szCs w:val="20"/>
        </w:rPr>
        <w:t xml:space="preserve">If vomiting occurs, keep head lower than hips to prevent aspiration.  </w:t>
      </w:r>
      <w:r w:rsidR="00B56A4E" w:rsidRPr="008719C7">
        <w:rPr>
          <w:rFonts w:eastAsia="Times New Roman"/>
          <w:bCs/>
          <w:szCs w:val="20"/>
        </w:rPr>
        <w:t>Seek immediate medical attention</w:t>
      </w:r>
      <w:r w:rsidR="00DC0227" w:rsidRPr="008719C7">
        <w:rPr>
          <w:rFonts w:eastAsia="Times New Roman"/>
          <w:bCs/>
          <w:szCs w:val="20"/>
        </w:rPr>
        <w:t>.</w:t>
      </w:r>
    </w:p>
    <w:p w14:paraId="58CF1AA9" w14:textId="77777777" w:rsidR="00A2434E" w:rsidRPr="008719C7" w:rsidRDefault="002D63F4">
      <w:pPr>
        <w:widowControl/>
        <w:spacing w:before="120" w:after="0" w:line="240" w:lineRule="auto"/>
        <w:rPr>
          <w:bCs/>
        </w:rPr>
      </w:pPr>
      <w:r w:rsidRPr="008719C7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8719C7">
        <w:rPr>
          <w:rFonts w:eastAsia="Times New Roman"/>
          <w:b/>
          <w:bCs/>
          <w:szCs w:val="20"/>
        </w:rPr>
        <w:t xml:space="preserve">Acute </w:t>
      </w:r>
      <w:r w:rsidRPr="008719C7">
        <w:rPr>
          <w:rFonts w:eastAsia="Times New Roman"/>
          <w:b/>
          <w:bCs/>
          <w:szCs w:val="20"/>
        </w:rPr>
        <w:t xml:space="preserve">and </w:t>
      </w:r>
      <w:r w:rsidR="00EF4006" w:rsidRPr="008719C7">
        <w:rPr>
          <w:rFonts w:eastAsia="Times New Roman"/>
          <w:b/>
          <w:bCs/>
          <w:szCs w:val="20"/>
        </w:rPr>
        <w:t>Delayed</w:t>
      </w:r>
      <w:r w:rsidR="004521E9" w:rsidRPr="008719C7">
        <w:rPr>
          <w:rFonts w:eastAsia="Times New Roman"/>
          <w:b/>
          <w:bCs/>
          <w:szCs w:val="20"/>
        </w:rPr>
        <w:t>:</w:t>
      </w:r>
      <w:r w:rsidR="004521E9" w:rsidRPr="008719C7">
        <w:rPr>
          <w:rFonts w:eastAsia="Times New Roman"/>
          <w:bCs/>
          <w:szCs w:val="20"/>
        </w:rPr>
        <w:t xml:space="preserve">  </w:t>
      </w:r>
      <w:r w:rsidR="00A2434E" w:rsidRPr="008719C7">
        <w:rPr>
          <w:bCs/>
        </w:rPr>
        <w:t xml:space="preserve"> Damage to the nervous system, kidneys, and lungs caused by mercury poisoning.</w:t>
      </w:r>
    </w:p>
    <w:p w14:paraId="1C3EAEBF" w14:textId="77777777" w:rsidR="002D63F4" w:rsidRPr="008719C7" w:rsidRDefault="002D63F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8719C7">
        <w:rPr>
          <w:rFonts w:eastAsia="Times New Roman"/>
          <w:b/>
          <w:bCs/>
          <w:szCs w:val="20"/>
        </w:rPr>
        <w:t>:</w:t>
      </w:r>
      <w:r w:rsidR="004521E9" w:rsidRPr="008719C7">
        <w:rPr>
          <w:rFonts w:eastAsia="Times New Roman"/>
          <w:bCs/>
          <w:szCs w:val="20"/>
        </w:rPr>
        <w:t xml:space="preserve">  </w:t>
      </w:r>
      <w:r w:rsidR="0028318C" w:rsidRPr="008719C7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8719C7" w14:paraId="63427E59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2BC297B3" w14:textId="77777777" w:rsidR="001D7FE4" w:rsidRPr="008719C7" w:rsidRDefault="001D7FE4">
            <w:pPr>
              <w:keepNext/>
              <w:widowControl/>
              <w:spacing w:after="0" w:line="240" w:lineRule="auto"/>
              <w:rPr>
                <w:rFonts w:eastAsia="Times New Roman"/>
                <w:b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5. F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IRE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F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IGHTING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08F611C0" w14:textId="77777777" w:rsidR="001248AA" w:rsidRPr="008719C7" w:rsidRDefault="001248AA" w:rsidP="00B4734C">
      <w:pPr>
        <w:keepNext/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Fire and Explosion Hazards:</w:t>
      </w:r>
      <w:r w:rsidR="0028318C" w:rsidRPr="008719C7">
        <w:rPr>
          <w:rFonts w:eastAsia="Times New Roman"/>
          <w:b/>
          <w:bCs/>
          <w:szCs w:val="20"/>
        </w:rPr>
        <w:t xml:space="preserve">  </w:t>
      </w:r>
      <w:r w:rsidR="00717B98" w:rsidRPr="008719C7">
        <w:rPr>
          <w:rFonts w:eastAsia="Times New Roman"/>
          <w:bCs/>
          <w:szCs w:val="20"/>
        </w:rPr>
        <w:t xml:space="preserve">Negligible fire hazard.  </w:t>
      </w:r>
      <w:r w:rsidR="00534548" w:rsidRPr="008719C7">
        <w:rPr>
          <w:rFonts w:eastAsia="Times New Roman"/>
          <w:bCs/>
          <w:szCs w:val="20"/>
        </w:rPr>
        <w:t>See Section</w:t>
      </w:r>
      <w:r w:rsidR="002F28B5" w:rsidRPr="008719C7">
        <w:rPr>
          <w:rFonts w:eastAsia="Times New Roman"/>
          <w:bCs/>
          <w:szCs w:val="20"/>
        </w:rPr>
        <w:t> </w:t>
      </w:r>
      <w:r w:rsidR="00534548" w:rsidRPr="008719C7">
        <w:rPr>
          <w:rFonts w:eastAsia="Times New Roman"/>
          <w:bCs/>
          <w:szCs w:val="20"/>
        </w:rPr>
        <w:t xml:space="preserve">9, “Physical </w:t>
      </w:r>
      <w:r w:rsidR="0073150A" w:rsidRPr="008719C7">
        <w:rPr>
          <w:rFonts w:eastAsia="Times New Roman"/>
          <w:bCs/>
          <w:szCs w:val="20"/>
        </w:rPr>
        <w:t xml:space="preserve">and Chemical </w:t>
      </w:r>
      <w:r w:rsidR="00534548" w:rsidRPr="008719C7">
        <w:rPr>
          <w:rFonts w:eastAsia="Times New Roman"/>
          <w:bCs/>
          <w:szCs w:val="20"/>
        </w:rPr>
        <w:t>Properties” for flammability properties.</w:t>
      </w:r>
    </w:p>
    <w:p w14:paraId="63139810" w14:textId="77777777" w:rsidR="006251CA" w:rsidRPr="008719C7" w:rsidRDefault="00676966">
      <w:pPr>
        <w:keepNext/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Extinguishing Media</w:t>
      </w:r>
      <w:r w:rsidR="006251CA" w:rsidRPr="008719C7">
        <w:rPr>
          <w:rFonts w:eastAsia="Times New Roman"/>
          <w:b/>
          <w:bCs/>
          <w:szCs w:val="20"/>
        </w:rPr>
        <w:t>:</w:t>
      </w:r>
    </w:p>
    <w:p w14:paraId="01BD8930" w14:textId="77777777" w:rsidR="00E93DD1" w:rsidRPr="008719C7" w:rsidRDefault="00E93DD1">
      <w:pPr>
        <w:keepNext/>
        <w:widowControl/>
        <w:tabs>
          <w:tab w:val="left" w:pos="360"/>
        </w:tabs>
        <w:spacing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ab/>
      </w:r>
      <w:r w:rsidR="0028318C" w:rsidRPr="008719C7">
        <w:rPr>
          <w:rFonts w:eastAsia="Times New Roman"/>
          <w:bCs/>
          <w:szCs w:val="20"/>
        </w:rPr>
        <w:t>Suitable:</w:t>
      </w:r>
      <w:r w:rsidR="00144ADE" w:rsidRPr="008719C7">
        <w:rPr>
          <w:rFonts w:eastAsia="Times New Roman"/>
          <w:bCs/>
          <w:szCs w:val="20"/>
        </w:rPr>
        <w:t xml:space="preserve">  </w:t>
      </w:r>
      <w:r w:rsidR="00A2434E" w:rsidRPr="008719C7">
        <w:t>Regular dry chemical, carbon dioxide, water, regular foam.</w:t>
      </w:r>
    </w:p>
    <w:p w14:paraId="5F44B513" w14:textId="77777777" w:rsidR="00E93DD1" w:rsidRPr="008719C7" w:rsidRDefault="0028318C">
      <w:pPr>
        <w:keepNext/>
        <w:widowControl/>
        <w:tabs>
          <w:tab w:val="left" w:pos="360"/>
        </w:tabs>
        <w:spacing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ab/>
        <w:t>Unsuitable:</w:t>
      </w:r>
      <w:r w:rsidR="00144ADE" w:rsidRPr="008719C7">
        <w:rPr>
          <w:rFonts w:eastAsia="Times New Roman"/>
          <w:bCs/>
          <w:szCs w:val="20"/>
        </w:rPr>
        <w:t xml:space="preserve">  None</w:t>
      </w:r>
      <w:r w:rsidR="00EF4006" w:rsidRPr="008719C7">
        <w:rPr>
          <w:rFonts w:eastAsia="Times New Roman"/>
          <w:bCs/>
          <w:szCs w:val="20"/>
        </w:rPr>
        <w:t xml:space="preserve"> listed.</w:t>
      </w:r>
    </w:p>
    <w:p w14:paraId="69E39469" w14:textId="77777777" w:rsidR="00E24579" w:rsidRPr="008719C7" w:rsidRDefault="00676966">
      <w:pPr>
        <w:widowControl/>
        <w:spacing w:before="120" w:after="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Specific Hazards Arising from the Chemical:</w:t>
      </w:r>
      <w:r w:rsidR="0028318C" w:rsidRPr="008719C7">
        <w:rPr>
          <w:rFonts w:eastAsia="Times New Roman"/>
          <w:bCs/>
          <w:szCs w:val="20"/>
        </w:rPr>
        <w:t xml:space="preserve">  </w:t>
      </w:r>
      <w:r w:rsidR="00C91840" w:rsidRPr="008719C7">
        <w:rPr>
          <w:rFonts w:eastAsia="Times New Roman"/>
          <w:bCs/>
          <w:szCs w:val="20"/>
        </w:rPr>
        <w:t>Thermal decomposition will form o</w:t>
      </w:r>
      <w:r w:rsidR="00BF6022" w:rsidRPr="008719C7">
        <w:rPr>
          <w:rFonts w:eastAsia="Times New Roman"/>
          <w:bCs/>
          <w:szCs w:val="20"/>
        </w:rPr>
        <w:t>xides of nitrogen</w:t>
      </w:r>
      <w:r w:rsidR="006E61D2" w:rsidRPr="008719C7">
        <w:rPr>
          <w:rFonts w:eastAsia="Times New Roman"/>
          <w:bCs/>
          <w:szCs w:val="20"/>
        </w:rPr>
        <w:t xml:space="preserve"> and </w:t>
      </w:r>
      <w:r w:rsidR="00610128" w:rsidRPr="008719C7">
        <w:rPr>
          <w:rFonts w:eastAsia="Times New Roman"/>
          <w:bCs/>
          <w:szCs w:val="20"/>
        </w:rPr>
        <w:t>mercury</w:t>
      </w:r>
      <w:r w:rsidR="0028318C" w:rsidRPr="008719C7">
        <w:rPr>
          <w:rFonts w:eastAsia="Times New Roman"/>
          <w:bCs/>
          <w:szCs w:val="20"/>
        </w:rPr>
        <w:t>.</w:t>
      </w:r>
    </w:p>
    <w:p w14:paraId="5AC17050" w14:textId="77777777" w:rsidR="002B60F0" w:rsidRPr="008719C7" w:rsidRDefault="00F057E8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Special Protective Equipment and Precautions for </w:t>
      </w:r>
      <w:r w:rsidR="00BF5DD9" w:rsidRPr="008719C7">
        <w:rPr>
          <w:rFonts w:eastAsia="Times New Roman"/>
          <w:b/>
          <w:bCs/>
          <w:szCs w:val="20"/>
        </w:rPr>
        <w:t>Fire</w:t>
      </w:r>
      <w:r w:rsidRPr="008719C7">
        <w:rPr>
          <w:rFonts w:eastAsia="Times New Roman"/>
          <w:b/>
          <w:bCs/>
          <w:szCs w:val="20"/>
        </w:rPr>
        <w:t>-Fighters</w:t>
      </w:r>
      <w:r w:rsidR="00BF5DD9" w:rsidRPr="008719C7">
        <w:rPr>
          <w:rFonts w:eastAsia="Times New Roman"/>
          <w:b/>
          <w:bCs/>
          <w:szCs w:val="20"/>
        </w:rPr>
        <w:t>:</w:t>
      </w:r>
      <w:r w:rsidR="000D31BB" w:rsidRPr="008719C7">
        <w:rPr>
          <w:rFonts w:eastAsia="Times New Roman"/>
          <w:b/>
          <w:bCs/>
          <w:szCs w:val="20"/>
        </w:rPr>
        <w:t xml:space="preserve">  </w:t>
      </w:r>
      <w:r w:rsidR="00144ADE" w:rsidRPr="008719C7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49FE83AE" w14:textId="77777777" w:rsidR="00170F65" w:rsidRPr="008719C7" w:rsidRDefault="000D31BB">
      <w:pPr>
        <w:keepNext/>
        <w:keepLines/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NFPA Ratings </w:t>
      </w:r>
      <w:r w:rsidR="00170F65" w:rsidRPr="008719C7">
        <w:rPr>
          <w:szCs w:val="20"/>
        </w:rPr>
        <w:t>(0 = Minimal; 1 = Slight; 2 = Moderate; 3 = Serious; 4 = Severe)</w:t>
      </w:r>
      <w:r w:rsidRPr="008719C7">
        <w:rPr>
          <w:rFonts w:eastAsia="Times New Roman"/>
          <w:b/>
          <w:bCs/>
          <w:szCs w:val="20"/>
        </w:rPr>
        <w:tab/>
      </w:r>
    </w:p>
    <w:p w14:paraId="440E8327" w14:textId="77777777" w:rsidR="00170F65" w:rsidRPr="008719C7" w:rsidRDefault="00170F65">
      <w:pPr>
        <w:keepNext/>
        <w:keepLines/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rPr>
          <w:szCs w:val="20"/>
        </w:rPr>
      </w:pPr>
      <w:r w:rsidRPr="008719C7">
        <w:rPr>
          <w:rFonts w:eastAsia="Times New Roman"/>
          <w:szCs w:val="20"/>
        </w:rPr>
        <w:tab/>
      </w:r>
      <w:r w:rsidR="000D31BB" w:rsidRPr="008719C7">
        <w:rPr>
          <w:rFonts w:eastAsia="Times New Roman"/>
          <w:szCs w:val="20"/>
        </w:rPr>
        <w:t xml:space="preserve">Health = </w:t>
      </w:r>
      <w:r w:rsidR="00A2434E" w:rsidRPr="008719C7">
        <w:rPr>
          <w:szCs w:val="20"/>
        </w:rPr>
        <w:t>2</w:t>
      </w:r>
      <w:r w:rsidR="000D31BB" w:rsidRPr="008719C7">
        <w:rPr>
          <w:rFonts w:eastAsia="Times New Roman"/>
          <w:szCs w:val="20"/>
        </w:rPr>
        <w:tab/>
        <w:t xml:space="preserve">Fire = </w:t>
      </w:r>
      <w:r w:rsidR="000D31BB" w:rsidRPr="008719C7">
        <w:rPr>
          <w:szCs w:val="20"/>
        </w:rPr>
        <w:t>0</w:t>
      </w:r>
      <w:r w:rsidR="000D31BB" w:rsidRPr="008719C7">
        <w:rPr>
          <w:rFonts w:eastAsia="Times New Roman"/>
          <w:szCs w:val="20"/>
        </w:rPr>
        <w:tab/>
        <w:t xml:space="preserve">Reactivity = </w:t>
      </w:r>
      <w:r w:rsidR="000D31BB" w:rsidRPr="008719C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8719C7" w14:paraId="181DDD65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BCA39F1" w14:textId="77777777" w:rsidR="001D7FE4" w:rsidRPr="008719C7" w:rsidRDefault="001D7FE4">
            <w:pPr>
              <w:keepNext/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6. A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CCIDENTAL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ELEASE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4CC3357F" w14:textId="77777777" w:rsidR="00717B98" w:rsidRPr="008719C7" w:rsidRDefault="001D7FE4" w:rsidP="00B4734C">
      <w:pPr>
        <w:widowControl/>
        <w:spacing w:before="120" w:after="120" w:line="240" w:lineRule="auto"/>
        <w:rPr>
          <w:bCs/>
        </w:rPr>
      </w:pPr>
      <w:r w:rsidRPr="008719C7">
        <w:rPr>
          <w:rFonts w:eastAsia="Times New Roman"/>
          <w:b/>
          <w:bCs/>
          <w:szCs w:val="20"/>
        </w:rPr>
        <w:t>Personal Precautions, Protective Equipment and Emergency Procedures</w:t>
      </w:r>
      <w:r w:rsidR="00717B98" w:rsidRPr="008719C7">
        <w:rPr>
          <w:rFonts w:eastAsia="Times New Roman"/>
          <w:b/>
          <w:bCs/>
          <w:szCs w:val="20"/>
        </w:rPr>
        <w:t xml:space="preserve">:  </w:t>
      </w:r>
      <w:r w:rsidR="00B824E8" w:rsidRPr="008719C7">
        <w:rPr>
          <w:rFonts w:eastAsia="Times New Roman"/>
          <w:bCs/>
          <w:szCs w:val="20"/>
        </w:rPr>
        <w:t>Immediately contact emergency personnel.  Keep unnecessary personnel away.  Use suitable protective equipment</w:t>
      </w:r>
      <w:r w:rsidR="00C723CD" w:rsidRPr="008719C7">
        <w:rPr>
          <w:rFonts w:eastAsia="Times New Roman"/>
          <w:bCs/>
          <w:szCs w:val="20"/>
        </w:rPr>
        <w:t xml:space="preserve">; </w:t>
      </w:r>
      <w:r w:rsidR="00B824E8" w:rsidRPr="008719C7">
        <w:rPr>
          <w:rFonts w:eastAsia="Times New Roman"/>
          <w:bCs/>
          <w:szCs w:val="20"/>
        </w:rPr>
        <w:t xml:space="preserve">see Section 8, “Exposure Controls and Personal Protection”. </w:t>
      </w:r>
    </w:p>
    <w:p w14:paraId="77E81FC0" w14:textId="77777777" w:rsidR="00BC5C79" w:rsidRPr="008719C7" w:rsidRDefault="00BC5C79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Methods and Materials for Containment and Clean up</w:t>
      </w:r>
      <w:r w:rsidR="00717B98" w:rsidRPr="008719C7">
        <w:rPr>
          <w:rFonts w:eastAsia="Times New Roman"/>
          <w:b/>
          <w:bCs/>
          <w:szCs w:val="20"/>
        </w:rPr>
        <w:t xml:space="preserve">: </w:t>
      </w:r>
      <w:r w:rsidR="00717B98" w:rsidRPr="008719C7">
        <w:t xml:space="preserve"> </w:t>
      </w:r>
      <w:r w:rsidR="00493484" w:rsidRPr="008719C7">
        <w:rPr>
          <w:rFonts w:eastAsia="Times New Roman"/>
          <w:bCs/>
          <w:szCs w:val="20"/>
        </w:rPr>
        <w:t>Do not touch spilled material.  Notify safety personnel of spills.  Absorb with sand or other non</w:t>
      </w:r>
      <w:r w:rsidR="002F28B5" w:rsidRPr="008719C7">
        <w:rPr>
          <w:rFonts w:eastAsia="Times New Roman"/>
          <w:bCs/>
          <w:szCs w:val="20"/>
        </w:rPr>
        <w:noBreakHyphen/>
      </w:r>
      <w:r w:rsidR="00493484" w:rsidRPr="008719C7">
        <w:rPr>
          <w:rFonts w:eastAsia="Times New Roman"/>
          <w:bCs/>
          <w:szCs w:val="20"/>
        </w:rPr>
        <w:t>combustible material.  Collect spilled material in appropriate container for disposal</w:t>
      </w:r>
      <w:r w:rsidR="00717B98" w:rsidRPr="008719C7">
        <w:rPr>
          <w:rFonts w:eastAsia="Times New Roman"/>
          <w:bCs/>
          <w:szCs w:val="20"/>
        </w:rPr>
        <w:t xml:space="preserve">.  Isolate hazard area and deny entry.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8719C7" w14:paraId="519CCBF0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F17080E" w14:textId="77777777" w:rsidR="001D7FE4" w:rsidRPr="008719C7" w:rsidRDefault="001D7FE4">
            <w:pPr>
              <w:keepNext/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7. H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ANDLING AND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TORAGE</w:t>
            </w:r>
          </w:p>
        </w:tc>
      </w:tr>
    </w:tbl>
    <w:p w14:paraId="0748A1A3" w14:textId="77777777" w:rsidR="001D7FE4" w:rsidRPr="008719C7" w:rsidRDefault="001D7FE4" w:rsidP="00B4734C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Safe Handling Precautions:  </w:t>
      </w:r>
      <w:r w:rsidR="003045F2" w:rsidRPr="008719C7">
        <w:rPr>
          <w:szCs w:val="20"/>
        </w:rPr>
        <w:t>See Section</w:t>
      </w:r>
      <w:r w:rsidR="002F28B5" w:rsidRPr="008719C7">
        <w:rPr>
          <w:szCs w:val="20"/>
        </w:rPr>
        <w:t> </w:t>
      </w:r>
      <w:r w:rsidR="003045F2" w:rsidRPr="008719C7">
        <w:rPr>
          <w:szCs w:val="20"/>
        </w:rPr>
        <w:t>8, “Exposure Controls and Personal Protection”</w:t>
      </w:r>
      <w:r w:rsidR="00902F44" w:rsidRPr="008719C7">
        <w:rPr>
          <w:szCs w:val="20"/>
        </w:rPr>
        <w:t xml:space="preserve">. </w:t>
      </w:r>
    </w:p>
    <w:p w14:paraId="086DAFD4" w14:textId="5D48A36C" w:rsidR="00D25DBF" w:rsidRPr="008719C7" w:rsidRDefault="00FD552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Storage</w:t>
      </w:r>
      <w:r w:rsidR="00D86CFF" w:rsidRPr="008719C7">
        <w:rPr>
          <w:rFonts w:eastAsia="Times New Roman"/>
          <w:b/>
          <w:bCs/>
          <w:szCs w:val="20"/>
        </w:rPr>
        <w:t>:</w:t>
      </w:r>
      <w:r w:rsidR="00D86CFF" w:rsidRPr="008719C7">
        <w:rPr>
          <w:rFonts w:eastAsia="Times New Roman"/>
          <w:bCs/>
          <w:szCs w:val="20"/>
        </w:rPr>
        <w:t xml:space="preserve">  </w:t>
      </w:r>
      <w:r w:rsidRPr="008719C7">
        <w:rPr>
          <w:rFonts w:eastAsia="Times New Roman"/>
          <w:bCs/>
          <w:szCs w:val="20"/>
        </w:rPr>
        <w:t>Store and handl</w:t>
      </w:r>
      <w:r w:rsidR="00A2434E" w:rsidRPr="008719C7">
        <w:rPr>
          <w:rFonts w:eastAsia="Times New Roman"/>
          <w:bCs/>
          <w:szCs w:val="20"/>
        </w:rPr>
        <w:t>e</w:t>
      </w:r>
      <w:r w:rsidRPr="008719C7">
        <w:rPr>
          <w:rFonts w:eastAsia="Times New Roman"/>
          <w:bCs/>
          <w:szCs w:val="20"/>
        </w:rPr>
        <w:t xml:space="preserve"> in accordance with all current regulations and standards.  </w:t>
      </w:r>
      <w:r w:rsidRPr="008719C7">
        <w:rPr>
          <w:szCs w:val="20"/>
        </w:rPr>
        <w:t>Keep separated from incompatible substances (</w:t>
      </w:r>
      <w:r w:rsidR="004F4684" w:rsidRPr="008719C7">
        <w:rPr>
          <w:rFonts w:eastAsia="Times New Roman"/>
          <w:bCs/>
          <w:szCs w:val="20"/>
        </w:rPr>
        <w:t>See Section 10</w:t>
      </w:r>
      <w:r w:rsidR="00310D04">
        <w:rPr>
          <w:rFonts w:eastAsia="Times New Roman"/>
          <w:bCs/>
          <w:szCs w:val="20"/>
        </w:rPr>
        <w:t>,</w:t>
      </w:r>
      <w:r w:rsidR="004F4684" w:rsidRPr="008719C7">
        <w:rPr>
          <w:rFonts w:eastAsia="Times New Roman"/>
          <w:bCs/>
          <w:szCs w:val="20"/>
        </w:rPr>
        <w:t xml:space="preserve"> “Stability and Reactivity”</w:t>
      </w:r>
      <w:r w:rsidRPr="008719C7">
        <w:rPr>
          <w:rFonts w:eastAsia="Times New Roman"/>
          <w:bCs/>
          <w:szCs w:val="20"/>
        </w:rPr>
        <w:t>)</w:t>
      </w:r>
      <w:r w:rsidR="00C661E3" w:rsidRPr="008719C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8719C7" w14:paraId="3BF02363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72FF01AC" w14:textId="77777777" w:rsidR="00D25DBF" w:rsidRPr="008719C7" w:rsidRDefault="00D25DBF">
            <w:pPr>
              <w:keepNext/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8. E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XPOSURE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ONTROLS AND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ERSONAL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ROTECTION</w:t>
            </w:r>
          </w:p>
        </w:tc>
      </w:tr>
    </w:tbl>
    <w:p w14:paraId="068A6935" w14:textId="77777777" w:rsidR="00893F73" w:rsidRPr="008719C7" w:rsidRDefault="001D7FE4" w:rsidP="00B4734C">
      <w:pPr>
        <w:keepNext/>
        <w:widowControl/>
        <w:spacing w:before="120" w:after="120" w:line="240" w:lineRule="auto"/>
        <w:rPr>
          <w:rFonts w:eastAsia="Times New Roman"/>
          <w:sz w:val="19"/>
          <w:szCs w:val="19"/>
        </w:rPr>
      </w:pPr>
      <w:r w:rsidRPr="008719C7">
        <w:rPr>
          <w:rFonts w:eastAsia="Times New Roman"/>
          <w:b/>
          <w:bCs/>
          <w:szCs w:val="20"/>
        </w:rPr>
        <w:t>Exposure Limits</w:t>
      </w:r>
      <w:r w:rsidR="005F656F" w:rsidRPr="008719C7">
        <w:rPr>
          <w:rFonts w:eastAsia="Times New Roman"/>
          <w:b/>
          <w:bCs/>
          <w:szCs w:val="20"/>
        </w:rPr>
        <w:t>:</w:t>
      </w:r>
    </w:p>
    <w:p w14:paraId="06F2BA60" w14:textId="77777777" w:rsidR="00C91ADE" w:rsidRPr="008719C7" w:rsidRDefault="00C91ADE">
      <w:pPr>
        <w:widowControl/>
        <w:tabs>
          <w:tab w:val="decimal" w:pos="207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NIOSH (</w:t>
      </w:r>
      <w:r w:rsidR="00B95385" w:rsidRPr="008719C7">
        <w:rPr>
          <w:rFonts w:eastAsia="Times New Roman"/>
          <w:szCs w:val="20"/>
        </w:rPr>
        <w:t>REL</w:t>
      </w:r>
      <w:r w:rsidRPr="008719C7">
        <w:rPr>
          <w:rFonts w:eastAsia="Times New Roman"/>
          <w:szCs w:val="20"/>
        </w:rPr>
        <w:t>)</w:t>
      </w:r>
      <w:r w:rsidR="00B95385" w:rsidRPr="008719C7">
        <w:rPr>
          <w:rFonts w:eastAsia="Times New Roman"/>
          <w:szCs w:val="20"/>
        </w:rPr>
        <w:t>:</w:t>
      </w:r>
      <w:r w:rsidRPr="008719C7">
        <w:rPr>
          <w:rFonts w:eastAsia="Times New Roman"/>
          <w:szCs w:val="20"/>
        </w:rPr>
        <w:tab/>
      </w:r>
      <w:r w:rsidR="004B09CF" w:rsidRPr="008719C7">
        <w:t>0.05 mg/m</w:t>
      </w:r>
      <w:r w:rsidR="004B09CF" w:rsidRPr="008719C7">
        <w:rPr>
          <w:vertAlign w:val="superscript"/>
        </w:rPr>
        <w:t>3</w:t>
      </w:r>
      <w:r w:rsidR="0007442D" w:rsidRPr="008719C7">
        <w:t xml:space="preserve"> </w:t>
      </w:r>
      <w:r w:rsidR="006F3FC2" w:rsidRPr="008719C7">
        <w:t>TWA as Hg vapor</w:t>
      </w:r>
    </w:p>
    <w:p w14:paraId="28E4971E" w14:textId="592194CA" w:rsidR="004B09CF" w:rsidRPr="008719C7" w:rsidRDefault="004B09CF">
      <w:pPr>
        <w:widowControl/>
        <w:tabs>
          <w:tab w:val="decimal" w:pos="2070"/>
          <w:tab w:val="decimal" w:pos="234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ab/>
        <w:t>10 mg/m</w:t>
      </w:r>
      <w:r w:rsidRPr="008719C7">
        <w:rPr>
          <w:rFonts w:eastAsia="Times New Roman"/>
          <w:szCs w:val="20"/>
          <w:vertAlign w:val="superscript"/>
        </w:rPr>
        <w:t>3</w:t>
      </w:r>
      <w:r w:rsidRPr="008719C7">
        <w:rPr>
          <w:rFonts w:eastAsia="Times New Roman"/>
          <w:szCs w:val="20"/>
        </w:rPr>
        <w:t xml:space="preserve"> </w:t>
      </w:r>
      <w:r w:rsidR="0007442D" w:rsidRPr="008719C7">
        <w:rPr>
          <w:rFonts w:eastAsia="Times New Roman"/>
          <w:szCs w:val="20"/>
        </w:rPr>
        <w:t>IDLH</w:t>
      </w:r>
    </w:p>
    <w:p w14:paraId="6486341C" w14:textId="7855F6ED" w:rsidR="004B09CF" w:rsidRPr="008719C7" w:rsidRDefault="004B09CF">
      <w:pPr>
        <w:widowControl/>
        <w:tabs>
          <w:tab w:val="decimal" w:pos="2070"/>
          <w:tab w:val="decimal" w:pos="234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ab/>
        <w:t>0.</w:t>
      </w:r>
      <w:r w:rsidR="00525A37" w:rsidRPr="008719C7">
        <w:rPr>
          <w:rFonts w:eastAsia="Times New Roman"/>
          <w:szCs w:val="20"/>
        </w:rPr>
        <w:t xml:space="preserve">1 </w:t>
      </w:r>
      <w:r w:rsidRPr="008719C7">
        <w:rPr>
          <w:rFonts w:eastAsia="Times New Roman"/>
          <w:szCs w:val="20"/>
        </w:rPr>
        <w:t>mg/m</w:t>
      </w:r>
      <w:r w:rsidRPr="008719C7">
        <w:rPr>
          <w:rFonts w:eastAsia="Times New Roman"/>
          <w:szCs w:val="20"/>
          <w:vertAlign w:val="superscript"/>
        </w:rPr>
        <w:t>3</w:t>
      </w:r>
      <w:r w:rsidRPr="008719C7">
        <w:rPr>
          <w:rFonts w:eastAsia="Times New Roman"/>
          <w:szCs w:val="20"/>
        </w:rPr>
        <w:t xml:space="preserve"> </w:t>
      </w:r>
      <w:r w:rsidR="0007442D" w:rsidRPr="008719C7">
        <w:rPr>
          <w:rFonts w:eastAsia="Times New Roman"/>
          <w:szCs w:val="20"/>
        </w:rPr>
        <w:t>Ceiling</w:t>
      </w:r>
    </w:p>
    <w:p w14:paraId="0B8A0AB0" w14:textId="77777777" w:rsidR="0007442D" w:rsidRPr="008719C7" w:rsidRDefault="0007442D">
      <w:pPr>
        <w:widowControl/>
        <w:tabs>
          <w:tab w:val="left" w:pos="1890"/>
          <w:tab w:val="left" w:pos="2070"/>
        </w:tabs>
        <w:overflowPunct w:val="0"/>
        <w:autoSpaceDE w:val="0"/>
        <w:autoSpaceDN w:val="0"/>
        <w:adjustRightInd w:val="0"/>
        <w:spacing w:after="120" w:line="240" w:lineRule="auto"/>
        <w:ind w:left="36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ab/>
        <w:t>Potential for dermal absorption (related to Mercury compounds)</w:t>
      </w:r>
    </w:p>
    <w:p w14:paraId="49C8C6B9" w14:textId="77777777" w:rsidR="00EF64C4" w:rsidRPr="008719C7" w:rsidRDefault="00EF64C4">
      <w:pPr>
        <w:widowControl/>
        <w:tabs>
          <w:tab w:val="decimal" w:pos="207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ACGIH (T</w:t>
      </w:r>
      <w:r w:rsidR="00B95385" w:rsidRPr="008719C7">
        <w:rPr>
          <w:rFonts w:eastAsia="Times New Roman"/>
          <w:szCs w:val="20"/>
        </w:rPr>
        <w:t>LV</w:t>
      </w:r>
      <w:r w:rsidRPr="008719C7">
        <w:rPr>
          <w:rFonts w:eastAsia="Times New Roman"/>
          <w:szCs w:val="20"/>
        </w:rPr>
        <w:t>):</w:t>
      </w:r>
      <w:r w:rsidRPr="008719C7">
        <w:rPr>
          <w:rFonts w:eastAsia="Times New Roman"/>
          <w:szCs w:val="20"/>
        </w:rPr>
        <w:tab/>
      </w:r>
      <w:r w:rsidR="004B09CF" w:rsidRPr="008719C7">
        <w:rPr>
          <w:rFonts w:eastAsia="Times New Roman"/>
          <w:szCs w:val="20"/>
        </w:rPr>
        <w:t>0.025 mg/m</w:t>
      </w:r>
      <w:r w:rsidR="004B09CF" w:rsidRPr="008719C7">
        <w:rPr>
          <w:rFonts w:eastAsia="Times New Roman"/>
          <w:szCs w:val="20"/>
          <w:vertAlign w:val="superscript"/>
        </w:rPr>
        <w:t>3</w:t>
      </w:r>
      <w:r w:rsidR="004B09CF" w:rsidRPr="008719C7">
        <w:rPr>
          <w:rFonts w:eastAsia="Times New Roman"/>
          <w:szCs w:val="20"/>
        </w:rPr>
        <w:t xml:space="preserve"> </w:t>
      </w:r>
      <w:r w:rsidR="006F3FC2" w:rsidRPr="008719C7">
        <w:rPr>
          <w:rFonts w:eastAsia="Times New Roman"/>
          <w:szCs w:val="20"/>
        </w:rPr>
        <w:t>TWA</w:t>
      </w:r>
    </w:p>
    <w:p w14:paraId="367C774E" w14:textId="77777777" w:rsidR="00525A37" w:rsidRPr="008719C7" w:rsidRDefault="006F3FC2">
      <w:pPr>
        <w:widowControl/>
        <w:tabs>
          <w:tab w:val="left" w:pos="2430"/>
        </w:tabs>
        <w:overflowPunct w:val="0"/>
        <w:autoSpaceDE w:val="0"/>
        <w:autoSpaceDN w:val="0"/>
        <w:adjustRightInd w:val="0"/>
        <w:spacing w:after="120" w:line="240" w:lineRule="auto"/>
        <w:ind w:left="189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 xml:space="preserve">Skin - potential significant contribution to overall exposure by the cutaneous </w:t>
      </w:r>
      <w:r w:rsidR="00525A37" w:rsidRPr="008719C7">
        <w:rPr>
          <w:rFonts w:eastAsia="Times New Roman"/>
          <w:szCs w:val="20"/>
        </w:rPr>
        <w:t>route</w:t>
      </w:r>
    </w:p>
    <w:p w14:paraId="5FF9CBD8" w14:textId="77777777" w:rsidR="00EF64C4" w:rsidRPr="008719C7" w:rsidRDefault="00EF64C4">
      <w:pPr>
        <w:widowControl/>
        <w:tabs>
          <w:tab w:val="decimal" w:pos="2070"/>
        </w:tabs>
        <w:overflowPunct w:val="0"/>
        <w:autoSpaceDE w:val="0"/>
        <w:autoSpaceDN w:val="0"/>
        <w:adjustRightInd w:val="0"/>
        <w:spacing w:after="120" w:line="240" w:lineRule="auto"/>
        <w:ind w:left="360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OSHA (</w:t>
      </w:r>
      <w:r w:rsidR="00B95385" w:rsidRPr="008719C7">
        <w:rPr>
          <w:rFonts w:eastAsia="Times New Roman"/>
          <w:szCs w:val="20"/>
        </w:rPr>
        <w:t>PEL</w:t>
      </w:r>
      <w:r w:rsidRPr="008719C7">
        <w:rPr>
          <w:rFonts w:eastAsia="Times New Roman"/>
          <w:szCs w:val="20"/>
        </w:rPr>
        <w:t>):</w:t>
      </w:r>
      <w:r w:rsidRPr="008719C7">
        <w:rPr>
          <w:rFonts w:eastAsia="Times New Roman"/>
          <w:szCs w:val="20"/>
        </w:rPr>
        <w:tab/>
      </w:r>
      <w:r w:rsidR="00525A37" w:rsidRPr="008719C7">
        <w:rPr>
          <w:rFonts w:eastAsia="Times New Roman"/>
          <w:szCs w:val="20"/>
        </w:rPr>
        <w:t>0.1 mg/m</w:t>
      </w:r>
      <w:r w:rsidR="00525A37" w:rsidRPr="008719C7">
        <w:rPr>
          <w:rFonts w:eastAsia="Times New Roman"/>
          <w:szCs w:val="20"/>
          <w:vertAlign w:val="superscript"/>
        </w:rPr>
        <w:t>3</w:t>
      </w:r>
      <w:r w:rsidR="00525A37" w:rsidRPr="008719C7">
        <w:rPr>
          <w:rFonts w:eastAsia="Times New Roman"/>
          <w:szCs w:val="20"/>
        </w:rPr>
        <w:t xml:space="preserve"> Ceiling</w:t>
      </w:r>
    </w:p>
    <w:p w14:paraId="0D0DF583" w14:textId="77777777" w:rsidR="0031663D" w:rsidRPr="008719C7" w:rsidRDefault="0031663D">
      <w:pPr>
        <w:widowControl/>
        <w:spacing w:before="120" w:after="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Engineering Controls:</w:t>
      </w:r>
      <w:r w:rsidRPr="008719C7">
        <w:rPr>
          <w:rFonts w:eastAsia="Times New Roman"/>
          <w:bCs/>
          <w:szCs w:val="20"/>
        </w:rPr>
        <w:t xml:space="preserve">  </w:t>
      </w:r>
      <w:r w:rsidRPr="008719C7">
        <w:rPr>
          <w:rFonts w:eastAsia="Times New Roman"/>
          <w:szCs w:val="20"/>
        </w:rPr>
        <w:t>Provide local exhaust or process enclosure ventilation system.  Ensure compliance with applicable exposure limits</w:t>
      </w:r>
      <w:r w:rsidR="00194A53" w:rsidRPr="008719C7">
        <w:rPr>
          <w:rFonts w:eastAsia="Times New Roman"/>
          <w:szCs w:val="20"/>
        </w:rPr>
        <w:t>.</w:t>
      </w:r>
    </w:p>
    <w:p w14:paraId="6B906679" w14:textId="77777777" w:rsidR="0031663D" w:rsidRPr="008719C7" w:rsidRDefault="00194A53">
      <w:pPr>
        <w:widowControl/>
        <w:spacing w:before="120" w:after="12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Personal </w:t>
      </w:r>
      <w:r w:rsidR="0031663D" w:rsidRPr="008719C7">
        <w:rPr>
          <w:rFonts w:eastAsia="Times New Roman"/>
          <w:b/>
          <w:bCs/>
          <w:szCs w:val="20"/>
        </w:rPr>
        <w:t>Protection</w:t>
      </w:r>
      <w:r w:rsidR="00011CAC" w:rsidRPr="008719C7">
        <w:rPr>
          <w:rFonts w:eastAsia="Times New Roman"/>
          <w:b/>
          <w:bCs/>
          <w:szCs w:val="20"/>
        </w:rPr>
        <w:t>:</w:t>
      </w:r>
      <w:r w:rsidR="00011CAC" w:rsidRPr="008719C7">
        <w:rPr>
          <w:rFonts w:eastAsia="Times New Roman"/>
          <w:bCs/>
          <w:szCs w:val="20"/>
        </w:rPr>
        <w:t xml:space="preserve">  </w:t>
      </w:r>
      <w:r w:rsidR="00011CAC" w:rsidRPr="008719C7">
        <w:rPr>
          <w:rFonts w:eastAsia="Times New Roman"/>
          <w:szCs w:val="20"/>
        </w:rPr>
        <w:t>In accordance with OSHA 29 CFR 1910.132, subpart I, wear appropriate Personal Protective Equipment (PPE) to minimize exposure to this material.</w:t>
      </w:r>
    </w:p>
    <w:p w14:paraId="1DB81F87" w14:textId="77777777" w:rsidR="0031663D" w:rsidRPr="008719C7" w:rsidRDefault="0031663D">
      <w:pPr>
        <w:widowControl/>
        <w:spacing w:after="0" w:line="240" w:lineRule="auto"/>
        <w:ind w:left="360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Respirator</w:t>
      </w:r>
      <w:r w:rsidR="00011CAC" w:rsidRPr="008719C7">
        <w:rPr>
          <w:rFonts w:eastAsia="Times New Roman"/>
          <w:b/>
          <w:bCs/>
          <w:szCs w:val="20"/>
        </w:rPr>
        <w:t>y Protection</w:t>
      </w:r>
      <w:r w:rsidRPr="008719C7">
        <w:rPr>
          <w:rFonts w:eastAsia="Times New Roman"/>
          <w:b/>
          <w:bCs/>
          <w:szCs w:val="20"/>
        </w:rPr>
        <w:t>:</w:t>
      </w:r>
      <w:r w:rsidR="00783F68" w:rsidRPr="008719C7">
        <w:rPr>
          <w:rFonts w:eastAsia="Times New Roman"/>
          <w:bCs/>
          <w:szCs w:val="20"/>
        </w:rPr>
        <w:t xml:space="preserve">  </w:t>
      </w:r>
      <w:r w:rsidRPr="008719C7">
        <w:rPr>
          <w:rFonts w:eastAsia="Times New Roman"/>
          <w:szCs w:val="20"/>
        </w:rPr>
        <w:t>If workplace conditions warrant a respirator, a respiratory protection program that meets OSHA</w:t>
      </w:r>
      <w:r w:rsidR="00F4046F" w:rsidRPr="008719C7">
        <w:rPr>
          <w:rFonts w:eastAsia="Times New Roman"/>
          <w:szCs w:val="20"/>
        </w:rPr>
        <w:t> </w:t>
      </w:r>
      <w:r w:rsidRPr="008719C7">
        <w:rPr>
          <w:rFonts w:eastAsia="Times New Roman"/>
          <w:szCs w:val="20"/>
        </w:rPr>
        <w:t>29CFR</w:t>
      </w:r>
      <w:r w:rsidR="00F4046F" w:rsidRPr="008719C7">
        <w:rPr>
          <w:rFonts w:eastAsia="Times New Roman"/>
          <w:szCs w:val="20"/>
        </w:rPr>
        <w:t> </w:t>
      </w:r>
      <w:r w:rsidRPr="008719C7">
        <w:rPr>
          <w:rFonts w:eastAsia="Times New Roman"/>
          <w:szCs w:val="20"/>
        </w:rPr>
        <w:t>1910.134 must be followed.</w:t>
      </w:r>
      <w:r w:rsidR="00F4046F" w:rsidRPr="008719C7">
        <w:rPr>
          <w:rFonts w:eastAsia="Times New Roman"/>
          <w:szCs w:val="20"/>
        </w:rPr>
        <w:t xml:space="preserve"> </w:t>
      </w:r>
      <w:r w:rsidRPr="008719C7">
        <w:rPr>
          <w:rFonts w:eastAsia="Times New Roman"/>
          <w:szCs w:val="20"/>
        </w:rPr>
        <w:t xml:space="preserve"> Refer to NIOSH 42</w:t>
      </w:r>
      <w:r w:rsidR="00F4046F" w:rsidRPr="008719C7">
        <w:rPr>
          <w:rFonts w:eastAsia="Times New Roman"/>
          <w:szCs w:val="20"/>
        </w:rPr>
        <w:t> </w:t>
      </w:r>
      <w:r w:rsidRPr="008719C7">
        <w:rPr>
          <w:rFonts w:eastAsia="Times New Roman"/>
          <w:szCs w:val="20"/>
        </w:rPr>
        <w:t>CFR</w:t>
      </w:r>
      <w:r w:rsidR="00F4046F" w:rsidRPr="008719C7">
        <w:rPr>
          <w:rFonts w:eastAsia="Times New Roman"/>
          <w:szCs w:val="20"/>
        </w:rPr>
        <w:t> </w:t>
      </w:r>
      <w:r w:rsidRPr="008719C7">
        <w:rPr>
          <w:rFonts w:eastAsia="Times New Roman"/>
          <w:szCs w:val="20"/>
        </w:rPr>
        <w:t>84 for applicable certified respirators.</w:t>
      </w:r>
    </w:p>
    <w:p w14:paraId="3B9E435A" w14:textId="77777777" w:rsidR="0031663D" w:rsidRPr="008719C7" w:rsidRDefault="0031663D">
      <w:pPr>
        <w:widowControl/>
        <w:spacing w:before="120" w:after="120" w:line="240" w:lineRule="auto"/>
        <w:ind w:left="360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Eye</w:t>
      </w:r>
      <w:r w:rsidR="00232FEE" w:rsidRPr="008719C7">
        <w:rPr>
          <w:rFonts w:eastAsia="Times New Roman"/>
          <w:b/>
          <w:bCs/>
          <w:szCs w:val="20"/>
        </w:rPr>
        <w:t>/Face</w:t>
      </w:r>
      <w:r w:rsidRPr="008719C7">
        <w:rPr>
          <w:rFonts w:eastAsia="Times New Roman"/>
          <w:b/>
          <w:bCs/>
          <w:szCs w:val="20"/>
        </w:rPr>
        <w:t xml:space="preserve"> Protection:</w:t>
      </w:r>
      <w:r w:rsidR="00783F68" w:rsidRPr="008719C7">
        <w:rPr>
          <w:rFonts w:eastAsia="Times New Roman"/>
          <w:bCs/>
          <w:szCs w:val="20"/>
        </w:rPr>
        <w:t xml:space="preserve">  </w:t>
      </w:r>
      <w:r w:rsidR="00D86CFF" w:rsidRPr="008719C7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8719C7">
        <w:rPr>
          <w:rFonts w:eastAsia="Times New Roman"/>
          <w:bCs/>
          <w:szCs w:val="20"/>
        </w:rPr>
        <w:t xml:space="preserve"> </w:t>
      </w:r>
      <w:r w:rsidR="00D86CFF" w:rsidRPr="008719C7">
        <w:rPr>
          <w:rFonts w:eastAsia="Times New Roman"/>
          <w:bCs/>
          <w:szCs w:val="20"/>
        </w:rPr>
        <w:t>An eyewash station should be readily available near areas of use.</w:t>
      </w:r>
    </w:p>
    <w:p w14:paraId="418AAE35" w14:textId="46299B49" w:rsidR="00597EF8" w:rsidRDefault="00194A53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Skin </w:t>
      </w:r>
      <w:r w:rsidR="00011CAC" w:rsidRPr="008719C7">
        <w:rPr>
          <w:rFonts w:eastAsia="Times New Roman"/>
          <w:b/>
          <w:bCs/>
          <w:szCs w:val="20"/>
        </w:rPr>
        <w:t xml:space="preserve">and Body </w:t>
      </w:r>
      <w:r w:rsidRPr="008719C7">
        <w:rPr>
          <w:rFonts w:eastAsia="Times New Roman"/>
          <w:b/>
          <w:bCs/>
          <w:szCs w:val="20"/>
        </w:rPr>
        <w:t>Protection:</w:t>
      </w:r>
      <w:r w:rsidRPr="008719C7">
        <w:rPr>
          <w:rFonts w:eastAsia="Times New Roman"/>
          <w:bCs/>
          <w:szCs w:val="20"/>
        </w:rPr>
        <w:t xml:space="preserve"> </w:t>
      </w:r>
      <w:r w:rsidR="00D86CFF" w:rsidRPr="008719C7">
        <w:rPr>
          <w:rFonts w:eastAsia="Times New Roman"/>
          <w:bCs/>
          <w:szCs w:val="20"/>
        </w:rPr>
        <w:t xml:space="preserve"> </w:t>
      </w:r>
      <w:r w:rsidR="004E5DB2" w:rsidRPr="008719C7">
        <w:rPr>
          <w:rFonts w:eastAsia="Times New Roman"/>
          <w:bCs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8719C7">
        <w:rPr>
          <w:rFonts w:eastAsia="Times New Roman"/>
          <w:szCs w:val="20"/>
        </w:rPr>
        <w:t>.</w:t>
      </w:r>
      <w:r w:rsidR="00FD5524" w:rsidRPr="008719C7">
        <w:rPr>
          <w:rFonts w:eastAsia="Times New Roman"/>
          <w:bCs/>
          <w:szCs w:val="20"/>
        </w:rPr>
        <w:t xml:space="preserve">  Chemical-resistant gloves should be worn at all times when handling chemicals.</w:t>
      </w:r>
    </w:p>
    <w:p w14:paraId="45371CA8" w14:textId="6E532A67" w:rsidR="00597EF8" w:rsidRDefault="00597EF8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</w:p>
    <w:p w14:paraId="078E954D" w14:textId="77777777" w:rsidR="00597EF8" w:rsidRDefault="00597EF8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</w:p>
    <w:p w14:paraId="04026366" w14:textId="77777777" w:rsidR="00597EF8" w:rsidRDefault="00597EF8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</w:p>
    <w:p w14:paraId="14C78AEE" w14:textId="77777777" w:rsidR="006841A6" w:rsidRPr="008719C7" w:rsidRDefault="006841A6">
      <w:pPr>
        <w:widowControl/>
        <w:spacing w:before="120" w:after="120" w:line="240" w:lineRule="auto"/>
        <w:ind w:left="360"/>
      </w:pP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8719C7" w14:paraId="3485AB75" w14:textId="77777777" w:rsidTr="006841A6">
        <w:trPr>
          <w:trHeight w:hRule="exact" w:val="360"/>
        </w:trPr>
        <w:tc>
          <w:tcPr>
            <w:tcW w:w="9576" w:type="dxa"/>
            <w:vAlign w:val="center"/>
          </w:tcPr>
          <w:p w14:paraId="004A1148" w14:textId="77777777" w:rsidR="00D25DBF" w:rsidRPr="008719C7" w:rsidRDefault="00D25DBF" w:rsidP="00C61FDA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8719C7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8719C7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8719C7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070F791B" w14:textId="77777777" w:rsidR="00D25DBF" w:rsidRPr="008719C7" w:rsidRDefault="00D25DBF" w:rsidP="00B4734C">
      <w:pPr>
        <w:keepNext/>
        <w:keepLines/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 w:val="16"/>
          <w:szCs w:val="16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860"/>
      </w:tblGrid>
      <w:tr w:rsidR="006841A6" w:rsidRPr="008719C7" w14:paraId="1C147719" w14:textId="77777777" w:rsidTr="00C61FDA">
        <w:trPr>
          <w:trHeight w:val="144"/>
          <w:tblHeader/>
        </w:trPr>
        <w:tc>
          <w:tcPr>
            <w:tcW w:w="4320" w:type="dxa"/>
          </w:tcPr>
          <w:p w14:paraId="77A5BB40" w14:textId="77777777" w:rsidR="006841A6" w:rsidRPr="008719C7" w:rsidRDefault="006841A6">
            <w:pPr>
              <w:pStyle w:val="Default"/>
              <w:keepNext/>
              <w:keepLines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860" w:type="dxa"/>
          </w:tcPr>
          <w:p w14:paraId="2C0D7A2A" w14:textId="77777777" w:rsidR="006841A6" w:rsidRPr="008719C7" w:rsidRDefault="00AE4A80" w:rsidP="00C61FDA">
            <w:pPr>
              <w:pStyle w:val="Default"/>
              <w:keepNext/>
              <w:keepLines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Mercury</w:t>
            </w:r>
          </w:p>
        </w:tc>
      </w:tr>
      <w:tr w:rsidR="006841A6" w:rsidRPr="008719C7" w14:paraId="353A1717" w14:textId="77777777" w:rsidTr="00C61FDA">
        <w:trPr>
          <w:trHeight w:val="144"/>
        </w:trPr>
        <w:tc>
          <w:tcPr>
            <w:tcW w:w="4320" w:type="dxa"/>
          </w:tcPr>
          <w:p w14:paraId="5829CBC1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Appearance (physical state, color, etc.)</w:t>
            </w:r>
          </w:p>
        </w:tc>
        <w:tc>
          <w:tcPr>
            <w:tcW w:w="4860" w:type="dxa"/>
          </w:tcPr>
          <w:p w14:paraId="567A8480" w14:textId="77777777" w:rsidR="006841A6" w:rsidRPr="008719C7" w:rsidRDefault="00770496">
            <w:pPr>
              <w:pStyle w:val="Default"/>
              <w:tabs>
                <w:tab w:val="left" w:pos="432"/>
              </w:tabs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gray liquid</w:t>
            </w:r>
          </w:p>
        </w:tc>
      </w:tr>
      <w:tr w:rsidR="006841A6" w:rsidRPr="008719C7" w14:paraId="5693F9B0" w14:textId="77777777" w:rsidTr="00C61FDA">
        <w:trPr>
          <w:trHeight w:val="144"/>
        </w:trPr>
        <w:tc>
          <w:tcPr>
            <w:tcW w:w="4320" w:type="dxa"/>
          </w:tcPr>
          <w:p w14:paraId="1094991C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4860" w:type="dxa"/>
          </w:tcPr>
          <w:p w14:paraId="2FC29327" w14:textId="77777777" w:rsidR="006841A6" w:rsidRPr="008719C7" w:rsidRDefault="00770496">
            <w:pPr>
              <w:pStyle w:val="Default"/>
              <w:tabs>
                <w:tab w:val="left" w:pos="432"/>
              </w:tabs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Hg</w:t>
            </w:r>
          </w:p>
        </w:tc>
      </w:tr>
      <w:tr w:rsidR="006841A6" w:rsidRPr="008719C7" w14:paraId="0CA653E3" w14:textId="77777777" w:rsidTr="00C61FDA">
        <w:trPr>
          <w:trHeight w:val="144"/>
        </w:trPr>
        <w:tc>
          <w:tcPr>
            <w:tcW w:w="4320" w:type="dxa"/>
          </w:tcPr>
          <w:p w14:paraId="05DEA976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sz w:val="20"/>
                <w:szCs w:val="20"/>
              </w:rPr>
              <w:t>Molar Mass (g/</w:t>
            </w:r>
            <w:proofErr w:type="spellStart"/>
            <w:r w:rsidRPr="008719C7">
              <w:rPr>
                <w:b/>
                <w:sz w:val="20"/>
                <w:szCs w:val="20"/>
              </w:rPr>
              <w:t>mol</w:t>
            </w:r>
            <w:proofErr w:type="spellEnd"/>
            <w:r w:rsidRPr="008719C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860" w:type="dxa"/>
          </w:tcPr>
          <w:p w14:paraId="4A17C326" w14:textId="77777777" w:rsidR="006841A6" w:rsidRPr="008719C7" w:rsidRDefault="00770496">
            <w:pPr>
              <w:pStyle w:val="Default"/>
              <w:tabs>
                <w:tab w:val="left" w:pos="432"/>
              </w:tabs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200.59</w:t>
            </w:r>
          </w:p>
        </w:tc>
      </w:tr>
      <w:tr w:rsidR="006841A6" w:rsidRPr="008719C7" w14:paraId="12C358E2" w14:textId="77777777" w:rsidTr="00C61FDA">
        <w:trPr>
          <w:trHeight w:val="144"/>
        </w:trPr>
        <w:tc>
          <w:tcPr>
            <w:tcW w:w="4320" w:type="dxa"/>
          </w:tcPr>
          <w:p w14:paraId="63ECDF17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4860" w:type="dxa"/>
          </w:tcPr>
          <w:p w14:paraId="113754F8" w14:textId="77777777" w:rsidR="006841A6" w:rsidRPr="008719C7" w:rsidRDefault="00770496">
            <w:pPr>
              <w:pStyle w:val="Default"/>
              <w:tabs>
                <w:tab w:val="left" w:pos="432"/>
              </w:tabs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6841A6" w:rsidRPr="008719C7" w14:paraId="1CF9DC02" w14:textId="77777777" w:rsidTr="00C61FDA">
        <w:trPr>
          <w:trHeight w:val="144"/>
        </w:trPr>
        <w:tc>
          <w:tcPr>
            <w:tcW w:w="4320" w:type="dxa"/>
          </w:tcPr>
          <w:p w14:paraId="6B357EB6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Odor threshold</w:t>
            </w:r>
          </w:p>
        </w:tc>
        <w:tc>
          <w:tcPr>
            <w:tcW w:w="4860" w:type="dxa"/>
          </w:tcPr>
          <w:p w14:paraId="7E4AF730" w14:textId="77777777" w:rsidR="006841A6" w:rsidRPr="008719C7" w:rsidRDefault="00770496">
            <w:pPr>
              <w:pStyle w:val="Default"/>
              <w:tabs>
                <w:tab w:val="left" w:pos="432"/>
              </w:tabs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7533D7AD" w14:textId="77777777" w:rsidTr="00C61FDA">
        <w:trPr>
          <w:trHeight w:val="144"/>
        </w:trPr>
        <w:tc>
          <w:tcPr>
            <w:tcW w:w="4320" w:type="dxa"/>
          </w:tcPr>
          <w:p w14:paraId="3879FE09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4860" w:type="dxa"/>
          </w:tcPr>
          <w:p w14:paraId="3B1379C9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3E21C49F" w14:textId="77777777" w:rsidTr="00C61FDA">
        <w:trPr>
          <w:trHeight w:val="144"/>
        </w:trPr>
        <w:tc>
          <w:tcPr>
            <w:tcW w:w="4320" w:type="dxa"/>
          </w:tcPr>
          <w:p w14:paraId="60E608DF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4860" w:type="dxa"/>
          </w:tcPr>
          <w:p w14:paraId="73EF4B1E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4C445788" w14:textId="77777777" w:rsidTr="00C61FDA">
        <w:trPr>
          <w:trHeight w:val="144"/>
        </w:trPr>
        <w:tc>
          <w:tcPr>
            <w:tcW w:w="4320" w:type="dxa"/>
          </w:tcPr>
          <w:p w14:paraId="3080D204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4860" w:type="dxa"/>
          </w:tcPr>
          <w:p w14:paraId="5905BD84" w14:textId="5B35D9BC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– 39 °C</w:t>
            </w:r>
            <w:r w:rsidR="00251CE7">
              <w:rPr>
                <w:color w:val="auto"/>
                <w:sz w:val="20"/>
                <w:szCs w:val="20"/>
              </w:rPr>
              <w:t xml:space="preserve"> (</w:t>
            </w:r>
            <w:r w:rsidR="00251CE7" w:rsidRPr="008719C7">
              <w:rPr>
                <w:color w:val="auto"/>
                <w:sz w:val="20"/>
                <w:szCs w:val="20"/>
              </w:rPr>
              <w:t>– 3</w:t>
            </w:r>
            <w:r w:rsidR="00251CE7">
              <w:rPr>
                <w:color w:val="auto"/>
                <w:sz w:val="20"/>
                <w:szCs w:val="20"/>
              </w:rPr>
              <w:t>8.2</w:t>
            </w:r>
            <w:r w:rsidR="00251CE7" w:rsidRPr="008719C7">
              <w:rPr>
                <w:color w:val="auto"/>
                <w:sz w:val="20"/>
                <w:szCs w:val="20"/>
              </w:rPr>
              <w:t> °</w:t>
            </w:r>
            <w:r w:rsidR="00251CE7">
              <w:rPr>
                <w:color w:val="auto"/>
                <w:sz w:val="20"/>
                <w:szCs w:val="20"/>
              </w:rPr>
              <w:t>F)</w:t>
            </w:r>
          </w:p>
        </w:tc>
      </w:tr>
      <w:tr w:rsidR="006841A6" w:rsidRPr="008719C7" w14:paraId="07EF8C1D" w14:textId="77777777" w:rsidTr="00C61FDA">
        <w:trPr>
          <w:trHeight w:val="144"/>
        </w:trPr>
        <w:tc>
          <w:tcPr>
            <w:tcW w:w="4320" w:type="dxa"/>
          </w:tcPr>
          <w:p w14:paraId="74DEC96E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Relative Density</w:t>
            </w:r>
            <w:r w:rsidRPr="008719C7">
              <w:rPr>
                <w:color w:val="auto"/>
                <w:sz w:val="20"/>
                <w:szCs w:val="20"/>
              </w:rPr>
              <w:t xml:space="preserve"> </w:t>
            </w:r>
            <w:r w:rsidR="00AE4A80" w:rsidRPr="008719C7">
              <w:rPr>
                <w:color w:val="auto"/>
                <w:sz w:val="20"/>
                <w:szCs w:val="20"/>
              </w:rPr>
              <w:t>(</w:t>
            </w:r>
            <w:r w:rsidRPr="008719C7">
              <w:rPr>
                <w:color w:val="auto"/>
                <w:sz w:val="20"/>
                <w:szCs w:val="20"/>
              </w:rPr>
              <w:t>as specific gravity water = 1)</w:t>
            </w:r>
          </w:p>
        </w:tc>
        <w:tc>
          <w:tcPr>
            <w:tcW w:w="4860" w:type="dxa"/>
          </w:tcPr>
          <w:p w14:paraId="21E276AD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13.5939</w:t>
            </w:r>
          </w:p>
        </w:tc>
      </w:tr>
      <w:tr w:rsidR="006841A6" w:rsidRPr="008719C7" w14:paraId="79CE3087" w14:textId="77777777" w:rsidTr="00C61FDA">
        <w:trPr>
          <w:trHeight w:val="144"/>
        </w:trPr>
        <w:tc>
          <w:tcPr>
            <w:tcW w:w="4320" w:type="dxa"/>
          </w:tcPr>
          <w:p w14:paraId="0BDEF008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Vapor Pressure</w:t>
            </w:r>
          </w:p>
        </w:tc>
        <w:tc>
          <w:tcPr>
            <w:tcW w:w="4860" w:type="dxa"/>
          </w:tcPr>
          <w:p w14:paraId="02AB1EEE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0.002 mmHg at 25 °C</w:t>
            </w:r>
          </w:p>
        </w:tc>
      </w:tr>
      <w:tr w:rsidR="006841A6" w:rsidRPr="008719C7" w14:paraId="48556325" w14:textId="77777777" w:rsidTr="00C61FDA">
        <w:trPr>
          <w:trHeight w:val="144"/>
        </w:trPr>
        <w:tc>
          <w:tcPr>
            <w:tcW w:w="4320" w:type="dxa"/>
          </w:tcPr>
          <w:p w14:paraId="7628A15B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4860" w:type="dxa"/>
          </w:tcPr>
          <w:p w14:paraId="0FC309A3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7</w:t>
            </w:r>
          </w:p>
        </w:tc>
      </w:tr>
      <w:tr w:rsidR="006841A6" w:rsidRPr="008719C7" w14:paraId="240AD92A" w14:textId="77777777" w:rsidTr="00C61FDA">
        <w:trPr>
          <w:trHeight w:val="144"/>
        </w:trPr>
        <w:tc>
          <w:tcPr>
            <w:tcW w:w="4320" w:type="dxa"/>
          </w:tcPr>
          <w:p w14:paraId="0EC94D5F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Viscosity (</w:t>
            </w:r>
            <w:proofErr w:type="spellStart"/>
            <w:r w:rsidRPr="008719C7">
              <w:rPr>
                <w:b/>
                <w:color w:val="auto"/>
                <w:sz w:val="20"/>
                <w:szCs w:val="20"/>
              </w:rPr>
              <w:t>cP</w:t>
            </w:r>
            <w:proofErr w:type="spellEnd"/>
            <w:r w:rsidRPr="008719C7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4860" w:type="dxa"/>
          </w:tcPr>
          <w:p w14:paraId="5BAA0190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 xml:space="preserve">1.55 </w:t>
            </w:r>
            <w:proofErr w:type="spellStart"/>
            <w:r w:rsidRPr="008719C7">
              <w:rPr>
                <w:color w:val="auto"/>
                <w:sz w:val="20"/>
                <w:szCs w:val="20"/>
              </w:rPr>
              <w:t>cP</w:t>
            </w:r>
            <w:proofErr w:type="spellEnd"/>
            <w:r w:rsidRPr="008719C7">
              <w:rPr>
                <w:color w:val="auto"/>
                <w:sz w:val="20"/>
                <w:szCs w:val="20"/>
              </w:rPr>
              <w:t xml:space="preserve"> at 20 °C</w:t>
            </w:r>
          </w:p>
        </w:tc>
      </w:tr>
      <w:tr w:rsidR="006841A6" w:rsidRPr="008719C7" w14:paraId="26FD4148" w14:textId="77777777" w:rsidTr="00C61FDA">
        <w:trPr>
          <w:trHeight w:val="144"/>
        </w:trPr>
        <w:tc>
          <w:tcPr>
            <w:tcW w:w="4320" w:type="dxa"/>
          </w:tcPr>
          <w:p w14:paraId="4F39F0A8" w14:textId="77777777" w:rsidR="006841A6" w:rsidRPr="008719C7" w:rsidRDefault="006841A6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8719C7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8719C7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4860" w:type="dxa"/>
          </w:tcPr>
          <w:p w14:paraId="7CD2330C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 xml:space="preserve">insoluble in water, alcohol, ether, hydrochloric acid, hydrogen bromide, and hydrogen </w:t>
            </w:r>
            <w:r w:rsidR="00AE4A80" w:rsidRPr="008719C7">
              <w:rPr>
                <w:color w:val="auto"/>
                <w:sz w:val="20"/>
                <w:szCs w:val="20"/>
              </w:rPr>
              <w:t>iodide</w:t>
            </w:r>
            <w:r w:rsidRPr="008719C7">
              <w:rPr>
                <w:color w:val="auto"/>
                <w:sz w:val="20"/>
                <w:szCs w:val="20"/>
              </w:rPr>
              <w:t xml:space="preserve">;  </w:t>
            </w:r>
            <w:r w:rsidR="00AE4A80" w:rsidRPr="008719C7">
              <w:rPr>
                <w:color w:val="auto"/>
                <w:sz w:val="20"/>
                <w:szCs w:val="20"/>
              </w:rPr>
              <w:br/>
            </w:r>
            <w:r w:rsidRPr="008719C7">
              <w:rPr>
                <w:color w:val="auto"/>
                <w:sz w:val="20"/>
                <w:szCs w:val="20"/>
              </w:rPr>
              <w:t>soluble in hot sulfuric acid, nitric aci</w:t>
            </w:r>
            <w:r w:rsidR="00AE4A80" w:rsidRPr="008719C7">
              <w:rPr>
                <w:color w:val="auto"/>
                <w:sz w:val="20"/>
                <w:szCs w:val="20"/>
              </w:rPr>
              <w:t>d and lipids.</w:t>
            </w:r>
          </w:p>
        </w:tc>
      </w:tr>
      <w:tr w:rsidR="006841A6" w:rsidRPr="008719C7" w14:paraId="6BA255D3" w14:textId="77777777" w:rsidTr="00C61FDA">
        <w:trPr>
          <w:trHeight w:val="144"/>
        </w:trPr>
        <w:tc>
          <w:tcPr>
            <w:tcW w:w="4320" w:type="dxa"/>
          </w:tcPr>
          <w:p w14:paraId="5CBE2C9D" w14:textId="77777777" w:rsidR="006841A6" w:rsidRPr="008719C7" w:rsidRDefault="006841A6" w:rsidP="00B4734C">
            <w:pPr>
              <w:pStyle w:val="Default"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Partition coefficient (n-octanol/water)</w:t>
            </w:r>
          </w:p>
        </w:tc>
        <w:tc>
          <w:tcPr>
            <w:tcW w:w="4860" w:type="dxa"/>
          </w:tcPr>
          <w:p w14:paraId="06C26B7D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70E44E86" w14:textId="77777777" w:rsidTr="00C61FDA">
        <w:trPr>
          <w:trHeight w:val="144"/>
        </w:trPr>
        <w:tc>
          <w:tcPr>
            <w:tcW w:w="4320" w:type="dxa"/>
          </w:tcPr>
          <w:p w14:paraId="4DC3816D" w14:textId="77777777" w:rsidR="006841A6" w:rsidRPr="008719C7" w:rsidRDefault="006841A6" w:rsidP="00B4734C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4860" w:type="dxa"/>
          </w:tcPr>
          <w:p w14:paraId="60492383" w14:textId="77777777" w:rsidR="006841A6" w:rsidRPr="008719C7" w:rsidRDefault="006841A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</w:p>
        </w:tc>
      </w:tr>
      <w:tr w:rsidR="006841A6" w:rsidRPr="008719C7" w14:paraId="5F7E83A8" w14:textId="77777777" w:rsidTr="00C61FDA">
        <w:trPr>
          <w:trHeight w:val="144"/>
        </w:trPr>
        <w:tc>
          <w:tcPr>
            <w:tcW w:w="4320" w:type="dxa"/>
          </w:tcPr>
          <w:p w14:paraId="01A56724" w14:textId="77777777" w:rsidR="006841A6" w:rsidRPr="008719C7" w:rsidRDefault="006841A6" w:rsidP="00B4734C">
            <w:pPr>
              <w:pStyle w:val="Default"/>
              <w:keepNext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Autoignition Temperature</w:t>
            </w:r>
          </w:p>
        </w:tc>
        <w:tc>
          <w:tcPr>
            <w:tcW w:w="4860" w:type="dxa"/>
          </w:tcPr>
          <w:p w14:paraId="41727851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3056EF8D" w14:textId="77777777" w:rsidTr="00C61FDA">
        <w:trPr>
          <w:trHeight w:val="144"/>
        </w:trPr>
        <w:tc>
          <w:tcPr>
            <w:tcW w:w="4320" w:type="dxa"/>
          </w:tcPr>
          <w:p w14:paraId="138DAD3C" w14:textId="77777777" w:rsidR="006841A6" w:rsidRPr="008719C7" w:rsidRDefault="006841A6" w:rsidP="00B4734C">
            <w:pPr>
              <w:pStyle w:val="Default"/>
              <w:keepNext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4860" w:type="dxa"/>
          </w:tcPr>
          <w:p w14:paraId="3D3B8B2C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5DDC7446" w14:textId="77777777" w:rsidTr="00C61FDA">
        <w:trPr>
          <w:trHeight w:val="144"/>
        </w:trPr>
        <w:tc>
          <w:tcPr>
            <w:tcW w:w="4320" w:type="dxa"/>
          </w:tcPr>
          <w:p w14:paraId="1230C287" w14:textId="77777777" w:rsidR="006841A6" w:rsidRPr="008719C7" w:rsidRDefault="006841A6" w:rsidP="00B4734C">
            <w:pPr>
              <w:pStyle w:val="Default"/>
              <w:keepNext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4860" w:type="dxa"/>
          </w:tcPr>
          <w:p w14:paraId="73A36166" w14:textId="11792271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357 °C</w:t>
            </w:r>
            <w:r w:rsidR="00251CE7">
              <w:rPr>
                <w:color w:val="auto"/>
                <w:sz w:val="20"/>
                <w:szCs w:val="20"/>
              </w:rPr>
              <w:t xml:space="preserve"> (675</w:t>
            </w:r>
            <w:r w:rsidR="00251CE7" w:rsidRPr="008719C7">
              <w:rPr>
                <w:color w:val="auto"/>
                <w:sz w:val="20"/>
                <w:szCs w:val="20"/>
              </w:rPr>
              <w:t> °</w:t>
            </w:r>
            <w:r w:rsidR="00251CE7">
              <w:rPr>
                <w:color w:val="auto"/>
                <w:sz w:val="20"/>
                <w:szCs w:val="20"/>
              </w:rPr>
              <w:t>F)</w:t>
            </w:r>
          </w:p>
        </w:tc>
      </w:tr>
      <w:tr w:rsidR="006841A6" w:rsidRPr="008719C7" w14:paraId="0B80A445" w14:textId="77777777" w:rsidTr="00C61FDA">
        <w:trPr>
          <w:trHeight w:val="144"/>
        </w:trPr>
        <w:tc>
          <w:tcPr>
            <w:tcW w:w="4320" w:type="dxa"/>
          </w:tcPr>
          <w:p w14:paraId="6D6582C2" w14:textId="77777777" w:rsidR="006841A6" w:rsidRPr="008719C7" w:rsidRDefault="006841A6" w:rsidP="00B4734C">
            <w:pPr>
              <w:pStyle w:val="Default"/>
              <w:keepNext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4860" w:type="dxa"/>
          </w:tcPr>
          <w:p w14:paraId="6A564ACE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474682EF" w14:textId="77777777" w:rsidTr="00C61FDA">
        <w:trPr>
          <w:trHeight w:val="144"/>
        </w:trPr>
        <w:tc>
          <w:tcPr>
            <w:tcW w:w="4320" w:type="dxa"/>
          </w:tcPr>
          <w:p w14:paraId="612A9FF7" w14:textId="77777777" w:rsidR="006841A6" w:rsidRPr="008719C7" w:rsidRDefault="006841A6" w:rsidP="00B4734C">
            <w:pPr>
              <w:pStyle w:val="Default"/>
              <w:keepNext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4860" w:type="dxa"/>
          </w:tcPr>
          <w:p w14:paraId="3B47A9B6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0B4FC710" w14:textId="77777777" w:rsidTr="00C61FDA">
        <w:trPr>
          <w:trHeight w:val="144"/>
        </w:trPr>
        <w:tc>
          <w:tcPr>
            <w:tcW w:w="4320" w:type="dxa"/>
          </w:tcPr>
          <w:p w14:paraId="7719E02A" w14:textId="77777777" w:rsidR="006841A6" w:rsidRPr="008719C7" w:rsidRDefault="006841A6" w:rsidP="00B4734C">
            <w:pPr>
              <w:pStyle w:val="Default"/>
              <w:keepNext/>
              <w:spacing w:before="40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4860" w:type="dxa"/>
          </w:tcPr>
          <w:p w14:paraId="36B9A731" w14:textId="77777777" w:rsidR="006841A6" w:rsidRPr="008719C7" w:rsidRDefault="00770496">
            <w:pPr>
              <w:pStyle w:val="Default"/>
              <w:spacing w:before="40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841A6" w:rsidRPr="008719C7" w14:paraId="486E7068" w14:textId="77777777" w:rsidTr="00C61FDA">
        <w:trPr>
          <w:trHeight w:val="144"/>
        </w:trPr>
        <w:tc>
          <w:tcPr>
            <w:tcW w:w="4320" w:type="dxa"/>
          </w:tcPr>
          <w:p w14:paraId="0E947680" w14:textId="77777777" w:rsidR="006841A6" w:rsidRPr="008719C7" w:rsidRDefault="006841A6" w:rsidP="00B4734C">
            <w:pPr>
              <w:pStyle w:val="Default"/>
              <w:ind w:left="162"/>
              <w:rPr>
                <w:b/>
                <w:color w:val="auto"/>
                <w:sz w:val="20"/>
                <w:szCs w:val="20"/>
              </w:rPr>
            </w:pPr>
            <w:r w:rsidRPr="008719C7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4860" w:type="dxa"/>
          </w:tcPr>
          <w:p w14:paraId="7092BD20" w14:textId="77777777" w:rsidR="006841A6" w:rsidRPr="008719C7" w:rsidRDefault="00770496">
            <w:pPr>
              <w:pStyle w:val="Default"/>
              <w:ind w:left="162"/>
              <w:rPr>
                <w:color w:val="auto"/>
                <w:sz w:val="20"/>
                <w:szCs w:val="20"/>
              </w:rPr>
            </w:pPr>
            <w:r w:rsidRPr="008719C7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4FDB2251" w14:textId="77777777" w:rsidR="003045F2" w:rsidRPr="008719C7" w:rsidRDefault="003045F2" w:rsidP="00B4734C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8719C7" w14:paraId="03C0A7C8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24C063C8" w14:textId="77777777" w:rsidR="003045F2" w:rsidRPr="008719C7" w:rsidRDefault="003045F2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8719C7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10F15902" w14:textId="77777777" w:rsidR="00F4046F" w:rsidRPr="008719C7" w:rsidRDefault="00F4046F" w:rsidP="00B4734C">
      <w:pPr>
        <w:widowControl/>
        <w:spacing w:before="120" w:after="120" w:line="240" w:lineRule="auto"/>
        <w:rPr>
          <w:szCs w:val="20"/>
        </w:rPr>
      </w:pPr>
      <w:r w:rsidRPr="008719C7">
        <w:rPr>
          <w:b/>
          <w:szCs w:val="20"/>
        </w:rPr>
        <w:t>Reactivity:</w:t>
      </w:r>
      <w:r w:rsidR="00383F47" w:rsidRPr="008719C7">
        <w:rPr>
          <w:szCs w:val="20"/>
        </w:rPr>
        <w:t xml:space="preserve">  </w:t>
      </w:r>
      <w:r w:rsidR="00B90ACA" w:rsidRPr="008719C7">
        <w:rPr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8719C7" w14:paraId="4BE0EE6D" w14:textId="77777777" w:rsidTr="00EB5E4A">
        <w:tc>
          <w:tcPr>
            <w:tcW w:w="1440" w:type="dxa"/>
            <w:vAlign w:val="center"/>
          </w:tcPr>
          <w:p w14:paraId="15F061CB" w14:textId="77777777" w:rsidR="00F4046F" w:rsidRPr="008719C7" w:rsidRDefault="00F4046F">
            <w:pPr>
              <w:widowControl/>
              <w:spacing w:after="0" w:line="240" w:lineRule="auto"/>
              <w:ind w:firstLine="342"/>
              <w:rPr>
                <w:b/>
                <w:szCs w:val="20"/>
              </w:rPr>
            </w:pPr>
            <w:r w:rsidRPr="008719C7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1E467D6" w14:textId="77777777" w:rsidR="00F4046F" w:rsidRPr="008719C7" w:rsidRDefault="00A14B09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72705455" w14:textId="77777777" w:rsidR="00F4046F" w:rsidRPr="008719C7" w:rsidRDefault="00F4046F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A6027AE" w14:textId="77777777" w:rsidR="00F4046F" w:rsidRPr="008719C7" w:rsidRDefault="00F4046F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35DF2025" w14:textId="77777777" w:rsidR="00F4046F" w:rsidRPr="008719C7" w:rsidRDefault="00F4046F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Unstable</w:t>
            </w:r>
          </w:p>
        </w:tc>
      </w:tr>
    </w:tbl>
    <w:p w14:paraId="0F27B447" w14:textId="77777777" w:rsidR="00D2295A" w:rsidRPr="008719C7" w:rsidRDefault="00D2295A" w:rsidP="00B4734C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Possible Hazardous Reactions</w:t>
      </w:r>
      <w:r w:rsidR="00A00A2B" w:rsidRPr="008719C7">
        <w:rPr>
          <w:rFonts w:eastAsia="Times New Roman"/>
          <w:b/>
          <w:bCs/>
          <w:szCs w:val="20"/>
        </w:rPr>
        <w:t>:</w:t>
      </w:r>
      <w:r w:rsidR="00A00A2B" w:rsidRPr="008719C7">
        <w:rPr>
          <w:rFonts w:eastAsia="Times New Roman"/>
          <w:bCs/>
          <w:szCs w:val="20"/>
        </w:rPr>
        <w:t xml:space="preserve">  </w:t>
      </w:r>
      <w:r w:rsidR="006821C7" w:rsidRPr="008719C7">
        <w:rPr>
          <w:rFonts w:eastAsia="Times New Roman"/>
          <w:bCs/>
          <w:szCs w:val="20"/>
        </w:rPr>
        <w:t>None listed.</w:t>
      </w:r>
    </w:p>
    <w:p w14:paraId="013BB1C2" w14:textId="77777777" w:rsidR="006821C7" w:rsidRPr="008719C7" w:rsidRDefault="006821C7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Conditions to Avoid:</w:t>
      </w:r>
      <w:r w:rsidRPr="008719C7">
        <w:rPr>
          <w:rFonts w:eastAsia="Times New Roman"/>
          <w:bCs/>
          <w:szCs w:val="20"/>
        </w:rPr>
        <w:t xml:space="preserve">  </w:t>
      </w:r>
      <w:r w:rsidR="00D25DBF" w:rsidRPr="008719C7">
        <w:rPr>
          <w:rFonts w:eastAsia="Times New Roman"/>
          <w:bCs/>
          <w:szCs w:val="20"/>
        </w:rPr>
        <w:t>Contact with combustible or incompatible materials</w:t>
      </w:r>
      <w:r w:rsidR="004F1C1D" w:rsidRPr="008719C7">
        <w:rPr>
          <w:rFonts w:eastAsia="Times New Roman"/>
          <w:bCs/>
          <w:szCs w:val="20"/>
        </w:rPr>
        <w:t>.</w:t>
      </w:r>
    </w:p>
    <w:p w14:paraId="6A1F0829" w14:textId="6CE4C415" w:rsidR="006821C7" w:rsidRPr="008719C7" w:rsidRDefault="006821C7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Incompatible Materials:</w:t>
      </w:r>
      <w:r w:rsidRPr="008719C7">
        <w:rPr>
          <w:rFonts w:eastAsia="Times New Roman"/>
          <w:bCs/>
          <w:szCs w:val="20"/>
        </w:rPr>
        <w:t xml:space="preserve">  </w:t>
      </w:r>
      <w:r w:rsidR="00610128" w:rsidRPr="008719C7">
        <w:rPr>
          <w:rFonts w:eastAsia="Times New Roman"/>
          <w:bCs/>
          <w:szCs w:val="20"/>
        </w:rPr>
        <w:t>Acids, combustible materials, amines, oxidizing materials, metals, halogens, metal carbide</w:t>
      </w:r>
      <w:r w:rsidR="000A33A4" w:rsidRPr="008719C7">
        <w:rPr>
          <w:rFonts w:eastAsia="Times New Roman"/>
          <w:bCs/>
          <w:szCs w:val="20"/>
        </w:rPr>
        <w:t>.</w:t>
      </w:r>
    </w:p>
    <w:p w14:paraId="4388FEF0" w14:textId="77777777" w:rsidR="006821C7" w:rsidRPr="008719C7" w:rsidRDefault="006821C7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Fire/Explosion Information:  </w:t>
      </w:r>
      <w:r w:rsidRPr="008719C7">
        <w:rPr>
          <w:rFonts w:eastAsia="Times New Roman"/>
          <w:szCs w:val="20"/>
        </w:rPr>
        <w:t>See Section 5, “Fire Fighting Measures”.</w:t>
      </w:r>
    </w:p>
    <w:p w14:paraId="79A90DA8" w14:textId="77777777" w:rsidR="006821C7" w:rsidRPr="008719C7" w:rsidRDefault="006821C7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Hazardous Decomposition:</w:t>
      </w:r>
      <w:r w:rsidRPr="008719C7">
        <w:rPr>
          <w:rFonts w:eastAsia="Times New Roman"/>
          <w:bCs/>
          <w:szCs w:val="20"/>
        </w:rPr>
        <w:t xml:space="preserve">  </w:t>
      </w:r>
      <w:r w:rsidR="00D25DBF" w:rsidRPr="008719C7">
        <w:rPr>
          <w:rFonts w:eastAsia="Times New Roman"/>
          <w:bCs/>
          <w:szCs w:val="20"/>
        </w:rPr>
        <w:t xml:space="preserve">Thermal decomposition will produce oxides of </w:t>
      </w:r>
      <w:r w:rsidR="000B0595" w:rsidRPr="008719C7">
        <w:rPr>
          <w:rFonts w:eastAsia="Times New Roman"/>
          <w:bCs/>
          <w:szCs w:val="20"/>
        </w:rPr>
        <w:t xml:space="preserve">nitrogen and </w:t>
      </w:r>
      <w:r w:rsidR="004B09CF" w:rsidRPr="008719C7">
        <w:rPr>
          <w:rFonts w:eastAsia="Times New Roman"/>
          <w:bCs/>
          <w:szCs w:val="20"/>
        </w:rPr>
        <w:t>mercury</w:t>
      </w:r>
      <w:r w:rsidRPr="008719C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:rsidRPr="008719C7" w14:paraId="682E12FE" w14:textId="77777777" w:rsidTr="004A6E3F">
        <w:tc>
          <w:tcPr>
            <w:tcW w:w="2592" w:type="dxa"/>
            <w:vAlign w:val="center"/>
          </w:tcPr>
          <w:p w14:paraId="657DE961" w14:textId="77777777" w:rsidR="00881C3C" w:rsidRPr="008719C7" w:rsidRDefault="00881C3C">
            <w:pPr>
              <w:widowControl/>
              <w:spacing w:after="0" w:line="240" w:lineRule="auto"/>
              <w:ind w:left="-108" w:right="-187"/>
              <w:rPr>
                <w:b/>
                <w:szCs w:val="20"/>
              </w:rPr>
            </w:pPr>
            <w:r w:rsidRPr="008719C7">
              <w:rPr>
                <w:rFonts w:eastAsia="Times New Roman"/>
                <w:b/>
                <w:bCs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A6F181D" w14:textId="77777777" w:rsidR="00881C3C" w:rsidRPr="008719C7" w:rsidRDefault="00881C3C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2FCDD44" w14:textId="77777777" w:rsidR="00881C3C" w:rsidRPr="008719C7" w:rsidRDefault="00881C3C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C12D2E" w14:textId="77777777" w:rsidR="00881C3C" w:rsidRPr="008719C7" w:rsidRDefault="00881C3C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42EF0F63" w14:textId="77777777" w:rsidR="00881C3C" w:rsidRPr="008719C7" w:rsidRDefault="00881C3C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4A9B85CC" w14:textId="77777777" w:rsidR="00820B71" w:rsidRPr="008719C7" w:rsidRDefault="00820B71" w:rsidP="00C61FDA">
      <w:pPr>
        <w:widowControl/>
        <w:spacing w:after="0"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:rsidRPr="008719C7" w14:paraId="0A28BED8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4B68AFB0" w14:textId="77777777" w:rsidR="00783F68" w:rsidRPr="008719C7" w:rsidRDefault="00783F68" w:rsidP="00B4734C">
            <w:pPr>
              <w:keepNext/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11. T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OXICOLOGICAL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582E1805" w14:textId="77777777" w:rsidR="000062AB" w:rsidRPr="008719C7" w:rsidRDefault="000062AB" w:rsidP="00C61FDA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8719C7" w14:paraId="11876F3C" w14:textId="77777777" w:rsidTr="004E7C12">
        <w:tc>
          <w:tcPr>
            <w:tcW w:w="2016" w:type="dxa"/>
            <w:vAlign w:val="center"/>
          </w:tcPr>
          <w:p w14:paraId="7B5C5074" w14:textId="77777777" w:rsidR="00EB5E4A" w:rsidRPr="008719C7" w:rsidRDefault="00EB5E4A" w:rsidP="00B4734C">
            <w:pPr>
              <w:widowControl/>
              <w:spacing w:after="0" w:line="240" w:lineRule="auto"/>
              <w:ind w:left="-108"/>
              <w:rPr>
                <w:b/>
                <w:szCs w:val="20"/>
              </w:rPr>
            </w:pPr>
            <w:r w:rsidRPr="008719C7">
              <w:rPr>
                <w:rFonts w:eastAsia="Times New Roman"/>
                <w:b/>
                <w:bCs/>
                <w:szCs w:val="20"/>
              </w:rPr>
              <w:t xml:space="preserve">Route of </w:t>
            </w:r>
            <w:r w:rsidR="00957B26" w:rsidRPr="008719C7">
              <w:rPr>
                <w:rFonts w:eastAsia="Times New Roman"/>
                <w:b/>
                <w:bCs/>
                <w:szCs w:val="20"/>
              </w:rPr>
              <w:t>Exposure</w:t>
            </w:r>
            <w:r w:rsidRPr="008719C7">
              <w:rPr>
                <w:rFonts w:eastAsia="Times New Roman"/>
                <w:b/>
                <w:bCs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F876DC6" w14:textId="77777777" w:rsidR="00EB5E4A" w:rsidRPr="008719C7" w:rsidRDefault="006C412A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98B13AE" w14:textId="77777777" w:rsidR="00EB5E4A" w:rsidRPr="008719C7" w:rsidRDefault="00EB5E4A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577ED061" w14:textId="77777777" w:rsidR="00EB5E4A" w:rsidRPr="008719C7" w:rsidRDefault="00D25DBF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370CEEBB" w14:textId="77777777" w:rsidR="00EB5E4A" w:rsidRPr="008719C7" w:rsidRDefault="00EB5E4A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62F5F71" w14:textId="77777777" w:rsidR="00EB5E4A" w:rsidRPr="008719C7" w:rsidRDefault="00D25DBF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626D2DEB" w14:textId="77777777" w:rsidR="00EB5E4A" w:rsidRPr="008719C7" w:rsidRDefault="00EB5E4A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Ingestion</w:t>
            </w:r>
          </w:p>
        </w:tc>
      </w:tr>
    </w:tbl>
    <w:p w14:paraId="13C302A1" w14:textId="2DD0C01C" w:rsidR="00E014A4" w:rsidRPr="008719C7" w:rsidRDefault="00E014A4" w:rsidP="00B4734C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8719C7">
        <w:rPr>
          <w:rFonts w:eastAsia="Times New Roman"/>
          <w:bCs/>
          <w:szCs w:val="20"/>
        </w:rPr>
        <w:t xml:space="preserve">  </w:t>
      </w:r>
      <w:r w:rsidR="001121E8" w:rsidRPr="008719C7">
        <w:rPr>
          <w:bCs/>
        </w:rPr>
        <w:t>Damage to the nervous system, kidneys, and lungs caused by mercury poisoning.</w:t>
      </w:r>
    </w:p>
    <w:p w14:paraId="3B4885F3" w14:textId="77777777" w:rsidR="00A00A2B" w:rsidRPr="008719C7" w:rsidRDefault="00EB5E4A">
      <w:pPr>
        <w:keepNext/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Potential Health Effects (Acute</w:t>
      </w:r>
      <w:r w:rsidR="00957B26" w:rsidRPr="008719C7">
        <w:rPr>
          <w:rFonts w:eastAsia="Times New Roman"/>
          <w:b/>
          <w:bCs/>
          <w:szCs w:val="20"/>
        </w:rPr>
        <w:t>,</w:t>
      </w:r>
      <w:r w:rsidRPr="008719C7">
        <w:rPr>
          <w:rFonts w:eastAsia="Times New Roman"/>
          <w:b/>
          <w:bCs/>
          <w:szCs w:val="20"/>
        </w:rPr>
        <w:t xml:space="preserve"> </w:t>
      </w:r>
      <w:r w:rsidR="00957B26" w:rsidRPr="008719C7">
        <w:rPr>
          <w:rFonts w:eastAsia="Times New Roman"/>
          <w:b/>
          <w:bCs/>
          <w:szCs w:val="20"/>
        </w:rPr>
        <w:t>C</w:t>
      </w:r>
      <w:r w:rsidRPr="008719C7">
        <w:rPr>
          <w:rFonts w:eastAsia="Times New Roman"/>
          <w:b/>
          <w:bCs/>
          <w:szCs w:val="20"/>
        </w:rPr>
        <w:t>hronic</w:t>
      </w:r>
      <w:r w:rsidR="00957B26" w:rsidRPr="008719C7">
        <w:rPr>
          <w:rFonts w:eastAsia="Times New Roman"/>
          <w:b/>
          <w:bCs/>
          <w:szCs w:val="20"/>
        </w:rPr>
        <w:t xml:space="preserve"> and Delayed</w:t>
      </w:r>
      <w:r w:rsidRPr="008719C7">
        <w:rPr>
          <w:rFonts w:eastAsia="Times New Roman"/>
          <w:b/>
          <w:bCs/>
          <w:szCs w:val="20"/>
        </w:rPr>
        <w:t>)</w:t>
      </w:r>
      <w:r w:rsidR="004E7C12" w:rsidRPr="008719C7">
        <w:rPr>
          <w:rFonts w:eastAsia="Times New Roman"/>
          <w:b/>
          <w:bCs/>
          <w:szCs w:val="20"/>
        </w:rPr>
        <w:t>:</w:t>
      </w:r>
    </w:p>
    <w:p w14:paraId="68477C3D" w14:textId="77777777" w:rsidR="00770496" w:rsidRPr="008719C7" w:rsidRDefault="00770496">
      <w:pPr>
        <w:widowControl/>
        <w:spacing w:after="60" w:line="240" w:lineRule="auto"/>
        <w:ind w:left="446"/>
        <w:rPr>
          <w:bCs/>
        </w:rPr>
      </w:pPr>
      <w:r w:rsidRPr="008719C7">
        <w:rPr>
          <w:b/>
          <w:bCs/>
        </w:rPr>
        <w:t>Inhalation:</w:t>
      </w:r>
      <w:r w:rsidRPr="008719C7">
        <w:rPr>
          <w:bCs/>
        </w:rPr>
        <w:t xml:space="preserve"> </w:t>
      </w:r>
      <w:r w:rsidRPr="008719C7">
        <w:t xml:space="preserve"> </w:t>
      </w:r>
      <w:r w:rsidRPr="008719C7">
        <w:rPr>
          <w:bCs/>
        </w:rPr>
        <w:t>Difficult breathing, headache, chest pain, cough, nausea, vomiting; at higher exposure levels, inflammation of the lungs, pulmonary edema, pneumothorax, central nervous system disturbances, and death.  Chronic exposure can also damage the kidneys, gastrointestinal tract, and reproductive system.</w:t>
      </w:r>
    </w:p>
    <w:p w14:paraId="19761C82" w14:textId="77777777" w:rsidR="00770496" w:rsidRPr="008719C7" w:rsidRDefault="00770496">
      <w:pPr>
        <w:widowControl/>
        <w:spacing w:after="60" w:line="240" w:lineRule="auto"/>
        <w:ind w:left="446"/>
      </w:pPr>
      <w:r w:rsidRPr="008719C7">
        <w:rPr>
          <w:b/>
          <w:bCs/>
        </w:rPr>
        <w:t>Skin Contact:</w:t>
      </w:r>
      <w:r w:rsidRPr="008719C7">
        <w:rPr>
          <w:bCs/>
        </w:rPr>
        <w:t xml:space="preserve">  </w:t>
      </w:r>
      <w:r w:rsidRPr="008719C7">
        <w:t>Exposure to intact skin may result in redness, pain, skin burns, and sensitization.  Long-term exposure may result in effects reported for chronic inhalation.</w:t>
      </w:r>
    </w:p>
    <w:p w14:paraId="633073BA" w14:textId="77777777" w:rsidR="00770496" w:rsidRPr="008719C7" w:rsidRDefault="00770496">
      <w:pPr>
        <w:widowControl/>
        <w:spacing w:after="60" w:line="240" w:lineRule="auto"/>
        <w:ind w:left="446"/>
      </w:pPr>
      <w:r w:rsidRPr="008719C7">
        <w:rPr>
          <w:b/>
          <w:bCs/>
        </w:rPr>
        <w:t>Eye Contact:</w:t>
      </w:r>
      <w:r w:rsidRPr="008719C7">
        <w:rPr>
          <w:bCs/>
        </w:rPr>
        <w:t xml:space="preserve">  </w:t>
      </w:r>
      <w:r w:rsidRPr="008719C7">
        <w:t>Exposure may cause eye redness, pain and blurred vision.</w:t>
      </w:r>
    </w:p>
    <w:p w14:paraId="54D491DE" w14:textId="77777777" w:rsidR="00770496" w:rsidRPr="008719C7" w:rsidRDefault="00770496">
      <w:pPr>
        <w:pStyle w:val="Heading3"/>
        <w:spacing w:after="60" w:line="240" w:lineRule="auto"/>
        <w:ind w:left="446" w:firstLine="0"/>
        <w:jc w:val="both"/>
        <w:rPr>
          <w:b w:val="0"/>
          <w:bCs w:val="0"/>
        </w:rPr>
      </w:pPr>
      <w:r w:rsidRPr="008719C7">
        <w:t>Ingestion:</w:t>
      </w:r>
      <w:r w:rsidRPr="008719C7">
        <w:rPr>
          <w:b w:val="0"/>
        </w:rPr>
        <w:t xml:space="preserve">  </w:t>
      </w:r>
      <w:r w:rsidRPr="008719C7">
        <w:rPr>
          <w:b w:val="0"/>
          <w:bCs w:val="0"/>
        </w:rPr>
        <w:t>A small ingested dose may have no apparent effect, or it may cause burning of the mouth and throat with thirst, nausea, and vomiting.  The effects of a larger dose may be similar to those of inhalation.  Chronic ingestion may severely damage the gastrointestinal tract, kidneys, liver, and central nervous system.</w:t>
      </w:r>
    </w:p>
    <w:p w14:paraId="79ECCFAE" w14:textId="77777777" w:rsidR="006D24D9" w:rsidRPr="008719C7" w:rsidRDefault="00EB5E4A">
      <w:pPr>
        <w:widowControl/>
        <w:spacing w:after="12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Numerical Measures of Toxicity:</w:t>
      </w:r>
      <w:r w:rsidR="00193FA9" w:rsidRPr="008719C7">
        <w:rPr>
          <w:rFonts w:eastAsia="Times New Roman"/>
          <w:bCs/>
          <w:szCs w:val="20"/>
        </w:rPr>
        <w:t xml:space="preserve"> </w:t>
      </w:r>
    </w:p>
    <w:p w14:paraId="0CE844D8" w14:textId="77777777" w:rsidR="00743478" w:rsidRPr="008719C7" w:rsidRDefault="008E1A8B">
      <w:pPr>
        <w:widowControl/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Acute Toxicity:</w:t>
      </w:r>
      <w:r w:rsidR="00942D37" w:rsidRPr="008719C7">
        <w:rPr>
          <w:rFonts w:eastAsia="Times New Roman"/>
          <w:bCs/>
          <w:szCs w:val="20"/>
        </w:rPr>
        <w:t xml:space="preserve">  </w:t>
      </w:r>
      <w:r w:rsidR="00C800A6" w:rsidRPr="008719C7">
        <w:rPr>
          <w:rFonts w:eastAsia="Times New Roman"/>
          <w:bCs/>
          <w:szCs w:val="20"/>
        </w:rPr>
        <w:t>Inhalation, Category 2</w:t>
      </w:r>
    </w:p>
    <w:p w14:paraId="45A5C50C" w14:textId="77777777" w:rsidR="0083132E" w:rsidRPr="008719C7" w:rsidRDefault="001D2F5E">
      <w:pPr>
        <w:widowControl/>
        <w:spacing w:after="0" w:line="240" w:lineRule="auto"/>
        <w:ind w:left="72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>Inhalation, Rat, L</w:t>
      </w:r>
      <w:r w:rsidR="00C800A6" w:rsidRPr="008719C7">
        <w:rPr>
          <w:rFonts w:eastAsia="Times New Roman"/>
          <w:bCs/>
          <w:szCs w:val="20"/>
        </w:rPr>
        <w:t>C</w:t>
      </w:r>
      <w:r w:rsidRPr="008719C7">
        <w:rPr>
          <w:rFonts w:eastAsia="Times New Roman"/>
          <w:bCs/>
          <w:szCs w:val="20"/>
        </w:rPr>
        <w:t>50:  27 mg/m</w:t>
      </w:r>
      <w:r w:rsidRPr="008719C7">
        <w:rPr>
          <w:rFonts w:eastAsia="Times New Roman"/>
          <w:bCs/>
          <w:szCs w:val="20"/>
          <w:vertAlign w:val="superscript"/>
        </w:rPr>
        <w:t>3</w:t>
      </w:r>
      <w:r w:rsidRPr="008719C7">
        <w:rPr>
          <w:rFonts w:eastAsia="Times New Roman"/>
          <w:bCs/>
          <w:szCs w:val="20"/>
        </w:rPr>
        <w:t xml:space="preserve"> (2 h)</w:t>
      </w:r>
    </w:p>
    <w:p w14:paraId="03852824" w14:textId="77777777" w:rsidR="00EE1F37" w:rsidRPr="008719C7" w:rsidRDefault="00EE1F37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Skin </w:t>
      </w:r>
      <w:r w:rsidR="005A73FE" w:rsidRPr="008719C7">
        <w:rPr>
          <w:rFonts w:eastAsia="Times New Roman"/>
          <w:b/>
          <w:bCs/>
          <w:szCs w:val="20"/>
        </w:rPr>
        <w:t>C</w:t>
      </w:r>
      <w:r w:rsidRPr="008719C7">
        <w:rPr>
          <w:rFonts w:eastAsia="Times New Roman"/>
          <w:b/>
          <w:bCs/>
          <w:szCs w:val="20"/>
        </w:rPr>
        <w:t>orrosion/</w:t>
      </w:r>
      <w:r w:rsidR="005A73FE" w:rsidRPr="008719C7">
        <w:rPr>
          <w:rFonts w:eastAsia="Times New Roman"/>
          <w:b/>
          <w:bCs/>
          <w:szCs w:val="20"/>
        </w:rPr>
        <w:t>I</w:t>
      </w:r>
      <w:r w:rsidRPr="008719C7">
        <w:rPr>
          <w:rFonts w:eastAsia="Times New Roman"/>
          <w:b/>
          <w:bCs/>
          <w:szCs w:val="20"/>
        </w:rPr>
        <w:t>rritation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 </w:t>
      </w:r>
      <w:r w:rsidR="00C800A6" w:rsidRPr="008719C7">
        <w:rPr>
          <w:rFonts w:eastAsia="Times New Roman"/>
          <w:bCs/>
          <w:szCs w:val="20"/>
        </w:rPr>
        <w:t>Not classified.</w:t>
      </w:r>
    </w:p>
    <w:p w14:paraId="2661AB32" w14:textId="72229CDB" w:rsidR="00E96367" w:rsidRPr="008719C7" w:rsidRDefault="00E96367">
      <w:pPr>
        <w:widowControl/>
        <w:spacing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ab/>
        <w:t>Woman,</w:t>
      </w:r>
      <w:r w:rsidR="00251CE7">
        <w:rPr>
          <w:rFonts w:eastAsia="Times New Roman"/>
          <w:bCs/>
          <w:szCs w:val="20"/>
        </w:rPr>
        <w:t xml:space="preserve"> S</w:t>
      </w:r>
      <w:r w:rsidRPr="008719C7">
        <w:rPr>
          <w:rFonts w:eastAsia="Times New Roman"/>
          <w:bCs/>
          <w:szCs w:val="20"/>
        </w:rPr>
        <w:t>kin — open: 0.5 %</w:t>
      </w:r>
    </w:p>
    <w:p w14:paraId="0BF166E6" w14:textId="6E866358" w:rsidR="00EE1F37" w:rsidRPr="008719C7" w:rsidRDefault="00EE1F37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Serious </w:t>
      </w:r>
      <w:r w:rsidR="005A73FE" w:rsidRPr="008719C7">
        <w:rPr>
          <w:rFonts w:eastAsia="Times New Roman"/>
          <w:b/>
          <w:bCs/>
          <w:szCs w:val="20"/>
        </w:rPr>
        <w:t>E</w:t>
      </w:r>
      <w:r w:rsidRPr="008719C7">
        <w:rPr>
          <w:rFonts w:eastAsia="Times New Roman"/>
          <w:b/>
          <w:bCs/>
          <w:szCs w:val="20"/>
        </w:rPr>
        <w:t xml:space="preserve">ye </w:t>
      </w:r>
      <w:r w:rsidR="00B4734C">
        <w:rPr>
          <w:rFonts w:eastAsia="Times New Roman"/>
          <w:b/>
          <w:bCs/>
          <w:szCs w:val="20"/>
        </w:rPr>
        <w:t>D</w:t>
      </w:r>
      <w:r w:rsidR="00B4734C" w:rsidRPr="008719C7">
        <w:rPr>
          <w:rFonts w:eastAsia="Times New Roman"/>
          <w:b/>
          <w:bCs/>
          <w:szCs w:val="20"/>
        </w:rPr>
        <w:t>amage</w:t>
      </w:r>
      <w:r w:rsidRPr="008719C7">
        <w:rPr>
          <w:rFonts w:eastAsia="Times New Roman"/>
          <w:b/>
          <w:bCs/>
          <w:szCs w:val="20"/>
        </w:rPr>
        <w:t>/</w:t>
      </w:r>
      <w:r w:rsidR="00251CE7">
        <w:rPr>
          <w:rFonts w:eastAsia="Times New Roman"/>
          <w:b/>
          <w:bCs/>
          <w:szCs w:val="20"/>
        </w:rPr>
        <w:t>I</w:t>
      </w:r>
      <w:r w:rsidRPr="008719C7">
        <w:rPr>
          <w:rFonts w:eastAsia="Times New Roman"/>
          <w:b/>
          <w:bCs/>
          <w:szCs w:val="20"/>
        </w:rPr>
        <w:t>rritation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 </w:t>
      </w:r>
      <w:r w:rsidR="00C800A6" w:rsidRPr="008719C7">
        <w:rPr>
          <w:rFonts w:eastAsia="Times New Roman"/>
          <w:bCs/>
          <w:szCs w:val="20"/>
        </w:rPr>
        <w:t>Not classified.</w:t>
      </w:r>
    </w:p>
    <w:p w14:paraId="47052ED7" w14:textId="7B799BFB" w:rsidR="00C91ADE" w:rsidRPr="008719C7" w:rsidRDefault="00EE1F37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Respiratory </w:t>
      </w:r>
      <w:r w:rsidR="005A73FE" w:rsidRPr="008719C7">
        <w:rPr>
          <w:rFonts w:eastAsia="Times New Roman"/>
          <w:b/>
          <w:bCs/>
          <w:szCs w:val="20"/>
        </w:rPr>
        <w:t>S</w:t>
      </w:r>
      <w:r w:rsidRPr="008719C7">
        <w:rPr>
          <w:rFonts w:eastAsia="Times New Roman"/>
          <w:b/>
          <w:bCs/>
          <w:szCs w:val="20"/>
        </w:rPr>
        <w:t>ensitization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</w:t>
      </w:r>
      <w:r w:rsidR="009C0067">
        <w:rPr>
          <w:rFonts w:eastAsia="Times New Roman"/>
          <w:bCs/>
          <w:szCs w:val="20"/>
        </w:rPr>
        <w:t xml:space="preserve"> </w:t>
      </w:r>
      <w:r w:rsidR="009C0067" w:rsidRPr="008719C7">
        <w:rPr>
          <w:rFonts w:eastAsia="Times New Roman"/>
          <w:bCs/>
          <w:szCs w:val="20"/>
        </w:rPr>
        <w:t>Not classified.</w:t>
      </w:r>
    </w:p>
    <w:p w14:paraId="2CE2CB2B" w14:textId="77777777" w:rsidR="00C91ADE" w:rsidRPr="008719C7" w:rsidRDefault="00EE1F37">
      <w:pPr>
        <w:keepNext/>
        <w:widowControl/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Skin </w:t>
      </w:r>
      <w:r w:rsidR="005A73FE" w:rsidRPr="008719C7">
        <w:rPr>
          <w:rFonts w:eastAsia="Times New Roman"/>
          <w:b/>
          <w:bCs/>
          <w:szCs w:val="20"/>
        </w:rPr>
        <w:t>S</w:t>
      </w:r>
      <w:r w:rsidRPr="008719C7">
        <w:rPr>
          <w:rFonts w:eastAsia="Times New Roman"/>
          <w:b/>
          <w:bCs/>
          <w:szCs w:val="20"/>
        </w:rPr>
        <w:t>ensitization</w:t>
      </w:r>
      <w:r w:rsidR="00405269" w:rsidRPr="008719C7">
        <w:rPr>
          <w:rFonts w:eastAsia="Times New Roman"/>
          <w:b/>
          <w:bCs/>
          <w:szCs w:val="20"/>
        </w:rPr>
        <w:t>:</w:t>
      </w:r>
      <w:r w:rsidR="00F23BE4" w:rsidRPr="008719C7">
        <w:rPr>
          <w:rFonts w:eastAsia="Times New Roman"/>
          <w:bCs/>
          <w:szCs w:val="20"/>
        </w:rPr>
        <w:t xml:space="preserve">  Category 1</w:t>
      </w:r>
      <w:r w:rsidR="00546476" w:rsidRPr="008719C7">
        <w:rPr>
          <w:rFonts w:eastAsia="Times New Roman"/>
          <w:bCs/>
          <w:szCs w:val="20"/>
        </w:rPr>
        <w:t>B</w:t>
      </w:r>
    </w:p>
    <w:p w14:paraId="1398FB07" w14:textId="2B1B7F61" w:rsidR="00F23BE4" w:rsidRPr="008719C7" w:rsidRDefault="00F23BE4">
      <w:pPr>
        <w:keepNext/>
        <w:widowControl/>
        <w:spacing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ab/>
      </w:r>
      <w:r w:rsidRPr="008719C7">
        <w:rPr>
          <w:rFonts w:eastAsia="Times New Roman"/>
          <w:bCs/>
          <w:szCs w:val="20"/>
        </w:rPr>
        <w:t xml:space="preserve">May cause allergic response including </w:t>
      </w:r>
      <w:r w:rsidR="00607136">
        <w:rPr>
          <w:rFonts w:eastAsia="Times New Roman"/>
          <w:bCs/>
          <w:szCs w:val="20"/>
        </w:rPr>
        <w:t xml:space="preserve">contact </w:t>
      </w:r>
      <w:r w:rsidRPr="008719C7">
        <w:rPr>
          <w:rFonts w:eastAsia="Times New Roman"/>
          <w:bCs/>
          <w:szCs w:val="20"/>
        </w:rPr>
        <w:t>dermati</w:t>
      </w:r>
      <w:r w:rsidR="00251CE7">
        <w:rPr>
          <w:rFonts w:eastAsia="Times New Roman"/>
          <w:bCs/>
          <w:szCs w:val="20"/>
        </w:rPr>
        <w:t>ti</w:t>
      </w:r>
      <w:r w:rsidRPr="008719C7">
        <w:rPr>
          <w:rFonts w:eastAsia="Times New Roman"/>
          <w:bCs/>
          <w:szCs w:val="20"/>
        </w:rPr>
        <w:t>s.</w:t>
      </w:r>
    </w:p>
    <w:p w14:paraId="6EE2FD2D" w14:textId="77777777" w:rsidR="00EE1F37" w:rsidRPr="008719C7" w:rsidRDefault="00EE1F37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Germ Cell Mutagenicity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</w:t>
      </w:r>
      <w:r w:rsidR="00E96367" w:rsidRPr="008719C7">
        <w:rPr>
          <w:rFonts w:eastAsia="Times New Roman"/>
          <w:bCs/>
          <w:szCs w:val="20"/>
        </w:rPr>
        <w:t xml:space="preserve"> N</w:t>
      </w:r>
      <w:r w:rsidR="00882A34" w:rsidRPr="008719C7">
        <w:rPr>
          <w:rFonts w:eastAsia="Times New Roman"/>
          <w:bCs/>
          <w:szCs w:val="20"/>
        </w:rPr>
        <w:t>ot classified</w:t>
      </w:r>
      <w:r w:rsidR="00E96367" w:rsidRPr="008719C7">
        <w:rPr>
          <w:rFonts w:eastAsia="Times New Roman"/>
          <w:bCs/>
          <w:szCs w:val="20"/>
        </w:rPr>
        <w:t>.</w:t>
      </w:r>
    </w:p>
    <w:p w14:paraId="1517AC0C" w14:textId="349E0993" w:rsidR="00437B86" w:rsidRPr="008719C7" w:rsidRDefault="00E96367">
      <w:pPr>
        <w:widowControl/>
        <w:spacing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ab/>
      </w:r>
      <w:r w:rsidRPr="008719C7">
        <w:rPr>
          <w:rFonts w:eastAsia="Times New Roman"/>
          <w:bCs/>
          <w:szCs w:val="20"/>
        </w:rPr>
        <w:t xml:space="preserve">Mutagenic, </w:t>
      </w:r>
      <w:r w:rsidR="00310D04">
        <w:rPr>
          <w:rFonts w:eastAsia="Times New Roman"/>
          <w:bCs/>
          <w:szCs w:val="20"/>
        </w:rPr>
        <w:t>M</w:t>
      </w:r>
      <w:r w:rsidRPr="008719C7">
        <w:rPr>
          <w:rFonts w:eastAsia="Times New Roman"/>
          <w:bCs/>
          <w:szCs w:val="20"/>
        </w:rPr>
        <w:t xml:space="preserve">ouse:  2.71 </w:t>
      </w:r>
      <w:r w:rsidR="00B4734C">
        <w:rPr>
          <w:rFonts w:eastAsia="Times New Roman"/>
          <w:bCs/>
          <w:szCs w:val="20"/>
        </w:rPr>
        <w:t>µ</w:t>
      </w:r>
      <w:r w:rsidRPr="008719C7">
        <w:rPr>
          <w:rFonts w:eastAsia="Times New Roman"/>
          <w:bCs/>
          <w:szCs w:val="20"/>
        </w:rPr>
        <w:t>g/L (1 h)</w:t>
      </w:r>
      <w:r w:rsidR="00437B86" w:rsidRPr="008719C7">
        <w:rPr>
          <w:rFonts w:eastAsia="Times New Roman"/>
          <w:bCs/>
          <w:szCs w:val="20"/>
        </w:rPr>
        <w:t>;</w:t>
      </w:r>
      <w:r w:rsidRPr="008719C7">
        <w:rPr>
          <w:rFonts w:eastAsia="Times New Roman"/>
          <w:bCs/>
          <w:szCs w:val="20"/>
        </w:rPr>
        <w:t xml:space="preserve"> </w:t>
      </w:r>
      <w:r w:rsidR="00437B86" w:rsidRPr="008719C7">
        <w:rPr>
          <w:rFonts w:eastAsia="Times New Roman"/>
          <w:bCs/>
          <w:szCs w:val="20"/>
        </w:rPr>
        <w:t>DNA damage; Man, unreported route, 150 μg/m</w:t>
      </w:r>
      <w:r w:rsidR="00437B86" w:rsidRPr="008719C7">
        <w:rPr>
          <w:rFonts w:eastAsia="Times New Roman"/>
          <w:bCs/>
          <w:szCs w:val="20"/>
          <w:vertAlign w:val="superscript"/>
        </w:rPr>
        <w:t>3</w:t>
      </w:r>
      <w:r w:rsidR="00437B86" w:rsidRPr="008719C7">
        <w:rPr>
          <w:rFonts w:eastAsia="Times New Roman"/>
          <w:bCs/>
          <w:szCs w:val="20"/>
        </w:rPr>
        <w:t>; Cytogenetic analysis</w:t>
      </w:r>
    </w:p>
    <w:p w14:paraId="48301636" w14:textId="77777777" w:rsidR="005A73FE" w:rsidRPr="008719C7" w:rsidRDefault="005A73FE">
      <w:pPr>
        <w:widowControl/>
        <w:spacing w:after="6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Carcinogenicity:</w:t>
      </w:r>
      <w:r w:rsidRPr="008719C7">
        <w:rPr>
          <w:rFonts w:eastAsia="Times New Roman"/>
          <w:bCs/>
          <w:szCs w:val="20"/>
        </w:rPr>
        <w:t xml:space="preserve">  </w:t>
      </w:r>
      <w:r w:rsidR="008774A8" w:rsidRPr="008719C7">
        <w:rPr>
          <w:rFonts w:eastAsia="Times New Roman"/>
          <w:bCs/>
          <w:szCs w:val="20"/>
        </w:rPr>
        <w:t>Not classified</w:t>
      </w:r>
      <w:r w:rsidRPr="008719C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875137" w:rsidRPr="008719C7" w14:paraId="532306CA" w14:textId="77777777" w:rsidTr="00364066">
        <w:trPr>
          <w:trHeight w:val="60"/>
        </w:trPr>
        <w:tc>
          <w:tcPr>
            <w:tcW w:w="5028" w:type="dxa"/>
            <w:vAlign w:val="center"/>
          </w:tcPr>
          <w:p w14:paraId="77D0E4E3" w14:textId="77777777" w:rsidR="00875137" w:rsidRPr="008719C7" w:rsidRDefault="00875137">
            <w:pPr>
              <w:widowControl/>
              <w:spacing w:after="0" w:line="240" w:lineRule="auto"/>
              <w:ind w:left="132"/>
              <w:rPr>
                <w:b/>
                <w:szCs w:val="20"/>
              </w:rPr>
            </w:pPr>
            <w:r w:rsidRPr="008719C7">
              <w:rPr>
                <w:rFonts w:eastAsia="Times New Roman"/>
                <w:b/>
                <w:bCs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3E9DF6A" w14:textId="77777777" w:rsidR="00875137" w:rsidRPr="008719C7" w:rsidRDefault="00875137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5E2C9E3A" w14:textId="77777777" w:rsidR="00875137" w:rsidRPr="008719C7" w:rsidRDefault="00875137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0BF042A" w14:textId="77777777" w:rsidR="00875137" w:rsidRPr="008719C7" w:rsidRDefault="00DE05BC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719C7">
              <w:rPr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6B0FAB14" w14:textId="77777777" w:rsidR="00875137" w:rsidRPr="008719C7" w:rsidRDefault="00875137">
            <w:pPr>
              <w:widowControl/>
              <w:spacing w:after="0" w:line="240" w:lineRule="auto"/>
              <w:rPr>
                <w:szCs w:val="20"/>
              </w:rPr>
            </w:pPr>
            <w:r w:rsidRPr="008719C7">
              <w:rPr>
                <w:rFonts w:eastAsia="Times New Roman"/>
                <w:szCs w:val="20"/>
              </w:rPr>
              <w:t>No</w:t>
            </w:r>
          </w:p>
        </w:tc>
      </w:tr>
    </w:tbl>
    <w:p w14:paraId="01C85C36" w14:textId="3136C8A1" w:rsidR="00010583" w:rsidRPr="008719C7" w:rsidRDefault="008774A8" w:rsidP="00B4734C">
      <w:pPr>
        <w:widowControl/>
        <w:tabs>
          <w:tab w:val="left" w:pos="720"/>
        </w:tabs>
        <w:spacing w:after="0" w:line="240" w:lineRule="auto"/>
        <w:ind w:left="72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>Inorganic m</w:t>
      </w:r>
      <w:r w:rsidR="00882A34" w:rsidRPr="008719C7">
        <w:rPr>
          <w:rFonts w:eastAsia="Times New Roman"/>
          <w:bCs/>
          <w:szCs w:val="20"/>
        </w:rPr>
        <w:t>ercury</w:t>
      </w:r>
      <w:r w:rsidRPr="008719C7">
        <w:rPr>
          <w:rFonts w:eastAsia="Times New Roman"/>
          <w:bCs/>
          <w:szCs w:val="20"/>
        </w:rPr>
        <w:t xml:space="preserve"> compounds are listed by </w:t>
      </w:r>
      <w:r w:rsidR="00010583" w:rsidRPr="008719C7">
        <w:rPr>
          <w:rFonts w:eastAsia="Times New Roman"/>
          <w:bCs/>
          <w:szCs w:val="20"/>
        </w:rPr>
        <w:t xml:space="preserve">IARC </w:t>
      </w:r>
      <w:r w:rsidRPr="008719C7">
        <w:rPr>
          <w:rFonts w:eastAsia="Times New Roman"/>
          <w:bCs/>
          <w:szCs w:val="20"/>
        </w:rPr>
        <w:t>as Group 3</w:t>
      </w:r>
      <w:r w:rsidR="00010583" w:rsidRPr="008719C7">
        <w:rPr>
          <w:rFonts w:eastAsia="Times New Roman"/>
          <w:bCs/>
          <w:szCs w:val="20"/>
        </w:rPr>
        <w:t xml:space="preserve"> (</w:t>
      </w:r>
      <w:r w:rsidRPr="008719C7">
        <w:rPr>
          <w:rFonts w:eastAsia="Times New Roman"/>
          <w:bCs/>
          <w:szCs w:val="20"/>
        </w:rPr>
        <w:t>not classifiable)</w:t>
      </w:r>
      <w:r w:rsidR="001975DA">
        <w:rPr>
          <w:rFonts w:eastAsia="Times New Roman"/>
          <w:bCs/>
          <w:szCs w:val="20"/>
        </w:rPr>
        <w:t xml:space="preserve"> and is not listed by NTP and OSHA as carcinogenic/potential carcinogen</w:t>
      </w:r>
      <w:r w:rsidR="00010583" w:rsidRPr="008719C7">
        <w:rPr>
          <w:rFonts w:eastAsia="Times New Roman"/>
          <w:bCs/>
          <w:szCs w:val="20"/>
        </w:rPr>
        <w:t>.</w:t>
      </w:r>
    </w:p>
    <w:p w14:paraId="7E863B83" w14:textId="01EE621E" w:rsidR="00E96367" w:rsidRPr="008719C7" w:rsidRDefault="00E96367">
      <w:pPr>
        <w:widowControl/>
        <w:tabs>
          <w:tab w:val="left" w:pos="720"/>
        </w:tabs>
        <w:spacing w:after="0" w:line="240" w:lineRule="auto"/>
        <w:ind w:left="72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 xml:space="preserve">Tumorigenic, </w:t>
      </w:r>
      <w:r w:rsidR="00607136">
        <w:rPr>
          <w:rFonts w:eastAsia="Times New Roman"/>
          <w:bCs/>
          <w:szCs w:val="20"/>
        </w:rPr>
        <w:t>R</w:t>
      </w:r>
      <w:r w:rsidRPr="008719C7">
        <w:rPr>
          <w:rFonts w:eastAsia="Times New Roman"/>
          <w:bCs/>
          <w:szCs w:val="20"/>
        </w:rPr>
        <w:t xml:space="preserve">at, </w:t>
      </w:r>
      <w:r w:rsidR="00607136">
        <w:rPr>
          <w:rFonts w:eastAsia="Times New Roman"/>
          <w:bCs/>
          <w:szCs w:val="20"/>
        </w:rPr>
        <w:t>I</w:t>
      </w:r>
      <w:r w:rsidRPr="008719C7">
        <w:rPr>
          <w:rFonts w:eastAsia="Times New Roman"/>
          <w:bCs/>
          <w:szCs w:val="20"/>
        </w:rPr>
        <w:t>ntraperitoneal TDLo:  400 mg/kg (14 d)</w:t>
      </w:r>
    </w:p>
    <w:p w14:paraId="7EA5FDC2" w14:textId="77777777" w:rsidR="008774A8" w:rsidRPr="008719C7" w:rsidRDefault="00EE1F37">
      <w:pPr>
        <w:widowControl/>
        <w:tabs>
          <w:tab w:val="left" w:pos="360"/>
        </w:tabs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Reproductive Toxicity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 </w:t>
      </w:r>
      <w:r w:rsidR="008774A8" w:rsidRPr="008719C7">
        <w:rPr>
          <w:rFonts w:eastAsia="Times New Roman"/>
          <w:bCs/>
          <w:szCs w:val="20"/>
        </w:rPr>
        <w:t>Category 1</w:t>
      </w:r>
      <w:r w:rsidR="000F3E1B" w:rsidRPr="008719C7">
        <w:rPr>
          <w:rFonts w:eastAsia="Times New Roman"/>
          <w:bCs/>
          <w:szCs w:val="20"/>
        </w:rPr>
        <w:t>B</w:t>
      </w:r>
      <w:r w:rsidR="008774A8" w:rsidRPr="008719C7">
        <w:rPr>
          <w:rFonts w:eastAsia="Times New Roman"/>
          <w:bCs/>
          <w:szCs w:val="20"/>
        </w:rPr>
        <w:t xml:space="preserve">; </w:t>
      </w:r>
      <w:r w:rsidR="00601808" w:rsidRPr="008719C7">
        <w:rPr>
          <w:rFonts w:eastAsia="Times New Roman"/>
          <w:bCs/>
          <w:szCs w:val="20"/>
        </w:rPr>
        <w:t>m</w:t>
      </w:r>
      <w:r w:rsidR="008774A8" w:rsidRPr="008719C7">
        <w:rPr>
          <w:rFonts w:eastAsia="Times New Roman"/>
          <w:bCs/>
          <w:szCs w:val="20"/>
        </w:rPr>
        <w:t>ercury can cross the placenta, reduce male sex drive; cause male and female infertility, spontaneous abortions, birth defects, growth retardation, and contaminate breast milk.</w:t>
      </w:r>
    </w:p>
    <w:p w14:paraId="41050545" w14:textId="77777777" w:rsidR="00C172A0" w:rsidRPr="008719C7" w:rsidRDefault="00EE1F37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Specific </w:t>
      </w:r>
      <w:r w:rsidR="005A73FE" w:rsidRPr="008719C7">
        <w:rPr>
          <w:rFonts w:eastAsia="Times New Roman"/>
          <w:b/>
          <w:bCs/>
          <w:szCs w:val="20"/>
        </w:rPr>
        <w:t>T</w:t>
      </w:r>
      <w:r w:rsidRPr="008719C7">
        <w:rPr>
          <w:rFonts w:eastAsia="Times New Roman"/>
          <w:b/>
          <w:bCs/>
          <w:szCs w:val="20"/>
        </w:rPr>
        <w:t xml:space="preserve">arget </w:t>
      </w:r>
      <w:r w:rsidR="005A73FE" w:rsidRPr="008719C7">
        <w:rPr>
          <w:rFonts w:eastAsia="Times New Roman"/>
          <w:b/>
          <w:bCs/>
          <w:szCs w:val="20"/>
        </w:rPr>
        <w:t>O</w:t>
      </w:r>
      <w:r w:rsidRPr="008719C7">
        <w:rPr>
          <w:rFonts w:eastAsia="Times New Roman"/>
          <w:b/>
          <w:bCs/>
          <w:szCs w:val="20"/>
        </w:rPr>
        <w:t xml:space="preserve">rgan </w:t>
      </w:r>
      <w:r w:rsidR="005A73FE" w:rsidRPr="008719C7">
        <w:rPr>
          <w:rFonts w:eastAsia="Times New Roman"/>
          <w:b/>
          <w:bCs/>
          <w:szCs w:val="20"/>
        </w:rPr>
        <w:t>T</w:t>
      </w:r>
      <w:r w:rsidRPr="008719C7">
        <w:rPr>
          <w:rFonts w:eastAsia="Times New Roman"/>
          <w:b/>
          <w:bCs/>
          <w:szCs w:val="20"/>
        </w:rPr>
        <w:t xml:space="preserve">oxicity, </w:t>
      </w:r>
      <w:r w:rsidR="005A73FE" w:rsidRPr="008719C7">
        <w:rPr>
          <w:rFonts w:eastAsia="Times New Roman"/>
          <w:b/>
          <w:bCs/>
          <w:szCs w:val="20"/>
        </w:rPr>
        <w:t>S</w:t>
      </w:r>
      <w:r w:rsidRPr="008719C7">
        <w:rPr>
          <w:rFonts w:eastAsia="Times New Roman"/>
          <w:b/>
          <w:bCs/>
          <w:szCs w:val="20"/>
        </w:rPr>
        <w:t xml:space="preserve">ingle </w:t>
      </w:r>
      <w:r w:rsidR="005A73FE" w:rsidRPr="008719C7">
        <w:rPr>
          <w:rFonts w:eastAsia="Times New Roman"/>
          <w:b/>
          <w:bCs/>
          <w:szCs w:val="20"/>
        </w:rPr>
        <w:t>E</w:t>
      </w:r>
      <w:r w:rsidRPr="008719C7">
        <w:rPr>
          <w:rFonts w:eastAsia="Times New Roman"/>
          <w:b/>
          <w:bCs/>
          <w:szCs w:val="20"/>
        </w:rPr>
        <w:t>xposure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</w:t>
      </w:r>
      <w:r w:rsidR="00104235" w:rsidRPr="008719C7">
        <w:rPr>
          <w:rFonts w:eastAsia="Times New Roman"/>
          <w:bCs/>
          <w:szCs w:val="20"/>
        </w:rPr>
        <w:t xml:space="preserve"> </w:t>
      </w:r>
      <w:r w:rsidR="00B64765" w:rsidRPr="008719C7">
        <w:rPr>
          <w:rFonts w:eastAsia="Times New Roman"/>
          <w:bCs/>
          <w:szCs w:val="20"/>
        </w:rPr>
        <w:t>Not classified</w:t>
      </w:r>
      <w:r w:rsidR="00C172A0" w:rsidRPr="008719C7">
        <w:rPr>
          <w:rFonts w:eastAsia="Times New Roman"/>
          <w:bCs/>
          <w:szCs w:val="20"/>
        </w:rPr>
        <w:t>.</w:t>
      </w:r>
    </w:p>
    <w:p w14:paraId="78A80367" w14:textId="77777777" w:rsidR="00010583" w:rsidRPr="008719C7" w:rsidRDefault="00EE1F37">
      <w:pPr>
        <w:widowControl/>
        <w:spacing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Specific </w:t>
      </w:r>
      <w:r w:rsidR="005A73FE" w:rsidRPr="008719C7">
        <w:rPr>
          <w:rFonts w:eastAsia="Times New Roman"/>
          <w:b/>
          <w:bCs/>
          <w:szCs w:val="20"/>
        </w:rPr>
        <w:t>T</w:t>
      </w:r>
      <w:r w:rsidRPr="008719C7">
        <w:rPr>
          <w:rFonts w:eastAsia="Times New Roman"/>
          <w:b/>
          <w:bCs/>
          <w:szCs w:val="20"/>
        </w:rPr>
        <w:t xml:space="preserve">arget </w:t>
      </w:r>
      <w:r w:rsidR="005A73FE" w:rsidRPr="008719C7">
        <w:rPr>
          <w:rFonts w:eastAsia="Times New Roman"/>
          <w:b/>
          <w:bCs/>
          <w:szCs w:val="20"/>
        </w:rPr>
        <w:t>O</w:t>
      </w:r>
      <w:r w:rsidRPr="008719C7">
        <w:rPr>
          <w:rFonts w:eastAsia="Times New Roman"/>
          <w:b/>
          <w:bCs/>
          <w:szCs w:val="20"/>
        </w:rPr>
        <w:t xml:space="preserve">rgan </w:t>
      </w:r>
      <w:r w:rsidR="005A73FE" w:rsidRPr="008719C7">
        <w:rPr>
          <w:rFonts w:eastAsia="Times New Roman"/>
          <w:b/>
          <w:bCs/>
          <w:szCs w:val="20"/>
        </w:rPr>
        <w:t>T</w:t>
      </w:r>
      <w:r w:rsidRPr="008719C7">
        <w:rPr>
          <w:rFonts w:eastAsia="Times New Roman"/>
          <w:b/>
          <w:bCs/>
          <w:szCs w:val="20"/>
        </w:rPr>
        <w:t xml:space="preserve">oxicity, </w:t>
      </w:r>
      <w:r w:rsidR="005A73FE" w:rsidRPr="008719C7">
        <w:rPr>
          <w:rFonts w:eastAsia="Times New Roman"/>
          <w:b/>
          <w:bCs/>
          <w:szCs w:val="20"/>
        </w:rPr>
        <w:t>R</w:t>
      </w:r>
      <w:r w:rsidRPr="008719C7">
        <w:rPr>
          <w:rFonts w:eastAsia="Times New Roman"/>
          <w:b/>
          <w:bCs/>
          <w:szCs w:val="20"/>
        </w:rPr>
        <w:t xml:space="preserve">epeated </w:t>
      </w:r>
      <w:r w:rsidR="005A73FE" w:rsidRPr="008719C7">
        <w:rPr>
          <w:rFonts w:eastAsia="Times New Roman"/>
          <w:b/>
          <w:bCs/>
          <w:szCs w:val="20"/>
        </w:rPr>
        <w:t>E</w:t>
      </w:r>
      <w:r w:rsidRPr="008719C7">
        <w:rPr>
          <w:rFonts w:eastAsia="Times New Roman"/>
          <w:b/>
          <w:bCs/>
          <w:szCs w:val="20"/>
        </w:rPr>
        <w:t>xposure</w:t>
      </w:r>
      <w:r w:rsidR="00405269" w:rsidRPr="008719C7">
        <w:rPr>
          <w:rFonts w:eastAsia="Times New Roman"/>
          <w:b/>
          <w:bCs/>
          <w:szCs w:val="20"/>
        </w:rPr>
        <w:t>:</w:t>
      </w:r>
      <w:r w:rsidR="00E620ED" w:rsidRPr="008719C7">
        <w:rPr>
          <w:rFonts w:eastAsia="Times New Roman"/>
          <w:bCs/>
          <w:szCs w:val="20"/>
        </w:rPr>
        <w:t xml:space="preserve"> </w:t>
      </w:r>
      <w:r w:rsidR="00C84E3B" w:rsidRPr="008719C7">
        <w:rPr>
          <w:rFonts w:eastAsia="Times New Roman"/>
          <w:bCs/>
          <w:szCs w:val="20"/>
        </w:rPr>
        <w:t xml:space="preserve"> </w:t>
      </w:r>
      <w:r w:rsidR="00010583" w:rsidRPr="008719C7">
        <w:rPr>
          <w:rFonts w:eastAsia="Times New Roman"/>
          <w:bCs/>
          <w:szCs w:val="20"/>
        </w:rPr>
        <w:t>Category </w:t>
      </w:r>
      <w:r w:rsidR="00F23BE4" w:rsidRPr="008719C7">
        <w:rPr>
          <w:rFonts w:eastAsia="Times New Roman"/>
          <w:bCs/>
          <w:szCs w:val="20"/>
        </w:rPr>
        <w:t>1</w:t>
      </w:r>
      <w:r w:rsidR="00010583" w:rsidRPr="008719C7">
        <w:rPr>
          <w:rFonts w:eastAsia="Times New Roman"/>
          <w:bCs/>
          <w:szCs w:val="20"/>
        </w:rPr>
        <w:t xml:space="preserve">; </w:t>
      </w:r>
      <w:r w:rsidR="008774A8" w:rsidRPr="008719C7">
        <w:rPr>
          <w:rFonts w:eastAsia="Times New Roman"/>
          <w:bCs/>
          <w:szCs w:val="20"/>
        </w:rPr>
        <w:t>mercury</w:t>
      </w:r>
      <w:r w:rsidR="00010583" w:rsidRPr="008719C7">
        <w:rPr>
          <w:rFonts w:eastAsia="Times New Roman"/>
          <w:bCs/>
          <w:szCs w:val="20"/>
        </w:rPr>
        <w:t xml:space="preserve"> can accumulate in body tissues</w:t>
      </w:r>
      <w:r w:rsidR="000F3E1B" w:rsidRPr="008719C7">
        <w:rPr>
          <w:rFonts w:eastAsia="Times New Roman"/>
          <w:bCs/>
          <w:szCs w:val="20"/>
        </w:rPr>
        <w:t xml:space="preserve"> and damage organs via inhalation</w:t>
      </w:r>
      <w:r w:rsidR="00010583" w:rsidRPr="008719C7">
        <w:rPr>
          <w:rFonts w:eastAsia="Times New Roman"/>
          <w:bCs/>
          <w:szCs w:val="20"/>
        </w:rPr>
        <w:t>.</w:t>
      </w:r>
    </w:p>
    <w:p w14:paraId="6097705D" w14:textId="77777777" w:rsidR="00010583" w:rsidRPr="008719C7" w:rsidRDefault="00EE1F37">
      <w:pPr>
        <w:widowControl/>
        <w:spacing w:after="120" w:line="240" w:lineRule="auto"/>
        <w:ind w:left="36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Aspiration </w:t>
      </w:r>
      <w:r w:rsidR="005A73FE" w:rsidRPr="008719C7">
        <w:rPr>
          <w:rFonts w:eastAsia="Times New Roman"/>
          <w:b/>
          <w:bCs/>
          <w:szCs w:val="20"/>
        </w:rPr>
        <w:t>H</w:t>
      </w:r>
      <w:r w:rsidRPr="008719C7">
        <w:rPr>
          <w:rFonts w:eastAsia="Times New Roman"/>
          <w:b/>
          <w:bCs/>
          <w:szCs w:val="20"/>
        </w:rPr>
        <w:t>azard</w:t>
      </w:r>
      <w:r w:rsidR="00405269" w:rsidRPr="008719C7">
        <w:rPr>
          <w:rFonts w:eastAsia="Times New Roman"/>
          <w:b/>
          <w:bCs/>
          <w:szCs w:val="20"/>
        </w:rPr>
        <w:t>:</w:t>
      </w:r>
      <w:r w:rsidR="00405269" w:rsidRPr="008719C7">
        <w:rPr>
          <w:rFonts w:eastAsia="Times New Roman"/>
          <w:bCs/>
          <w:szCs w:val="20"/>
        </w:rPr>
        <w:t xml:space="preserve"> </w:t>
      </w:r>
      <w:r w:rsidR="00405269" w:rsidRPr="008719C7">
        <w:t xml:space="preserve"> </w:t>
      </w:r>
      <w:r w:rsidR="00E620ED" w:rsidRPr="008719C7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8719C7" w14:paraId="272688E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CBE99FF" w14:textId="77777777" w:rsidR="004521E9" w:rsidRPr="008719C7" w:rsidRDefault="004521E9">
            <w:pPr>
              <w:keepNext/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12. E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COLOGICAL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0C5FDC45" w14:textId="77777777" w:rsidR="004521E9" w:rsidRPr="008719C7" w:rsidRDefault="004521E9" w:rsidP="00B4734C">
      <w:pPr>
        <w:keepNext/>
        <w:widowControl/>
        <w:spacing w:before="120" w:after="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Ecotoxicity Data:</w:t>
      </w:r>
    </w:p>
    <w:p w14:paraId="5491F352" w14:textId="77777777" w:rsidR="00337C8F" w:rsidRPr="008719C7" w:rsidRDefault="007821E9">
      <w:pPr>
        <w:keepNext/>
        <w:widowControl/>
        <w:tabs>
          <w:tab w:val="left" w:pos="1800"/>
        </w:tabs>
        <w:spacing w:after="0" w:line="240" w:lineRule="auto"/>
        <w:ind w:left="720" w:right="86" w:hanging="450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Mercury</w:t>
      </w:r>
      <w:r w:rsidR="00337C8F" w:rsidRPr="008719C7">
        <w:rPr>
          <w:rFonts w:eastAsia="Times New Roman"/>
          <w:szCs w:val="20"/>
        </w:rPr>
        <w:t xml:space="preserve">:  Carp, </w:t>
      </w:r>
      <w:r w:rsidR="00337C8F" w:rsidRPr="008719C7">
        <w:rPr>
          <w:rFonts w:eastAsia="Times New Roman"/>
          <w:i/>
          <w:szCs w:val="20"/>
        </w:rPr>
        <w:t>Cyprinus carpio</w:t>
      </w:r>
      <w:r w:rsidR="00337C8F" w:rsidRPr="008719C7">
        <w:rPr>
          <w:rFonts w:eastAsia="Times New Roman"/>
          <w:szCs w:val="20"/>
        </w:rPr>
        <w:t xml:space="preserve"> LC50 (96 h): 0.5 mg/L; 0.16 mg/L [semi-static]; 0.18 mg/L [static].</w:t>
      </w:r>
    </w:p>
    <w:p w14:paraId="7E3069BA" w14:textId="77777777" w:rsidR="004521E9" w:rsidRPr="008719C7" w:rsidRDefault="004521E9">
      <w:pPr>
        <w:keepNext/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Persistence and Degradability:</w:t>
      </w:r>
      <w:r w:rsidR="00D3347C" w:rsidRPr="008719C7">
        <w:rPr>
          <w:rFonts w:eastAsia="Times New Roman"/>
          <w:bCs/>
          <w:szCs w:val="20"/>
        </w:rPr>
        <w:t xml:space="preserve">  No data available.</w:t>
      </w:r>
    </w:p>
    <w:p w14:paraId="2254F5B7" w14:textId="77777777" w:rsidR="00BB1EBC" w:rsidRPr="008719C7" w:rsidRDefault="004521E9">
      <w:pPr>
        <w:keepNext/>
        <w:widowControl/>
        <w:spacing w:before="120" w:after="0" w:line="240" w:lineRule="auto"/>
        <w:rPr>
          <w:rFonts w:eastAsia="Times New Roman"/>
          <w:bCs/>
          <w:szCs w:val="20"/>
        </w:rPr>
      </w:pPr>
      <w:proofErr w:type="spellStart"/>
      <w:r w:rsidRPr="008719C7">
        <w:rPr>
          <w:rFonts w:eastAsia="Times New Roman"/>
          <w:b/>
          <w:bCs/>
          <w:szCs w:val="20"/>
        </w:rPr>
        <w:t>Bioaccumulative</w:t>
      </w:r>
      <w:proofErr w:type="spellEnd"/>
      <w:r w:rsidRPr="008719C7">
        <w:rPr>
          <w:rFonts w:eastAsia="Times New Roman"/>
          <w:b/>
          <w:bCs/>
          <w:szCs w:val="20"/>
        </w:rPr>
        <w:t xml:space="preserve"> Potential</w:t>
      </w:r>
      <w:r w:rsidR="00B64765" w:rsidRPr="008719C7">
        <w:t xml:space="preserve">:  </w:t>
      </w:r>
      <w:r w:rsidR="00B64765" w:rsidRPr="008719C7">
        <w:rPr>
          <w:rFonts w:eastAsia="Times New Roman"/>
          <w:bCs/>
          <w:szCs w:val="20"/>
        </w:rPr>
        <w:t>No data available</w:t>
      </w:r>
      <w:r w:rsidR="00BB1EBC" w:rsidRPr="008719C7">
        <w:rPr>
          <w:rFonts w:eastAsia="Times New Roman"/>
          <w:bCs/>
          <w:szCs w:val="20"/>
        </w:rPr>
        <w:t>.</w:t>
      </w:r>
    </w:p>
    <w:p w14:paraId="30632BBF" w14:textId="77777777" w:rsidR="004521E9" w:rsidRPr="008719C7" w:rsidRDefault="004521E9">
      <w:pPr>
        <w:keepNext/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Mobility in Soil:</w:t>
      </w:r>
      <w:r w:rsidR="00D3347C" w:rsidRPr="008719C7">
        <w:rPr>
          <w:rFonts w:eastAsia="Times New Roman"/>
          <w:b/>
          <w:bCs/>
          <w:szCs w:val="20"/>
        </w:rPr>
        <w:t xml:space="preserve">  </w:t>
      </w:r>
      <w:r w:rsidR="00D3347C" w:rsidRPr="008719C7">
        <w:rPr>
          <w:rFonts w:eastAsia="Times New Roman"/>
          <w:bCs/>
          <w:szCs w:val="20"/>
        </w:rPr>
        <w:t>No data available.</w:t>
      </w:r>
    </w:p>
    <w:p w14:paraId="6792160D" w14:textId="77777777" w:rsidR="004521E9" w:rsidRPr="008719C7" w:rsidRDefault="004521E9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Other Adverse effects:</w:t>
      </w:r>
      <w:r w:rsidRPr="008719C7">
        <w:rPr>
          <w:rFonts w:eastAsia="Times New Roman"/>
          <w:bCs/>
          <w:szCs w:val="20"/>
        </w:rPr>
        <w:t xml:space="preserve">  </w:t>
      </w:r>
      <w:r w:rsidR="00D3347C" w:rsidRPr="008719C7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8719C7" w14:paraId="3AB86596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A64DE7E" w14:textId="77777777" w:rsidR="004521E9" w:rsidRPr="008719C7" w:rsidRDefault="004521E9">
            <w:pPr>
              <w:keepNext/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13. D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ISPOSAL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ONSIDERATIONS</w:t>
            </w:r>
          </w:p>
        </w:tc>
      </w:tr>
    </w:tbl>
    <w:p w14:paraId="4F1DEEDA" w14:textId="77777777" w:rsidR="00B64765" w:rsidRPr="008719C7" w:rsidRDefault="004521E9" w:rsidP="00B4734C">
      <w:pPr>
        <w:widowControl/>
        <w:spacing w:before="120" w:after="12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Waste Disposal:  </w:t>
      </w:r>
      <w:r w:rsidR="009568A3" w:rsidRPr="008719C7">
        <w:rPr>
          <w:rFonts w:eastAsia="Times New Roman"/>
          <w:szCs w:val="20"/>
        </w:rPr>
        <w:t xml:space="preserve">Dispose of waste in accordance with all applicable federal, state, and local regulations.  </w:t>
      </w:r>
      <w:r w:rsidR="007821E9" w:rsidRPr="008719C7">
        <w:rPr>
          <w:rFonts w:eastAsia="Times New Roman"/>
          <w:szCs w:val="20"/>
        </w:rPr>
        <w:t>Subject to disposal regulations:  U.S. EPA 40 CFR 262,</w:t>
      </w:r>
      <w:r w:rsidR="007821E9" w:rsidRPr="008719C7">
        <w:t xml:space="preserve"> </w:t>
      </w:r>
      <w:r w:rsidR="007821E9" w:rsidRPr="008719C7">
        <w:rPr>
          <w:rFonts w:eastAsia="Times New Roman"/>
          <w:szCs w:val="20"/>
        </w:rPr>
        <w:t xml:space="preserve">Waste Numbers: </w:t>
      </w:r>
      <w:r w:rsidR="00BA5FB7" w:rsidRPr="008719C7">
        <w:rPr>
          <w:rFonts w:eastAsia="Times New Roman"/>
          <w:szCs w:val="20"/>
        </w:rPr>
        <w:t xml:space="preserve">mercury - </w:t>
      </w:r>
      <w:r w:rsidR="00947484" w:rsidRPr="008719C7">
        <w:rPr>
          <w:rFonts w:eastAsia="Times New Roman"/>
          <w:szCs w:val="20"/>
        </w:rPr>
        <w:t>U151</w:t>
      </w:r>
      <w:r w:rsidR="00BA5FB7" w:rsidRPr="008719C7">
        <w:rPr>
          <w:rFonts w:eastAsia="Times New Roman"/>
          <w:szCs w:val="20"/>
        </w:rPr>
        <w:t xml:space="preserve">, </w:t>
      </w:r>
      <w:r w:rsidR="007821E9" w:rsidRPr="008719C7">
        <w:rPr>
          <w:rFonts w:eastAsia="Times New Roman"/>
          <w:szCs w:val="20"/>
        </w:rPr>
        <w:t xml:space="preserve">concentrations at or above the regulatory level </w:t>
      </w:r>
      <w:r w:rsidR="00BA5FB7" w:rsidRPr="008719C7">
        <w:rPr>
          <w:rFonts w:eastAsia="Times New Roman"/>
          <w:szCs w:val="20"/>
        </w:rPr>
        <w:t>of 0</w:t>
      </w:r>
      <w:r w:rsidR="007821E9" w:rsidRPr="008719C7">
        <w:rPr>
          <w:rFonts w:eastAsia="Times New Roman"/>
          <w:szCs w:val="20"/>
        </w:rPr>
        <w:t>.2 mg/L.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8719C7" w14:paraId="073D666B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4A610659" w14:textId="77777777" w:rsidR="004521E9" w:rsidRPr="008719C7" w:rsidRDefault="004521E9">
            <w:pPr>
              <w:keepNext/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14. T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RANSPORTATION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598EC16E" w14:textId="77777777" w:rsidR="00A13A72" w:rsidRPr="008719C7" w:rsidRDefault="004521E9" w:rsidP="00C61FDA">
      <w:pPr>
        <w:widowControl/>
        <w:spacing w:before="120" w:after="120" w:line="240" w:lineRule="auto"/>
      </w:pPr>
      <w:r w:rsidRPr="008719C7">
        <w:rPr>
          <w:b/>
        </w:rPr>
        <w:t xml:space="preserve">U.S. DOT and IATA:  </w:t>
      </w:r>
      <w:r w:rsidR="00337C8F" w:rsidRPr="008719C7">
        <w:t>UN2809</w:t>
      </w:r>
      <w:r w:rsidR="00C253FE" w:rsidRPr="008719C7">
        <w:t>,</w:t>
      </w:r>
      <w:r w:rsidR="00337C8F" w:rsidRPr="008719C7">
        <w:rPr>
          <w:bCs/>
        </w:rPr>
        <w:t xml:space="preserve"> </w:t>
      </w:r>
      <w:r w:rsidR="00337C8F" w:rsidRPr="008719C7">
        <w:t>Mercury, Hazard Class 8, Sub Risk 6.1, Packing Group III.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8719C7" w14:paraId="0500E8C5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549F7965" w14:textId="77777777" w:rsidR="003D5857" w:rsidRPr="008719C7" w:rsidRDefault="003D5857" w:rsidP="00B4734C">
            <w:pPr>
              <w:keepNext/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15. R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EGULATORY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0EEE6F36" w14:textId="77777777" w:rsidR="00D536DB" w:rsidRPr="008719C7" w:rsidRDefault="00D536DB" w:rsidP="00B4734C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U.S. Regulations:</w:t>
      </w:r>
    </w:p>
    <w:p w14:paraId="6C2D3372" w14:textId="02AC6446" w:rsidR="007821E9" w:rsidRPr="008719C7" w:rsidRDefault="00D536DB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0" w:line="240" w:lineRule="auto"/>
        <w:ind w:left="4133" w:hanging="3859"/>
        <w:jc w:val="left"/>
        <w:textAlignment w:val="baseline"/>
        <w:rPr>
          <w:rFonts w:eastAsia="Times New Roman"/>
          <w:bCs/>
          <w:szCs w:val="20"/>
        </w:rPr>
      </w:pPr>
      <w:r w:rsidRPr="008719C7">
        <w:rPr>
          <w:rFonts w:eastAsia="Times New Roman"/>
          <w:szCs w:val="20"/>
        </w:rPr>
        <w:t>CERCLA Sections 102a/103 (40 CFR 302.4):</w:t>
      </w:r>
      <w:r w:rsidR="00A1734F" w:rsidRPr="008719C7">
        <w:rPr>
          <w:rFonts w:eastAsia="Times New Roman"/>
          <w:szCs w:val="20"/>
        </w:rPr>
        <w:tab/>
      </w:r>
      <w:r w:rsidR="007821E9" w:rsidRPr="008719C7">
        <w:rPr>
          <w:rFonts w:eastAsia="Times New Roman"/>
          <w:bCs/>
          <w:szCs w:val="20"/>
        </w:rPr>
        <w:t>1 </w:t>
      </w:r>
      <w:proofErr w:type="spellStart"/>
      <w:r w:rsidR="007821E9" w:rsidRPr="008719C7">
        <w:rPr>
          <w:rFonts w:eastAsia="Times New Roman"/>
          <w:bCs/>
          <w:szCs w:val="20"/>
        </w:rPr>
        <w:t>lb</w:t>
      </w:r>
      <w:proofErr w:type="spellEnd"/>
      <w:r w:rsidR="007821E9" w:rsidRPr="008719C7">
        <w:rPr>
          <w:rFonts w:eastAsia="Times New Roman"/>
          <w:bCs/>
          <w:szCs w:val="20"/>
        </w:rPr>
        <w:t xml:space="preserve"> (</w:t>
      </w:r>
      <w:r w:rsidR="00091FDB" w:rsidRPr="008719C7">
        <w:rPr>
          <w:rFonts w:eastAsia="Times New Roman"/>
          <w:bCs/>
          <w:szCs w:val="20"/>
        </w:rPr>
        <w:t>0.</w:t>
      </w:r>
      <w:r w:rsidR="007821E9" w:rsidRPr="008719C7">
        <w:rPr>
          <w:rFonts w:eastAsia="Times New Roman"/>
          <w:bCs/>
          <w:szCs w:val="20"/>
        </w:rPr>
        <w:t>454 kg) final RQ</w:t>
      </w:r>
      <w:r w:rsidR="0010520D">
        <w:rPr>
          <w:rFonts w:eastAsia="Times New Roman"/>
          <w:bCs/>
          <w:szCs w:val="20"/>
        </w:rPr>
        <w:t>.</w:t>
      </w:r>
    </w:p>
    <w:p w14:paraId="1D1B8B89" w14:textId="77777777" w:rsidR="00091FDB" w:rsidRPr="008719C7" w:rsidRDefault="00D536DB">
      <w:pPr>
        <w:widowControl/>
        <w:tabs>
          <w:tab w:val="left" w:pos="4140"/>
        </w:tabs>
        <w:spacing w:after="0" w:line="240" w:lineRule="auto"/>
        <w:ind w:left="4147" w:hanging="3859"/>
        <w:jc w:val="left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SARA Title III Section 302 (40 CFR 355.30):</w:t>
      </w:r>
      <w:r w:rsidR="00A1734F" w:rsidRPr="008719C7">
        <w:rPr>
          <w:rFonts w:eastAsia="Times New Roman"/>
          <w:szCs w:val="20"/>
        </w:rPr>
        <w:tab/>
      </w:r>
      <w:r w:rsidR="00091FDB" w:rsidRPr="008719C7">
        <w:rPr>
          <w:rFonts w:eastAsia="Times New Roman"/>
          <w:szCs w:val="20"/>
        </w:rPr>
        <w:t>Not regulated.</w:t>
      </w:r>
    </w:p>
    <w:p w14:paraId="44C4C8A2" w14:textId="77777777" w:rsidR="00091FDB" w:rsidRPr="008719C7" w:rsidRDefault="00D536DB">
      <w:pPr>
        <w:widowControl/>
        <w:tabs>
          <w:tab w:val="left" w:pos="4140"/>
        </w:tabs>
        <w:spacing w:after="0" w:line="240" w:lineRule="auto"/>
        <w:ind w:left="4147" w:hanging="3859"/>
        <w:jc w:val="left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SARA Title III Section 304 (40 CFR 355.40):</w:t>
      </w:r>
      <w:r w:rsidR="008B3743" w:rsidRPr="008719C7">
        <w:rPr>
          <w:rFonts w:eastAsia="Times New Roman"/>
          <w:szCs w:val="20"/>
        </w:rPr>
        <w:tab/>
      </w:r>
      <w:r w:rsidR="00091FDB" w:rsidRPr="008719C7">
        <w:rPr>
          <w:rFonts w:eastAsia="Times New Roman"/>
          <w:szCs w:val="20"/>
        </w:rPr>
        <w:t>Not regulated.</w:t>
      </w:r>
    </w:p>
    <w:p w14:paraId="4C51BBBA" w14:textId="051A8119" w:rsidR="00091FDB" w:rsidRPr="008719C7" w:rsidRDefault="00D536DB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0" w:line="240" w:lineRule="auto"/>
        <w:ind w:left="274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SARA Title III Section 313 (40 CFR 372.65):</w:t>
      </w:r>
      <w:r w:rsidR="008B3743" w:rsidRPr="008719C7">
        <w:rPr>
          <w:rFonts w:eastAsia="Times New Roman"/>
          <w:szCs w:val="20"/>
        </w:rPr>
        <w:tab/>
      </w:r>
      <w:r w:rsidR="00D52D3B" w:rsidRPr="008719C7">
        <w:rPr>
          <w:rFonts w:eastAsia="Times New Roman"/>
          <w:szCs w:val="20"/>
        </w:rPr>
        <w:t xml:space="preserve">Mercury compounds, </w:t>
      </w:r>
      <w:r w:rsidR="00865015" w:rsidRPr="008719C7">
        <w:rPr>
          <w:rFonts w:eastAsia="Times New Roman"/>
          <w:szCs w:val="20"/>
        </w:rPr>
        <w:t xml:space="preserve">1 % </w:t>
      </w:r>
      <w:r w:rsidR="007821E9" w:rsidRPr="008719C7">
        <w:rPr>
          <w:rFonts w:eastAsia="Times New Roman"/>
          <w:szCs w:val="20"/>
        </w:rPr>
        <w:t>Supplier notification limit</w:t>
      </w:r>
      <w:r w:rsidR="0010520D">
        <w:rPr>
          <w:rFonts w:eastAsia="Times New Roman"/>
          <w:szCs w:val="20"/>
        </w:rPr>
        <w:t>.</w:t>
      </w:r>
    </w:p>
    <w:p w14:paraId="769BB658" w14:textId="77777777" w:rsidR="00D536DB" w:rsidRPr="008719C7" w:rsidRDefault="00D536DB">
      <w:pPr>
        <w:widowControl/>
        <w:tabs>
          <w:tab w:val="left" w:pos="4140"/>
        </w:tabs>
        <w:spacing w:after="0" w:line="240" w:lineRule="auto"/>
        <w:ind w:left="4147" w:hanging="3859"/>
        <w:jc w:val="left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OSHA Pr</w:t>
      </w:r>
      <w:r w:rsidR="00091FDB" w:rsidRPr="008719C7">
        <w:rPr>
          <w:rFonts w:eastAsia="Times New Roman"/>
          <w:szCs w:val="20"/>
        </w:rPr>
        <w:t>ocess Safety (29 CFR 1910.119):</w:t>
      </w:r>
      <w:r w:rsidR="00091FDB" w:rsidRPr="008719C7">
        <w:rPr>
          <w:rFonts w:eastAsia="Times New Roman"/>
          <w:szCs w:val="20"/>
        </w:rPr>
        <w:tab/>
        <w:t>Not regulated.</w:t>
      </w:r>
    </w:p>
    <w:p w14:paraId="4EAF3DC3" w14:textId="77777777" w:rsidR="00D536DB" w:rsidRPr="008719C7" w:rsidRDefault="00D536DB">
      <w:pPr>
        <w:keepNext/>
        <w:keepLines/>
        <w:widowControl/>
        <w:overflowPunct w:val="0"/>
        <w:autoSpaceDE w:val="0"/>
        <w:autoSpaceDN w:val="0"/>
        <w:adjustRightInd w:val="0"/>
        <w:spacing w:after="0" w:line="240" w:lineRule="auto"/>
        <w:ind w:left="274"/>
        <w:jc w:val="left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SARA Title III Sections 311/312 Hazardous Categories (40 CFR 370.21):</w:t>
      </w:r>
    </w:p>
    <w:p w14:paraId="33E13BFB" w14:textId="77777777" w:rsidR="00D536DB" w:rsidRPr="008719C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ACUTE HEALTH:</w:t>
      </w:r>
      <w:r w:rsidRPr="008719C7">
        <w:rPr>
          <w:rFonts w:eastAsia="Times New Roman"/>
          <w:szCs w:val="20"/>
        </w:rPr>
        <w:tab/>
        <w:t>Yes.</w:t>
      </w:r>
    </w:p>
    <w:p w14:paraId="62C6D35D" w14:textId="77777777" w:rsidR="00D536DB" w:rsidRPr="008719C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CHRONIC HEALTH:</w:t>
      </w:r>
      <w:r w:rsidRPr="008719C7">
        <w:rPr>
          <w:rFonts w:eastAsia="Times New Roman"/>
          <w:szCs w:val="20"/>
        </w:rPr>
        <w:tab/>
      </w:r>
      <w:r w:rsidR="00865015" w:rsidRPr="008719C7">
        <w:rPr>
          <w:rFonts w:eastAsia="Times New Roman"/>
          <w:szCs w:val="20"/>
        </w:rPr>
        <w:t>Yes</w:t>
      </w:r>
      <w:r w:rsidRPr="008719C7">
        <w:rPr>
          <w:rFonts w:eastAsia="Times New Roman"/>
          <w:szCs w:val="20"/>
        </w:rPr>
        <w:t>.</w:t>
      </w:r>
    </w:p>
    <w:p w14:paraId="00A7860F" w14:textId="77777777" w:rsidR="00D536DB" w:rsidRPr="008719C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FIRE:</w:t>
      </w:r>
      <w:r w:rsidRPr="008719C7">
        <w:rPr>
          <w:rFonts w:eastAsia="Times New Roman"/>
          <w:szCs w:val="20"/>
        </w:rPr>
        <w:tab/>
        <w:t>No.</w:t>
      </w:r>
    </w:p>
    <w:p w14:paraId="35CE96D0" w14:textId="77777777" w:rsidR="00D536DB" w:rsidRPr="008719C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REACTIVE:</w:t>
      </w:r>
      <w:r w:rsidRPr="008719C7">
        <w:rPr>
          <w:rFonts w:eastAsia="Times New Roman"/>
          <w:szCs w:val="20"/>
        </w:rPr>
        <w:tab/>
        <w:t>No.</w:t>
      </w:r>
    </w:p>
    <w:p w14:paraId="517C673B" w14:textId="77777777" w:rsidR="00D536DB" w:rsidRPr="008719C7" w:rsidRDefault="00D536DB">
      <w:pPr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>PRESSURE:</w:t>
      </w:r>
      <w:r w:rsidRPr="008719C7">
        <w:rPr>
          <w:rFonts w:eastAsia="Times New Roman"/>
          <w:szCs w:val="20"/>
        </w:rPr>
        <w:tab/>
      </w:r>
      <w:r w:rsidR="00BB14A2" w:rsidRPr="008719C7">
        <w:rPr>
          <w:rFonts w:eastAsia="Times New Roman"/>
          <w:szCs w:val="20"/>
        </w:rPr>
        <w:t>No</w:t>
      </w:r>
      <w:r w:rsidRPr="008719C7">
        <w:rPr>
          <w:rFonts w:eastAsia="Times New Roman"/>
          <w:szCs w:val="20"/>
        </w:rPr>
        <w:t>.</w:t>
      </w:r>
    </w:p>
    <w:p w14:paraId="2C91142F" w14:textId="77777777" w:rsidR="00D536DB" w:rsidRPr="008719C7" w:rsidRDefault="00D536DB">
      <w:pPr>
        <w:widowControl/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rPr>
          <w:rFonts w:eastAsia="Times New Roman"/>
          <w:b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State</w:t>
      </w:r>
      <w:r w:rsidR="00AA6AC2" w:rsidRPr="008719C7">
        <w:rPr>
          <w:rFonts w:eastAsia="Times New Roman"/>
          <w:b/>
          <w:bCs/>
          <w:szCs w:val="20"/>
        </w:rPr>
        <w:t xml:space="preserve"> </w:t>
      </w:r>
      <w:r w:rsidRPr="008719C7">
        <w:rPr>
          <w:rFonts w:eastAsia="Times New Roman"/>
          <w:b/>
          <w:bCs/>
          <w:szCs w:val="20"/>
        </w:rPr>
        <w:t>Regulations</w:t>
      </w:r>
      <w:r w:rsidR="00622BAB" w:rsidRPr="008719C7">
        <w:rPr>
          <w:rFonts w:eastAsia="Times New Roman"/>
          <w:b/>
          <w:bCs/>
          <w:szCs w:val="20"/>
        </w:rPr>
        <w:t>:</w:t>
      </w:r>
    </w:p>
    <w:p w14:paraId="54C00911" w14:textId="77777777" w:rsidR="00D536DB" w:rsidRPr="008719C7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textAlignment w:val="baseline"/>
        <w:rPr>
          <w:rFonts w:eastAsia="Times New Roman"/>
          <w:szCs w:val="20"/>
        </w:rPr>
      </w:pPr>
      <w:r w:rsidRPr="008719C7">
        <w:rPr>
          <w:rFonts w:eastAsia="Times New Roman"/>
          <w:szCs w:val="20"/>
        </w:rPr>
        <w:t xml:space="preserve">California Proposition 65:  </w:t>
      </w:r>
      <w:r w:rsidR="007821E9" w:rsidRPr="008719C7">
        <w:rPr>
          <w:rFonts w:eastAsia="Times New Roman"/>
          <w:szCs w:val="20"/>
        </w:rPr>
        <w:t xml:space="preserve">Warning!  This material contains a chemical </w:t>
      </w:r>
      <w:r w:rsidR="00882A34" w:rsidRPr="008719C7">
        <w:rPr>
          <w:rFonts w:eastAsia="Times New Roman"/>
          <w:szCs w:val="20"/>
        </w:rPr>
        <w:t xml:space="preserve">(mercury) </w:t>
      </w:r>
      <w:r w:rsidR="007821E9" w:rsidRPr="008719C7">
        <w:rPr>
          <w:rFonts w:eastAsia="Times New Roman"/>
          <w:szCs w:val="20"/>
        </w:rPr>
        <w:t>know</w:t>
      </w:r>
      <w:r w:rsidR="00882A34" w:rsidRPr="008719C7">
        <w:rPr>
          <w:rFonts w:eastAsia="Times New Roman"/>
          <w:szCs w:val="20"/>
        </w:rPr>
        <w:t>n</w:t>
      </w:r>
      <w:r w:rsidR="007821E9" w:rsidRPr="008719C7">
        <w:rPr>
          <w:rFonts w:eastAsia="Times New Roman"/>
          <w:szCs w:val="20"/>
        </w:rPr>
        <w:t xml:space="preserve"> to the state of California to cause reproductive/developmental effects</w:t>
      </w:r>
      <w:r w:rsidR="00AC7FCA" w:rsidRPr="008719C7">
        <w:rPr>
          <w:rFonts w:eastAsia="Times New Roman"/>
          <w:szCs w:val="20"/>
        </w:rPr>
        <w:t>.</w:t>
      </w:r>
    </w:p>
    <w:p w14:paraId="6628C1A4" w14:textId="77777777" w:rsidR="004521E9" w:rsidRDefault="008E1B2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 xml:space="preserve">U.S. TSCA </w:t>
      </w:r>
      <w:r w:rsidR="003D5857" w:rsidRPr="008719C7">
        <w:rPr>
          <w:rFonts w:eastAsia="Times New Roman"/>
          <w:b/>
          <w:bCs/>
          <w:szCs w:val="20"/>
        </w:rPr>
        <w:t>Inventory:</w:t>
      </w:r>
      <w:r w:rsidR="00714D24" w:rsidRPr="008719C7">
        <w:rPr>
          <w:rFonts w:eastAsia="Times New Roman"/>
          <w:bCs/>
          <w:szCs w:val="20"/>
        </w:rPr>
        <w:t xml:space="preserve">  </w:t>
      </w:r>
      <w:r w:rsidR="00091FDB" w:rsidRPr="008719C7">
        <w:rPr>
          <w:rFonts w:eastAsia="Times New Roman"/>
          <w:bCs/>
          <w:szCs w:val="20"/>
        </w:rPr>
        <w:t>Mercury is</w:t>
      </w:r>
      <w:r w:rsidR="00BB14A2" w:rsidRPr="008719C7">
        <w:rPr>
          <w:rFonts w:eastAsia="Times New Roman"/>
          <w:bCs/>
          <w:szCs w:val="20"/>
        </w:rPr>
        <w:t xml:space="preserve"> listed</w:t>
      </w:r>
      <w:r w:rsidR="00714D24" w:rsidRPr="008719C7">
        <w:rPr>
          <w:rFonts w:eastAsia="Times New Roman"/>
          <w:bCs/>
          <w:szCs w:val="20"/>
        </w:rPr>
        <w:t>.</w:t>
      </w:r>
    </w:p>
    <w:p w14:paraId="4499A312" w14:textId="77777777" w:rsidR="003D5857" w:rsidRPr="008719C7" w:rsidRDefault="003D5857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TSCA 12(b), Export Notification:</w:t>
      </w:r>
      <w:r w:rsidR="00130CC0" w:rsidRPr="008719C7">
        <w:rPr>
          <w:rFonts w:eastAsia="Times New Roman"/>
          <w:bCs/>
          <w:szCs w:val="20"/>
        </w:rPr>
        <w:t xml:space="preserve">  </w:t>
      </w:r>
      <w:r w:rsidR="00091FDB" w:rsidRPr="008719C7">
        <w:rPr>
          <w:rFonts w:eastAsia="Times New Roman"/>
          <w:bCs/>
          <w:szCs w:val="20"/>
        </w:rPr>
        <w:t xml:space="preserve">Section 5, 1 % de </w:t>
      </w:r>
      <w:proofErr w:type="spellStart"/>
      <w:r w:rsidR="00091FDB" w:rsidRPr="008719C7">
        <w:rPr>
          <w:rFonts w:eastAsia="Times New Roman"/>
          <w:bCs/>
          <w:szCs w:val="20"/>
        </w:rPr>
        <w:t>minimus</w:t>
      </w:r>
      <w:proofErr w:type="spellEnd"/>
      <w:r w:rsidR="00091FDB" w:rsidRPr="008719C7">
        <w:rPr>
          <w:rFonts w:eastAsia="Times New Roman"/>
          <w:bCs/>
          <w:szCs w:val="20"/>
        </w:rPr>
        <w:t xml:space="preserve"> concentration.</w:t>
      </w:r>
    </w:p>
    <w:p w14:paraId="5511B1FE" w14:textId="77777777" w:rsidR="00865015" w:rsidRPr="008719C7" w:rsidRDefault="003D5857">
      <w:pPr>
        <w:widowControl/>
        <w:spacing w:before="120" w:after="12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C</w:t>
      </w:r>
      <w:r w:rsidR="00AA6AC2" w:rsidRPr="008719C7">
        <w:rPr>
          <w:rFonts w:eastAsia="Times New Roman"/>
          <w:b/>
          <w:bCs/>
          <w:szCs w:val="20"/>
        </w:rPr>
        <w:t xml:space="preserve">anadian </w:t>
      </w:r>
      <w:r w:rsidRPr="008719C7">
        <w:rPr>
          <w:rFonts w:eastAsia="Times New Roman"/>
          <w:b/>
          <w:bCs/>
          <w:szCs w:val="20"/>
        </w:rPr>
        <w:t>R</w:t>
      </w:r>
      <w:r w:rsidR="00AA6AC2" w:rsidRPr="008719C7">
        <w:rPr>
          <w:rFonts w:eastAsia="Times New Roman"/>
          <w:b/>
          <w:bCs/>
          <w:szCs w:val="20"/>
        </w:rPr>
        <w:t>egulations</w:t>
      </w:r>
      <w:r w:rsidR="00622BAB" w:rsidRPr="008719C7">
        <w:rPr>
          <w:rFonts w:eastAsia="Times New Roman"/>
          <w:b/>
          <w:bCs/>
          <w:szCs w:val="20"/>
        </w:rPr>
        <w:t>:</w:t>
      </w:r>
      <w:r w:rsidR="00091FDB" w:rsidRPr="008719C7">
        <w:rPr>
          <w:rFonts w:eastAsia="Times New Roman"/>
          <w:b/>
          <w:bCs/>
          <w:szCs w:val="20"/>
        </w:rPr>
        <w:t xml:space="preserve">  </w:t>
      </w:r>
      <w:r w:rsidRPr="008719C7">
        <w:rPr>
          <w:rFonts w:eastAsia="Times New Roman"/>
          <w:szCs w:val="20"/>
        </w:rPr>
        <w:t>WHMIS Information</w:t>
      </w:r>
      <w:r w:rsidR="00091FDB" w:rsidRPr="008719C7">
        <w:rPr>
          <w:rFonts w:eastAsia="Times New Roman"/>
          <w:szCs w:val="20"/>
        </w:rPr>
        <w:t xml:space="preserve"> is n</w:t>
      </w:r>
      <w:r w:rsidRPr="008719C7">
        <w:rPr>
          <w:rFonts w:eastAsia="Times New Roman"/>
          <w:szCs w:val="20"/>
        </w:rPr>
        <w:t>ot provided for this material.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8719C7" w14:paraId="78949A66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22E64FEA" w14:textId="77777777" w:rsidR="0067534E" w:rsidRPr="008719C7" w:rsidRDefault="0067534E">
            <w:pPr>
              <w:keepNext/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16. O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 xml:space="preserve">THER </w:t>
            </w:r>
            <w:r w:rsidRPr="008719C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719C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77F42573" w14:textId="581B679C" w:rsidR="00622AE4" w:rsidRPr="008719C7" w:rsidRDefault="00622AE4" w:rsidP="00B4734C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Issue Date:</w:t>
      </w:r>
      <w:r w:rsidR="00E459F4">
        <w:rPr>
          <w:rFonts w:eastAsia="Times New Roman"/>
          <w:b/>
          <w:bCs/>
          <w:szCs w:val="20"/>
        </w:rPr>
        <w:t xml:space="preserve"> </w:t>
      </w:r>
      <w:r w:rsidRPr="008719C7">
        <w:rPr>
          <w:rFonts w:eastAsia="Times New Roman"/>
          <w:bCs/>
          <w:szCs w:val="20"/>
        </w:rPr>
        <w:t xml:space="preserve"> </w:t>
      </w:r>
      <w:r w:rsidR="00B4734C">
        <w:rPr>
          <w:rFonts w:eastAsia="Times New Roman"/>
          <w:bCs/>
          <w:szCs w:val="20"/>
        </w:rPr>
        <w:t>30</w:t>
      </w:r>
      <w:r w:rsidR="00386118">
        <w:rPr>
          <w:rFonts w:eastAsia="Times New Roman"/>
          <w:bCs/>
          <w:szCs w:val="20"/>
        </w:rPr>
        <w:t> August</w:t>
      </w:r>
      <w:r w:rsidR="00386118">
        <w:t> </w:t>
      </w:r>
      <w:r w:rsidR="00386118" w:rsidRPr="008719C7">
        <w:rPr>
          <w:rFonts w:eastAsia="Times New Roman"/>
          <w:bCs/>
          <w:szCs w:val="20"/>
        </w:rPr>
        <w:t>201</w:t>
      </w:r>
      <w:r w:rsidR="00386118">
        <w:rPr>
          <w:rFonts w:eastAsia="Times New Roman"/>
          <w:bCs/>
          <w:szCs w:val="20"/>
        </w:rPr>
        <w:t>6</w:t>
      </w:r>
    </w:p>
    <w:p w14:paraId="6C4DAA48" w14:textId="32378F2D" w:rsidR="00BB14A2" w:rsidRPr="008719C7" w:rsidRDefault="00622AE4" w:rsidP="00C61FDA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zCs w:val="20"/>
        </w:rPr>
      </w:pPr>
      <w:r w:rsidRPr="008719C7">
        <w:rPr>
          <w:rFonts w:eastAsia="Times New Roman"/>
          <w:b/>
          <w:bCs/>
          <w:szCs w:val="20"/>
        </w:rPr>
        <w:t>Sources:</w:t>
      </w:r>
      <w:r w:rsidR="00537670" w:rsidRPr="008719C7">
        <w:rPr>
          <w:rFonts w:eastAsia="Times New Roman"/>
          <w:bCs/>
          <w:szCs w:val="20"/>
        </w:rPr>
        <w:tab/>
      </w:r>
      <w:r w:rsidR="00BB14A2" w:rsidRPr="008719C7">
        <w:rPr>
          <w:rFonts w:eastAsia="Times New Roman"/>
          <w:bCs/>
          <w:szCs w:val="20"/>
        </w:rPr>
        <w:t xml:space="preserve">ChemAdvisor, Inc., SDS </w:t>
      </w:r>
      <w:r w:rsidR="00091FDB" w:rsidRPr="008719C7">
        <w:rPr>
          <w:rFonts w:eastAsia="Times New Roman"/>
          <w:bCs/>
          <w:i/>
          <w:szCs w:val="20"/>
        </w:rPr>
        <w:t>Mercury</w:t>
      </w:r>
      <w:r w:rsidR="00BB14A2" w:rsidRPr="008719C7">
        <w:rPr>
          <w:rFonts w:eastAsia="Times New Roman"/>
          <w:bCs/>
          <w:szCs w:val="20"/>
        </w:rPr>
        <w:t xml:space="preserve">, </w:t>
      </w:r>
      <w:r w:rsidR="00091FDB" w:rsidRPr="008719C7">
        <w:rPr>
          <w:rFonts w:eastAsia="Times New Roman"/>
          <w:bCs/>
          <w:szCs w:val="20"/>
        </w:rPr>
        <w:t>15 December </w:t>
      </w:r>
      <w:r w:rsidR="00651F7E" w:rsidRPr="008719C7">
        <w:rPr>
          <w:rFonts w:eastAsia="Times New Roman"/>
          <w:bCs/>
          <w:szCs w:val="20"/>
        </w:rPr>
        <w:t>2014</w:t>
      </w:r>
      <w:r w:rsidR="00BB14A2" w:rsidRPr="008719C7">
        <w:rPr>
          <w:rFonts w:eastAsia="Times New Roman"/>
          <w:bCs/>
          <w:szCs w:val="20"/>
        </w:rPr>
        <w:t>.</w:t>
      </w:r>
    </w:p>
    <w:p w14:paraId="7A8A6F95" w14:textId="08A41A89" w:rsidR="00610128" w:rsidRPr="008719C7" w:rsidRDefault="00546476" w:rsidP="00B4734C">
      <w:pPr>
        <w:widowControl/>
        <w:tabs>
          <w:tab w:val="left" w:pos="1080"/>
        </w:tabs>
        <w:spacing w:after="0" w:line="240" w:lineRule="auto"/>
        <w:ind w:left="1080"/>
        <w:rPr>
          <w:rFonts w:eastAsia="Times New Roman"/>
          <w:bCs/>
          <w:szCs w:val="20"/>
        </w:rPr>
      </w:pPr>
      <w:r w:rsidRPr="008719C7">
        <w:rPr>
          <w:rFonts w:eastAsia="Times New Roman"/>
          <w:bCs/>
          <w:szCs w:val="20"/>
        </w:rPr>
        <w:t xml:space="preserve">Concise International Chemical Assessment, IPCS INCHEM, </w:t>
      </w:r>
      <w:r w:rsidRPr="008719C7">
        <w:rPr>
          <w:rFonts w:eastAsia="Times New Roman"/>
          <w:bCs/>
          <w:i/>
          <w:szCs w:val="20"/>
        </w:rPr>
        <w:t>Elemental Mercury and Inorganic Mercury Compounds:  Human Health Aspects</w:t>
      </w:r>
      <w:r w:rsidRPr="008719C7">
        <w:rPr>
          <w:rFonts w:eastAsia="Times New Roman"/>
          <w:bCs/>
          <w:szCs w:val="20"/>
        </w:rPr>
        <w:t xml:space="preserve">, World Health Organization, Geneva (2003) available at:  </w:t>
      </w:r>
      <w:hyperlink r:id="rId15" w:history="1">
        <w:r w:rsidRPr="008719C7">
          <w:rPr>
            <w:rStyle w:val="Strong"/>
            <w:b w:val="0"/>
          </w:rPr>
          <w:t>http://www.inchem.org/documents/cicads/cicads/cicad50.htm</w:t>
        </w:r>
      </w:hyperlink>
      <w:r w:rsidRPr="008719C7">
        <w:rPr>
          <w:rFonts w:eastAsia="Times New Roman"/>
          <w:bCs/>
          <w:szCs w:val="20"/>
        </w:rPr>
        <w:t xml:space="preserve"> (accessed </w:t>
      </w:r>
      <w:r w:rsidR="00EE2C6C">
        <w:rPr>
          <w:rFonts w:eastAsia="Times New Roman"/>
          <w:bCs/>
          <w:szCs w:val="20"/>
        </w:rPr>
        <w:t>Aug 2016</w:t>
      </w:r>
      <w:r w:rsidRPr="008719C7">
        <w:rPr>
          <w:rFonts w:eastAsia="Times New Roman"/>
          <w:bCs/>
          <w:szCs w:val="20"/>
        </w:rPr>
        <w:t>).</w:t>
      </w:r>
    </w:p>
    <w:p w14:paraId="2BE7A8D5" w14:textId="77777777" w:rsidR="00601808" w:rsidRPr="008719C7" w:rsidRDefault="00601808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7144B709" w14:textId="77777777" w:rsidR="00296E4D" w:rsidRPr="008719C7" w:rsidRDefault="002732BD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0" w:line="240" w:lineRule="auto"/>
        <w:rPr>
          <w:b/>
          <w:szCs w:val="20"/>
        </w:rPr>
      </w:pPr>
      <w:r w:rsidRPr="008719C7">
        <w:rPr>
          <w:b/>
          <w:szCs w:val="20"/>
        </w:rPr>
        <w:t>Key of Acronyms:</w:t>
      </w:r>
    </w:p>
    <w:p w14:paraId="742ED54B" w14:textId="77777777" w:rsidR="00D01B3F" w:rsidRPr="008719C7" w:rsidRDefault="00D01B3F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after="0" w:line="240" w:lineRule="auto"/>
        <w:rPr>
          <w:szCs w:val="20"/>
        </w:rPr>
      </w:pP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D01B3F" w:rsidRPr="008719C7" w14:paraId="20F06403" w14:textId="77777777" w:rsidTr="00651F7E">
        <w:trPr>
          <w:trHeight w:val="197"/>
        </w:trPr>
        <w:tc>
          <w:tcPr>
            <w:tcW w:w="1024" w:type="dxa"/>
          </w:tcPr>
          <w:p w14:paraId="43B9965B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41CA017E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7DA80FD8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3374BFD7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Nuclear Regulatory Commission</w:t>
            </w:r>
          </w:p>
        </w:tc>
      </w:tr>
      <w:tr w:rsidR="00D01B3F" w:rsidRPr="008719C7" w14:paraId="760EE02F" w14:textId="77777777" w:rsidTr="00651F7E">
        <w:trPr>
          <w:trHeight w:val="144"/>
        </w:trPr>
        <w:tc>
          <w:tcPr>
            <w:tcW w:w="1024" w:type="dxa"/>
          </w:tcPr>
          <w:p w14:paraId="413996D0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595B8D97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2853C681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NTP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0F304E0" w14:textId="77777777" w:rsidR="00D01B3F" w:rsidRPr="008719C7" w:rsidRDefault="00D01B3F" w:rsidP="00C61FDA">
            <w:pPr>
              <w:widowControl/>
              <w:spacing w:after="0" w:line="240" w:lineRule="auto"/>
              <w:ind w:right="-86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National Toxicology Program</w:t>
            </w:r>
          </w:p>
        </w:tc>
      </w:tr>
      <w:tr w:rsidR="00D01B3F" w:rsidRPr="008719C7" w14:paraId="73ECB4FB" w14:textId="77777777" w:rsidTr="00651F7E">
        <w:trPr>
          <w:trHeight w:val="144"/>
        </w:trPr>
        <w:tc>
          <w:tcPr>
            <w:tcW w:w="1024" w:type="dxa"/>
          </w:tcPr>
          <w:p w14:paraId="33BB70F9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CAS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8E9CAB6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Chemical Abstracts Service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C12822D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OSHA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D190549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Occupational Safety and Health Administration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2891E2C1" w14:textId="77777777" w:rsidTr="00651F7E">
        <w:trPr>
          <w:trHeight w:val="144"/>
        </w:trPr>
        <w:tc>
          <w:tcPr>
            <w:tcW w:w="1024" w:type="dxa"/>
          </w:tcPr>
          <w:p w14:paraId="5AE7FDF0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CERCLA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105CAAA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Comprehensive Environmental Response, Compensation, and Liability Act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63C9382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PEL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CF39B18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Permissible Exposure L</w:t>
            </w:r>
            <w:r w:rsidR="00601808" w:rsidRPr="008719C7">
              <w:rPr>
                <w:rFonts w:eastAsia="Calibri"/>
                <w:sz w:val="16"/>
                <w:szCs w:val="16"/>
              </w:rPr>
              <w:t>imit</w:t>
            </w:r>
          </w:p>
        </w:tc>
      </w:tr>
      <w:tr w:rsidR="00D01B3F" w:rsidRPr="008719C7" w14:paraId="07677478" w14:textId="77777777" w:rsidTr="00651F7E">
        <w:trPr>
          <w:trHeight w:val="144"/>
        </w:trPr>
        <w:tc>
          <w:tcPr>
            <w:tcW w:w="1024" w:type="dxa"/>
          </w:tcPr>
          <w:p w14:paraId="7FB4C37A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CFR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4BC1675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Code of Federal Regulations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EB65926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RCRA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486EE0E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Resource Conservation and Recovery Act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34C06402" w14:textId="77777777" w:rsidTr="00651F7E">
        <w:trPr>
          <w:trHeight w:val="144"/>
        </w:trPr>
        <w:tc>
          <w:tcPr>
            <w:tcW w:w="1024" w:type="dxa"/>
          </w:tcPr>
          <w:p w14:paraId="26EBC9DB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DOT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EAB9B1E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Department of Transportation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6AAF74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REL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FD9E204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Recommended Exposure Limit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5B44B5DC" w14:textId="77777777" w:rsidTr="00651F7E">
        <w:trPr>
          <w:trHeight w:val="144"/>
        </w:trPr>
        <w:tc>
          <w:tcPr>
            <w:tcW w:w="1024" w:type="dxa"/>
          </w:tcPr>
          <w:p w14:paraId="53C96F2D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71BAF201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Effective Concentration, 50</w:t>
            </w:r>
            <w:r w:rsidR="00601808" w:rsidRPr="008719C7">
              <w:rPr>
                <w:rFonts w:eastAsia="Calibri"/>
                <w:sz w:val="16"/>
                <w:szCs w:val="16"/>
              </w:rPr>
              <w:t> </w:t>
            </w:r>
            <w:r w:rsidRPr="008719C7">
              <w:rPr>
                <w:rFonts w:eastAsia="Calibri"/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14:paraId="2BE2F658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3D1149B0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Reference Material</w:t>
            </w:r>
          </w:p>
        </w:tc>
      </w:tr>
      <w:tr w:rsidR="00D01B3F" w:rsidRPr="008719C7" w14:paraId="3F607126" w14:textId="77777777" w:rsidTr="00651F7E">
        <w:trPr>
          <w:trHeight w:val="144"/>
        </w:trPr>
        <w:tc>
          <w:tcPr>
            <w:tcW w:w="1024" w:type="dxa"/>
          </w:tcPr>
          <w:p w14:paraId="7601995A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36650922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European Inventory of Existing Commercial Chemical Substances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1C2582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RQ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BD7C2FF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Reportable Quantity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5F9EB368" w14:textId="77777777" w:rsidTr="00651F7E">
        <w:trPr>
          <w:trHeight w:val="144"/>
        </w:trPr>
        <w:tc>
          <w:tcPr>
            <w:tcW w:w="1024" w:type="dxa"/>
          </w:tcPr>
          <w:p w14:paraId="71E1A7B4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EPCRA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8EB899E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Emergency Planning and Community Right-to-Know Act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F0B5B85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71C2F786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Registry of Toxic Effects of Chemical Substances</w:t>
            </w:r>
          </w:p>
        </w:tc>
      </w:tr>
      <w:tr w:rsidR="00D01B3F" w:rsidRPr="008719C7" w14:paraId="4080C806" w14:textId="77777777" w:rsidTr="00651F7E">
        <w:trPr>
          <w:trHeight w:val="144"/>
        </w:trPr>
        <w:tc>
          <w:tcPr>
            <w:tcW w:w="1024" w:type="dxa"/>
          </w:tcPr>
          <w:p w14:paraId="665593FD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IARC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1B50BC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International Agency for Research on Cancer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EF537DB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SARA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06C9443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Superfund Amendments and Reauthorization Act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3F0282D4" w14:textId="77777777" w:rsidTr="00651F7E">
        <w:trPr>
          <w:trHeight w:val="144"/>
        </w:trPr>
        <w:tc>
          <w:tcPr>
            <w:tcW w:w="1024" w:type="dxa"/>
          </w:tcPr>
          <w:p w14:paraId="2786676C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IATA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A3A5A85" w14:textId="1888AEDE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International Air Transport A</w:t>
            </w:r>
            <w:r w:rsidR="00B4734C">
              <w:rPr>
                <w:rFonts w:eastAsia="Calibri"/>
                <w:sz w:val="16"/>
                <w:szCs w:val="16"/>
              </w:rPr>
              <w:t>ssociation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BAF9AAC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SCBA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ACDAA13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Self</w:t>
            </w:r>
            <w:r w:rsidRPr="008719C7">
              <w:rPr>
                <w:rFonts w:eastAsia="Calibri"/>
                <w:sz w:val="16"/>
                <w:szCs w:val="16"/>
              </w:rPr>
              <w:noBreakHyphen/>
              <w:t>Contained Breathing Apparatus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493B8AAF" w14:textId="77777777" w:rsidTr="00651F7E">
        <w:trPr>
          <w:trHeight w:val="144"/>
        </w:trPr>
        <w:tc>
          <w:tcPr>
            <w:tcW w:w="1024" w:type="dxa"/>
          </w:tcPr>
          <w:p w14:paraId="5E61D675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IDLH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A6D1F5E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Immediately Dangerous to Life and Health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594352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SRM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6788964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Standard Reference Material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D01B3F" w:rsidRPr="008719C7" w14:paraId="19D6B066" w14:textId="77777777" w:rsidTr="00651F7E">
        <w:trPr>
          <w:trHeight w:val="144"/>
        </w:trPr>
        <w:tc>
          <w:tcPr>
            <w:tcW w:w="1024" w:type="dxa"/>
          </w:tcPr>
          <w:p w14:paraId="0C442EC0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2EC220B1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Lethal Concentration, 50 %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86CEED4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STEL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61334A0" w14:textId="77777777" w:rsidR="00D01B3F" w:rsidRPr="008719C7" w:rsidRDefault="00D01B3F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Short Term Exposure Limit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8774A8" w:rsidRPr="008719C7" w14:paraId="28C74346" w14:textId="77777777" w:rsidTr="00651F7E">
        <w:trPr>
          <w:trHeight w:val="144"/>
        </w:trPr>
        <w:tc>
          <w:tcPr>
            <w:tcW w:w="1024" w:type="dxa"/>
          </w:tcPr>
          <w:p w14:paraId="5C39FD76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37BD91DA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7E9126F1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STOT</w:t>
            </w:r>
          </w:p>
        </w:tc>
        <w:tc>
          <w:tcPr>
            <w:tcW w:w="3542" w:type="dxa"/>
          </w:tcPr>
          <w:p w14:paraId="218FE815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Specific Target Organ Toxicity</w:t>
            </w:r>
          </w:p>
        </w:tc>
      </w:tr>
      <w:tr w:rsidR="008774A8" w:rsidRPr="008719C7" w14:paraId="19CD063B" w14:textId="77777777" w:rsidTr="00651F7E">
        <w:trPr>
          <w:trHeight w:val="144"/>
        </w:trPr>
        <w:tc>
          <w:tcPr>
            <w:tcW w:w="1024" w:type="dxa"/>
          </w:tcPr>
          <w:p w14:paraId="7F6C9F81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LEL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301838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Lower Explosive Limit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1DD5AB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TLV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09AB2E0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Threshold Limit Value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8774A8" w:rsidRPr="008719C7" w14:paraId="2E4AB7A3" w14:textId="77777777" w:rsidTr="00651F7E">
        <w:trPr>
          <w:trHeight w:val="144"/>
        </w:trPr>
        <w:tc>
          <w:tcPr>
            <w:tcW w:w="1024" w:type="dxa"/>
          </w:tcPr>
          <w:p w14:paraId="6974CA84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MSDS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08A15ED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Material Safety Data Sheet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C77F520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TPQ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1037FCC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Threshold Planning Quantity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8774A8" w:rsidRPr="008719C7" w14:paraId="73B058E7" w14:textId="77777777" w:rsidTr="00651F7E">
        <w:trPr>
          <w:trHeight w:val="144"/>
        </w:trPr>
        <w:tc>
          <w:tcPr>
            <w:tcW w:w="1024" w:type="dxa"/>
          </w:tcPr>
          <w:p w14:paraId="0373ABE1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NFPA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7958B0B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National Fire Protection Association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F03D03C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TSCA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05839DB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Toxic Substances Control Act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8774A8" w:rsidRPr="008719C7" w14:paraId="286A9933" w14:textId="77777777" w:rsidTr="00651F7E">
        <w:trPr>
          <w:trHeight w:val="144"/>
        </w:trPr>
        <w:tc>
          <w:tcPr>
            <w:tcW w:w="1024" w:type="dxa"/>
          </w:tcPr>
          <w:p w14:paraId="4F4F87A9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NIOSH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9142E0B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National Institute for Occupational Safety and Health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637390E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TWA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94BEDB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Time Weighted Average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8774A8" w:rsidRPr="008719C7" w14:paraId="42B6ADA7" w14:textId="77777777" w:rsidTr="00651F7E">
        <w:trPr>
          <w:trHeight w:val="144"/>
        </w:trPr>
        <w:tc>
          <w:tcPr>
            <w:tcW w:w="1024" w:type="dxa"/>
          </w:tcPr>
          <w:p w14:paraId="1C83F180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0CD48947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50A33119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UEL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9F70CA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Upper Explosive Limit</w:t>
            </w:r>
            <w:r w:rsidRPr="008719C7" w:rsidDel="00D91361"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8774A8" w:rsidRPr="008719C7" w14:paraId="6DD9DC73" w14:textId="77777777" w:rsidTr="00651F7E">
        <w:trPr>
          <w:trHeight w:val="144"/>
        </w:trPr>
        <w:tc>
          <w:tcPr>
            <w:tcW w:w="1024" w:type="dxa"/>
          </w:tcPr>
          <w:p w14:paraId="7530C950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proofErr w:type="spellStart"/>
            <w:r w:rsidRPr="008719C7">
              <w:rPr>
                <w:rFonts w:eastAsia="Calibri"/>
                <w:sz w:val="16"/>
                <w:szCs w:val="16"/>
              </w:rPr>
              <w:t>n.o.s</w:t>
            </w:r>
            <w:proofErr w:type="spellEnd"/>
            <w:r w:rsidRPr="008719C7">
              <w:rPr>
                <w:rFonts w:eastAsia="Calibri"/>
                <w:sz w:val="16"/>
                <w:szCs w:val="16"/>
              </w:rPr>
              <w:t>.</w:t>
            </w:r>
          </w:p>
        </w:tc>
        <w:tc>
          <w:tcPr>
            <w:tcW w:w="3584" w:type="dxa"/>
          </w:tcPr>
          <w:p w14:paraId="6BA8069C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Not Otherwise Specified</w:t>
            </w:r>
          </w:p>
        </w:tc>
        <w:tc>
          <w:tcPr>
            <w:tcW w:w="1051" w:type="dxa"/>
          </w:tcPr>
          <w:p w14:paraId="281274F3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671D65DE" w14:textId="77777777" w:rsidR="008774A8" w:rsidRPr="008719C7" w:rsidRDefault="008774A8" w:rsidP="00C61FDA">
            <w:pPr>
              <w:widowControl/>
              <w:spacing w:after="0" w:line="240" w:lineRule="auto"/>
              <w:ind w:right="-90"/>
              <w:jc w:val="left"/>
              <w:rPr>
                <w:rFonts w:eastAsia="Calibri"/>
                <w:sz w:val="16"/>
                <w:szCs w:val="16"/>
              </w:rPr>
            </w:pPr>
            <w:r w:rsidRPr="008719C7">
              <w:rPr>
                <w:rFonts w:eastAsia="Calibri"/>
                <w:sz w:val="16"/>
                <w:szCs w:val="16"/>
              </w:rPr>
              <w:t>Workplace Hazardous Materials Information System</w:t>
            </w:r>
          </w:p>
        </w:tc>
      </w:tr>
    </w:tbl>
    <w:p w14:paraId="59EB09B5" w14:textId="77777777" w:rsidR="00865015" w:rsidRPr="008719C7" w:rsidRDefault="00865015" w:rsidP="00B4734C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28E04E2E" w14:textId="77777777" w:rsidR="00865015" w:rsidRPr="008719C7" w:rsidRDefault="00865015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402403FE" w14:textId="77777777" w:rsidR="00601808" w:rsidRPr="008719C7" w:rsidRDefault="00601808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40B9F37A" w14:textId="77777777" w:rsidR="00601808" w:rsidRPr="008719C7" w:rsidRDefault="00601808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38BE5EBF" w14:textId="77777777" w:rsidR="00601808" w:rsidRPr="008719C7" w:rsidRDefault="00601808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7A458D8A" w14:textId="77777777" w:rsidR="00601808" w:rsidRPr="008719C7" w:rsidRDefault="00601808">
      <w:pPr>
        <w:widowControl/>
        <w:spacing w:after="0" w:line="240" w:lineRule="auto"/>
        <w:rPr>
          <w:rFonts w:eastAsia="Times New Roman"/>
          <w:bCs/>
          <w:szCs w:val="20"/>
        </w:rPr>
      </w:pPr>
    </w:p>
    <w:p w14:paraId="5953E443" w14:textId="77777777" w:rsidR="00537670" w:rsidRPr="008719C7" w:rsidRDefault="00BF5DD9">
      <w:pPr>
        <w:widowControl/>
        <w:spacing w:before="120" w:after="0" w:line="240" w:lineRule="auto"/>
        <w:rPr>
          <w:rFonts w:eastAsia="Times New Roman"/>
          <w:szCs w:val="20"/>
        </w:rPr>
      </w:pPr>
      <w:r w:rsidRPr="008719C7">
        <w:rPr>
          <w:rFonts w:eastAsia="Times New Roman"/>
          <w:b/>
          <w:bCs/>
          <w:szCs w:val="20"/>
        </w:rPr>
        <w:t>Disclaimer:</w:t>
      </w:r>
      <w:r w:rsidRPr="008719C7">
        <w:rPr>
          <w:rFonts w:eastAsia="Times New Roman"/>
          <w:bCs/>
          <w:szCs w:val="20"/>
        </w:rPr>
        <w:t xml:space="preserve">  </w:t>
      </w:r>
      <w:r w:rsidRPr="008719C7">
        <w:rPr>
          <w:rFonts w:eastAsia="Times New Roman"/>
          <w:szCs w:val="20"/>
        </w:rPr>
        <w:t>Physical and chemical data contained in this SDS are provided only for use in assessing the hazardous nature of the material.  The SDS was prepared carefully, using current references; however, NIST does not certify the data in the SDS.</w:t>
      </w:r>
      <w:r w:rsidR="00537670" w:rsidRPr="008719C7">
        <w:rPr>
          <w:rFonts w:eastAsia="Times New Roman"/>
          <w:szCs w:val="20"/>
        </w:rPr>
        <w:t xml:space="preserve"> </w:t>
      </w:r>
      <w:r w:rsidR="00A66F6D" w:rsidRPr="008719C7">
        <w:rPr>
          <w:rFonts w:eastAsia="Times New Roman"/>
          <w:szCs w:val="20"/>
        </w:rPr>
        <w:t xml:space="preserve"> </w:t>
      </w:r>
      <w:r w:rsidRPr="008719C7">
        <w:rPr>
          <w:rFonts w:eastAsia="Times New Roman"/>
          <w:szCs w:val="20"/>
        </w:rPr>
        <w:t>The certified values for this material are given in the NIST Certificate of Analysis.</w:t>
      </w:r>
    </w:p>
    <w:p w14:paraId="0268C55F" w14:textId="77777777" w:rsidR="00E24579" w:rsidRPr="008719C7" w:rsidRDefault="001948EA">
      <w:pPr>
        <w:widowControl/>
        <w:spacing w:before="120" w:after="0" w:line="240" w:lineRule="auto"/>
        <w:rPr>
          <w:rFonts w:eastAsia="Times New Roman"/>
          <w:szCs w:val="20"/>
        </w:rPr>
      </w:pPr>
      <w:r w:rsidRPr="008719C7">
        <w:rPr>
          <w:iCs/>
          <w:szCs w:val="20"/>
        </w:rPr>
        <w:t xml:space="preserve">Users of this SRM should ensure that the SDS in their possession is current. </w:t>
      </w:r>
      <w:r w:rsidR="00A66F6D" w:rsidRPr="008719C7">
        <w:rPr>
          <w:iCs/>
          <w:szCs w:val="20"/>
        </w:rPr>
        <w:t xml:space="preserve"> </w:t>
      </w:r>
      <w:r w:rsidRPr="008719C7">
        <w:rPr>
          <w:iCs/>
          <w:szCs w:val="20"/>
        </w:rPr>
        <w:t>This can be accomplished by contacting the SRM Program: telephone (301) 975-2200; fax (301) 948-3730; e-mail srm</w:t>
      </w:r>
      <w:r w:rsidR="00A148AB" w:rsidRPr="008719C7">
        <w:rPr>
          <w:iCs/>
          <w:szCs w:val="20"/>
        </w:rPr>
        <w:t>msds</w:t>
      </w:r>
      <w:r w:rsidRPr="008719C7">
        <w:rPr>
          <w:iCs/>
          <w:szCs w:val="20"/>
        </w:rPr>
        <w:t>@nist.gov; or via the Internet at http://www.nist.gov/srm.</w:t>
      </w:r>
    </w:p>
    <w:sectPr w:rsidR="00E24579" w:rsidRPr="008719C7" w:rsidSect="00371ED3">
      <w:footerReference w:type="default" r:id="rId16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06E18" w14:textId="77777777" w:rsidR="00DA11DF" w:rsidRDefault="00DA11DF" w:rsidP="00E24579">
      <w:pPr>
        <w:spacing w:after="0" w:line="240" w:lineRule="auto"/>
      </w:pPr>
      <w:r>
        <w:separator/>
      </w:r>
    </w:p>
  </w:endnote>
  <w:endnote w:type="continuationSeparator" w:id="0">
    <w:p w14:paraId="27CA64DA" w14:textId="77777777" w:rsidR="00DA11DF" w:rsidRDefault="00DA11DF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CA9E2" w14:textId="2A412D1F" w:rsidR="008719C7" w:rsidRPr="005315D6" w:rsidRDefault="008719C7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371ED3">
      <w:rPr>
        <w:szCs w:val="20"/>
      </w:rPr>
      <w:t xml:space="preserve">SRM </w:t>
    </w:r>
    <w:r>
      <w:rPr>
        <w:szCs w:val="20"/>
      </w:rPr>
      <w:t>2225</w:t>
    </w:r>
    <w:r w:rsidRPr="00371ED3">
      <w:rPr>
        <w:szCs w:val="20"/>
      </w:rPr>
      <w:tab/>
    </w:r>
    <w:r w:rsidRPr="005315D6">
      <w:rPr>
        <w:szCs w:val="20"/>
      </w:rPr>
      <w:tab/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C61FDA">
      <w:rPr>
        <w:rStyle w:val="PageNumber"/>
        <w:noProof/>
        <w:szCs w:val="20"/>
      </w:rPr>
      <w:t>1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  \* MERGEFORMAT </w:instrText>
    </w:r>
    <w:r>
      <w:rPr>
        <w:rStyle w:val="PageNumber"/>
        <w:szCs w:val="20"/>
      </w:rPr>
      <w:fldChar w:fldCharType="separate"/>
    </w:r>
    <w:r w:rsidR="00C61FDA">
      <w:rPr>
        <w:rStyle w:val="PageNumber"/>
        <w:noProof/>
        <w:szCs w:val="20"/>
      </w:rPr>
      <w:t>6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7A5DE" w14:textId="77777777" w:rsidR="00DA11DF" w:rsidRDefault="00DA11DF" w:rsidP="00E24579">
      <w:pPr>
        <w:spacing w:after="0" w:line="240" w:lineRule="auto"/>
      </w:pPr>
      <w:r>
        <w:separator/>
      </w:r>
    </w:p>
  </w:footnote>
  <w:footnote w:type="continuationSeparator" w:id="0">
    <w:p w14:paraId="4030D7AD" w14:textId="77777777" w:rsidR="00DA11DF" w:rsidRDefault="00DA11DF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4B8564E9"/>
    <w:multiLevelType w:val="hybridMultilevel"/>
    <w:tmpl w:val="6E9CAE42"/>
    <w:lvl w:ilvl="0" w:tplc="B518DE8E">
      <w:start w:val="200"/>
      <w:numFmt w:val="bullet"/>
      <w:lvlText w:val="-"/>
      <w:lvlJc w:val="left"/>
      <w:pPr>
        <w:ind w:left="52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953"/>
    <w:rsid w:val="0000390F"/>
    <w:rsid w:val="000062AB"/>
    <w:rsid w:val="00010583"/>
    <w:rsid w:val="000105AF"/>
    <w:rsid w:val="00011CAC"/>
    <w:rsid w:val="0001458E"/>
    <w:rsid w:val="00015F8E"/>
    <w:rsid w:val="000162AD"/>
    <w:rsid w:val="000177D1"/>
    <w:rsid w:val="0002296F"/>
    <w:rsid w:val="00025571"/>
    <w:rsid w:val="00037080"/>
    <w:rsid w:val="00040039"/>
    <w:rsid w:val="000425F7"/>
    <w:rsid w:val="0005067D"/>
    <w:rsid w:val="00051957"/>
    <w:rsid w:val="00051985"/>
    <w:rsid w:val="00052A14"/>
    <w:rsid w:val="00054A71"/>
    <w:rsid w:val="000624F8"/>
    <w:rsid w:val="000737D2"/>
    <w:rsid w:val="0007442D"/>
    <w:rsid w:val="0007601E"/>
    <w:rsid w:val="00081FFA"/>
    <w:rsid w:val="00085816"/>
    <w:rsid w:val="00086B4D"/>
    <w:rsid w:val="00091FDB"/>
    <w:rsid w:val="00094BF8"/>
    <w:rsid w:val="00095044"/>
    <w:rsid w:val="000A33A4"/>
    <w:rsid w:val="000A680F"/>
    <w:rsid w:val="000B0595"/>
    <w:rsid w:val="000B79EB"/>
    <w:rsid w:val="000C0534"/>
    <w:rsid w:val="000C0A3B"/>
    <w:rsid w:val="000D31BB"/>
    <w:rsid w:val="000D6ABB"/>
    <w:rsid w:val="000E147E"/>
    <w:rsid w:val="000E1EBF"/>
    <w:rsid w:val="000E2F99"/>
    <w:rsid w:val="000E3B6D"/>
    <w:rsid w:val="000E5DA2"/>
    <w:rsid w:val="000E615A"/>
    <w:rsid w:val="000F1959"/>
    <w:rsid w:val="000F255D"/>
    <w:rsid w:val="000F3E1B"/>
    <w:rsid w:val="00104235"/>
    <w:rsid w:val="0010520D"/>
    <w:rsid w:val="00105B6C"/>
    <w:rsid w:val="001121E8"/>
    <w:rsid w:val="0011298A"/>
    <w:rsid w:val="00112C69"/>
    <w:rsid w:val="001248AA"/>
    <w:rsid w:val="00125FD4"/>
    <w:rsid w:val="00130CC0"/>
    <w:rsid w:val="00132FAA"/>
    <w:rsid w:val="001414B3"/>
    <w:rsid w:val="00144362"/>
    <w:rsid w:val="00144ADE"/>
    <w:rsid w:val="00145AD5"/>
    <w:rsid w:val="00150BAB"/>
    <w:rsid w:val="00152431"/>
    <w:rsid w:val="00152B7B"/>
    <w:rsid w:val="0015519D"/>
    <w:rsid w:val="00170F65"/>
    <w:rsid w:val="00172026"/>
    <w:rsid w:val="00172CBD"/>
    <w:rsid w:val="00175EFF"/>
    <w:rsid w:val="001760AD"/>
    <w:rsid w:val="00177FCE"/>
    <w:rsid w:val="001862E9"/>
    <w:rsid w:val="00192D38"/>
    <w:rsid w:val="0019307E"/>
    <w:rsid w:val="001930E9"/>
    <w:rsid w:val="00193FA9"/>
    <w:rsid w:val="001948EA"/>
    <w:rsid w:val="00194A53"/>
    <w:rsid w:val="00195830"/>
    <w:rsid w:val="0019668F"/>
    <w:rsid w:val="001975DA"/>
    <w:rsid w:val="001A19D3"/>
    <w:rsid w:val="001A7151"/>
    <w:rsid w:val="001B2F69"/>
    <w:rsid w:val="001B78DF"/>
    <w:rsid w:val="001C449C"/>
    <w:rsid w:val="001C4AA7"/>
    <w:rsid w:val="001C4F6D"/>
    <w:rsid w:val="001D0D6B"/>
    <w:rsid w:val="001D2F5E"/>
    <w:rsid w:val="001D7FE4"/>
    <w:rsid w:val="001E1EEB"/>
    <w:rsid w:val="001F1738"/>
    <w:rsid w:val="001F455A"/>
    <w:rsid w:val="001F4AA3"/>
    <w:rsid w:val="00203853"/>
    <w:rsid w:val="00203A9F"/>
    <w:rsid w:val="00206AE7"/>
    <w:rsid w:val="00221E6D"/>
    <w:rsid w:val="002237B1"/>
    <w:rsid w:val="00224515"/>
    <w:rsid w:val="00224CDC"/>
    <w:rsid w:val="002326AE"/>
    <w:rsid w:val="00232FEE"/>
    <w:rsid w:val="00241552"/>
    <w:rsid w:val="00242591"/>
    <w:rsid w:val="00251CE7"/>
    <w:rsid w:val="002577EE"/>
    <w:rsid w:val="00263C16"/>
    <w:rsid w:val="00265BB7"/>
    <w:rsid w:val="00271910"/>
    <w:rsid w:val="002732BD"/>
    <w:rsid w:val="0027557A"/>
    <w:rsid w:val="002762BE"/>
    <w:rsid w:val="0028318C"/>
    <w:rsid w:val="00295831"/>
    <w:rsid w:val="00295D5E"/>
    <w:rsid w:val="00296E4D"/>
    <w:rsid w:val="002A0775"/>
    <w:rsid w:val="002A2494"/>
    <w:rsid w:val="002A3CAA"/>
    <w:rsid w:val="002B2021"/>
    <w:rsid w:val="002B22C8"/>
    <w:rsid w:val="002B24A4"/>
    <w:rsid w:val="002B60F0"/>
    <w:rsid w:val="002C1CF6"/>
    <w:rsid w:val="002C219F"/>
    <w:rsid w:val="002C5045"/>
    <w:rsid w:val="002D0717"/>
    <w:rsid w:val="002D34B3"/>
    <w:rsid w:val="002D63F4"/>
    <w:rsid w:val="002E2E02"/>
    <w:rsid w:val="002E550A"/>
    <w:rsid w:val="002E5E1A"/>
    <w:rsid w:val="002F28B5"/>
    <w:rsid w:val="002F3AF7"/>
    <w:rsid w:val="003045F2"/>
    <w:rsid w:val="00304C30"/>
    <w:rsid w:val="0030612C"/>
    <w:rsid w:val="003066B3"/>
    <w:rsid w:val="0030764E"/>
    <w:rsid w:val="00310D04"/>
    <w:rsid w:val="003135B6"/>
    <w:rsid w:val="003156B0"/>
    <w:rsid w:val="0031663D"/>
    <w:rsid w:val="00326A67"/>
    <w:rsid w:val="00335DD7"/>
    <w:rsid w:val="003375EA"/>
    <w:rsid w:val="00337A0D"/>
    <w:rsid w:val="00337C8F"/>
    <w:rsid w:val="00340E9F"/>
    <w:rsid w:val="00343B25"/>
    <w:rsid w:val="00343E05"/>
    <w:rsid w:val="00345BDB"/>
    <w:rsid w:val="003466CD"/>
    <w:rsid w:val="00351853"/>
    <w:rsid w:val="00351EB0"/>
    <w:rsid w:val="003531B2"/>
    <w:rsid w:val="00355B20"/>
    <w:rsid w:val="00364066"/>
    <w:rsid w:val="00366C9B"/>
    <w:rsid w:val="00371ED3"/>
    <w:rsid w:val="0037222D"/>
    <w:rsid w:val="003727AC"/>
    <w:rsid w:val="003738E1"/>
    <w:rsid w:val="00380DEC"/>
    <w:rsid w:val="0038222C"/>
    <w:rsid w:val="00383F47"/>
    <w:rsid w:val="00386118"/>
    <w:rsid w:val="0039599D"/>
    <w:rsid w:val="0039690E"/>
    <w:rsid w:val="003A0AF2"/>
    <w:rsid w:val="003B2C06"/>
    <w:rsid w:val="003B54FB"/>
    <w:rsid w:val="003C0F38"/>
    <w:rsid w:val="003C76DF"/>
    <w:rsid w:val="003D5857"/>
    <w:rsid w:val="003D6279"/>
    <w:rsid w:val="003E1EA0"/>
    <w:rsid w:val="003E2700"/>
    <w:rsid w:val="003E5A7F"/>
    <w:rsid w:val="003F505B"/>
    <w:rsid w:val="004008FF"/>
    <w:rsid w:val="004021D2"/>
    <w:rsid w:val="00404335"/>
    <w:rsid w:val="00405269"/>
    <w:rsid w:val="00413BF7"/>
    <w:rsid w:val="00427144"/>
    <w:rsid w:val="0043249C"/>
    <w:rsid w:val="0043380E"/>
    <w:rsid w:val="00434501"/>
    <w:rsid w:val="00437B86"/>
    <w:rsid w:val="00440CE0"/>
    <w:rsid w:val="0044226E"/>
    <w:rsid w:val="00442780"/>
    <w:rsid w:val="00444104"/>
    <w:rsid w:val="004457B0"/>
    <w:rsid w:val="00447499"/>
    <w:rsid w:val="00450AD0"/>
    <w:rsid w:val="004521E9"/>
    <w:rsid w:val="00455695"/>
    <w:rsid w:val="00463EA8"/>
    <w:rsid w:val="00466137"/>
    <w:rsid w:val="00470F49"/>
    <w:rsid w:val="00474DF2"/>
    <w:rsid w:val="00476880"/>
    <w:rsid w:val="00486685"/>
    <w:rsid w:val="00493484"/>
    <w:rsid w:val="004A6E3F"/>
    <w:rsid w:val="004B09CF"/>
    <w:rsid w:val="004B7B43"/>
    <w:rsid w:val="004C3060"/>
    <w:rsid w:val="004E06D8"/>
    <w:rsid w:val="004E54F3"/>
    <w:rsid w:val="004E5DB2"/>
    <w:rsid w:val="004E5DCE"/>
    <w:rsid w:val="004E6174"/>
    <w:rsid w:val="004E734D"/>
    <w:rsid w:val="004E7C12"/>
    <w:rsid w:val="004F1C1D"/>
    <w:rsid w:val="004F4684"/>
    <w:rsid w:val="004F46FD"/>
    <w:rsid w:val="004F76D5"/>
    <w:rsid w:val="0050110A"/>
    <w:rsid w:val="00501633"/>
    <w:rsid w:val="00510CBD"/>
    <w:rsid w:val="0051451C"/>
    <w:rsid w:val="00517108"/>
    <w:rsid w:val="00521CB4"/>
    <w:rsid w:val="00525A37"/>
    <w:rsid w:val="005302E6"/>
    <w:rsid w:val="005315D6"/>
    <w:rsid w:val="00532DE9"/>
    <w:rsid w:val="00534548"/>
    <w:rsid w:val="00537670"/>
    <w:rsid w:val="005401AD"/>
    <w:rsid w:val="00546476"/>
    <w:rsid w:val="0055271F"/>
    <w:rsid w:val="005541F9"/>
    <w:rsid w:val="005550E0"/>
    <w:rsid w:val="00556719"/>
    <w:rsid w:val="00565AA3"/>
    <w:rsid w:val="005700E2"/>
    <w:rsid w:val="0058130C"/>
    <w:rsid w:val="00584A22"/>
    <w:rsid w:val="0058550F"/>
    <w:rsid w:val="00585970"/>
    <w:rsid w:val="00591312"/>
    <w:rsid w:val="00592E01"/>
    <w:rsid w:val="0059682C"/>
    <w:rsid w:val="00597EF8"/>
    <w:rsid w:val="005A73FE"/>
    <w:rsid w:val="005B1B1A"/>
    <w:rsid w:val="005B776E"/>
    <w:rsid w:val="005D0F3E"/>
    <w:rsid w:val="005D0F87"/>
    <w:rsid w:val="005D20BD"/>
    <w:rsid w:val="005D3405"/>
    <w:rsid w:val="005D38B9"/>
    <w:rsid w:val="005D4139"/>
    <w:rsid w:val="005D632D"/>
    <w:rsid w:val="005D684E"/>
    <w:rsid w:val="005E0A42"/>
    <w:rsid w:val="005E4F60"/>
    <w:rsid w:val="005E5C31"/>
    <w:rsid w:val="005F656F"/>
    <w:rsid w:val="005F7AEB"/>
    <w:rsid w:val="00600C7C"/>
    <w:rsid w:val="00600CFB"/>
    <w:rsid w:val="00600DB1"/>
    <w:rsid w:val="00601808"/>
    <w:rsid w:val="00606535"/>
    <w:rsid w:val="00607136"/>
    <w:rsid w:val="00610128"/>
    <w:rsid w:val="006128EF"/>
    <w:rsid w:val="00612E70"/>
    <w:rsid w:val="00614DE3"/>
    <w:rsid w:val="00620718"/>
    <w:rsid w:val="00622AE4"/>
    <w:rsid w:val="00622BAB"/>
    <w:rsid w:val="00623C6E"/>
    <w:rsid w:val="006251CA"/>
    <w:rsid w:val="006255F3"/>
    <w:rsid w:val="006265E3"/>
    <w:rsid w:val="00632742"/>
    <w:rsid w:val="00633925"/>
    <w:rsid w:val="00642E9F"/>
    <w:rsid w:val="0064486D"/>
    <w:rsid w:val="00645989"/>
    <w:rsid w:val="0065027A"/>
    <w:rsid w:val="0065105C"/>
    <w:rsid w:val="00651F7E"/>
    <w:rsid w:val="00655EC3"/>
    <w:rsid w:val="00661CCC"/>
    <w:rsid w:val="0066464E"/>
    <w:rsid w:val="0066564D"/>
    <w:rsid w:val="0067534E"/>
    <w:rsid w:val="00676966"/>
    <w:rsid w:val="006821C7"/>
    <w:rsid w:val="0068405F"/>
    <w:rsid w:val="006841A6"/>
    <w:rsid w:val="00685474"/>
    <w:rsid w:val="00693E96"/>
    <w:rsid w:val="006B0611"/>
    <w:rsid w:val="006B276B"/>
    <w:rsid w:val="006C328C"/>
    <w:rsid w:val="006C412A"/>
    <w:rsid w:val="006D24D9"/>
    <w:rsid w:val="006D3217"/>
    <w:rsid w:val="006D4B59"/>
    <w:rsid w:val="006D55D9"/>
    <w:rsid w:val="006E4B55"/>
    <w:rsid w:val="006E5E61"/>
    <w:rsid w:val="006E61C7"/>
    <w:rsid w:val="006E61D2"/>
    <w:rsid w:val="006E6D89"/>
    <w:rsid w:val="006F0F73"/>
    <w:rsid w:val="006F3FC2"/>
    <w:rsid w:val="006F5818"/>
    <w:rsid w:val="00705CA1"/>
    <w:rsid w:val="00710856"/>
    <w:rsid w:val="00710FAA"/>
    <w:rsid w:val="007146C3"/>
    <w:rsid w:val="00714D24"/>
    <w:rsid w:val="00717B98"/>
    <w:rsid w:val="0072264A"/>
    <w:rsid w:val="00730686"/>
    <w:rsid w:val="0073150A"/>
    <w:rsid w:val="007315EF"/>
    <w:rsid w:val="00743478"/>
    <w:rsid w:val="007502B5"/>
    <w:rsid w:val="007509B2"/>
    <w:rsid w:val="007574D4"/>
    <w:rsid w:val="0076543A"/>
    <w:rsid w:val="007666FB"/>
    <w:rsid w:val="00770496"/>
    <w:rsid w:val="00775F9A"/>
    <w:rsid w:val="007821E9"/>
    <w:rsid w:val="00783F68"/>
    <w:rsid w:val="00787ADE"/>
    <w:rsid w:val="00787F62"/>
    <w:rsid w:val="00792487"/>
    <w:rsid w:val="0079291D"/>
    <w:rsid w:val="0079501C"/>
    <w:rsid w:val="007975C5"/>
    <w:rsid w:val="007B275E"/>
    <w:rsid w:val="007B56D0"/>
    <w:rsid w:val="007B5DAE"/>
    <w:rsid w:val="007B61F8"/>
    <w:rsid w:val="007C1236"/>
    <w:rsid w:val="007C7F6E"/>
    <w:rsid w:val="007E107C"/>
    <w:rsid w:val="007E335A"/>
    <w:rsid w:val="007E578F"/>
    <w:rsid w:val="007E6EDD"/>
    <w:rsid w:val="007F5046"/>
    <w:rsid w:val="007F5C40"/>
    <w:rsid w:val="007F660E"/>
    <w:rsid w:val="008154F9"/>
    <w:rsid w:val="008204E8"/>
    <w:rsid w:val="00820B71"/>
    <w:rsid w:val="00821095"/>
    <w:rsid w:val="0083132E"/>
    <w:rsid w:val="0083250E"/>
    <w:rsid w:val="008354ED"/>
    <w:rsid w:val="00836B33"/>
    <w:rsid w:val="00836F53"/>
    <w:rsid w:val="008407F9"/>
    <w:rsid w:val="00845C75"/>
    <w:rsid w:val="00851D06"/>
    <w:rsid w:val="00860F70"/>
    <w:rsid w:val="0086460F"/>
    <w:rsid w:val="00865015"/>
    <w:rsid w:val="008660ED"/>
    <w:rsid w:val="008665F3"/>
    <w:rsid w:val="008719C7"/>
    <w:rsid w:val="00875137"/>
    <w:rsid w:val="008774A8"/>
    <w:rsid w:val="00877B64"/>
    <w:rsid w:val="00881C3C"/>
    <w:rsid w:val="00882A34"/>
    <w:rsid w:val="0088404B"/>
    <w:rsid w:val="00886C5A"/>
    <w:rsid w:val="008925FA"/>
    <w:rsid w:val="00893F73"/>
    <w:rsid w:val="008A0E2A"/>
    <w:rsid w:val="008A179D"/>
    <w:rsid w:val="008A57FD"/>
    <w:rsid w:val="008A7B11"/>
    <w:rsid w:val="008B3743"/>
    <w:rsid w:val="008B3A19"/>
    <w:rsid w:val="008B7934"/>
    <w:rsid w:val="008C1389"/>
    <w:rsid w:val="008C4061"/>
    <w:rsid w:val="008D1983"/>
    <w:rsid w:val="008E0A66"/>
    <w:rsid w:val="008E1A8B"/>
    <w:rsid w:val="008E1B26"/>
    <w:rsid w:val="008E587B"/>
    <w:rsid w:val="008F646B"/>
    <w:rsid w:val="008F7B1B"/>
    <w:rsid w:val="00902F44"/>
    <w:rsid w:val="009037A7"/>
    <w:rsid w:val="0090699C"/>
    <w:rsid w:val="00910EA2"/>
    <w:rsid w:val="00911A75"/>
    <w:rsid w:val="00915427"/>
    <w:rsid w:val="00915962"/>
    <w:rsid w:val="009175D1"/>
    <w:rsid w:val="00923668"/>
    <w:rsid w:val="00931BB0"/>
    <w:rsid w:val="00935858"/>
    <w:rsid w:val="00936422"/>
    <w:rsid w:val="00942D37"/>
    <w:rsid w:val="00946A2D"/>
    <w:rsid w:val="00947484"/>
    <w:rsid w:val="00953EFC"/>
    <w:rsid w:val="009568A3"/>
    <w:rsid w:val="00957A04"/>
    <w:rsid w:val="00957B26"/>
    <w:rsid w:val="0096538D"/>
    <w:rsid w:val="00971EDC"/>
    <w:rsid w:val="0097283D"/>
    <w:rsid w:val="009817FB"/>
    <w:rsid w:val="00981AAE"/>
    <w:rsid w:val="0098347B"/>
    <w:rsid w:val="009861BD"/>
    <w:rsid w:val="0099505F"/>
    <w:rsid w:val="009A6467"/>
    <w:rsid w:val="009B07E3"/>
    <w:rsid w:val="009B7166"/>
    <w:rsid w:val="009C0067"/>
    <w:rsid w:val="009C1029"/>
    <w:rsid w:val="009D2B8E"/>
    <w:rsid w:val="009E33CE"/>
    <w:rsid w:val="009E5BA8"/>
    <w:rsid w:val="009F18A8"/>
    <w:rsid w:val="009F1E44"/>
    <w:rsid w:val="009F3C46"/>
    <w:rsid w:val="009F49E7"/>
    <w:rsid w:val="009F6B0C"/>
    <w:rsid w:val="00A00A2B"/>
    <w:rsid w:val="00A0266C"/>
    <w:rsid w:val="00A02D37"/>
    <w:rsid w:val="00A126AF"/>
    <w:rsid w:val="00A12F65"/>
    <w:rsid w:val="00A13A72"/>
    <w:rsid w:val="00A148AB"/>
    <w:rsid w:val="00A14B09"/>
    <w:rsid w:val="00A1734F"/>
    <w:rsid w:val="00A2434E"/>
    <w:rsid w:val="00A24EAF"/>
    <w:rsid w:val="00A32CA9"/>
    <w:rsid w:val="00A33E0F"/>
    <w:rsid w:val="00A42700"/>
    <w:rsid w:val="00A448E2"/>
    <w:rsid w:val="00A45A14"/>
    <w:rsid w:val="00A5395F"/>
    <w:rsid w:val="00A54F76"/>
    <w:rsid w:val="00A56380"/>
    <w:rsid w:val="00A57B44"/>
    <w:rsid w:val="00A61CD8"/>
    <w:rsid w:val="00A62E97"/>
    <w:rsid w:val="00A66F6D"/>
    <w:rsid w:val="00A73159"/>
    <w:rsid w:val="00A749F6"/>
    <w:rsid w:val="00A911CD"/>
    <w:rsid w:val="00A91680"/>
    <w:rsid w:val="00A952AF"/>
    <w:rsid w:val="00AA6AC2"/>
    <w:rsid w:val="00AB3B91"/>
    <w:rsid w:val="00AB4A6C"/>
    <w:rsid w:val="00AB4C6F"/>
    <w:rsid w:val="00AC1826"/>
    <w:rsid w:val="00AC7FCA"/>
    <w:rsid w:val="00AD050B"/>
    <w:rsid w:val="00AD6D0A"/>
    <w:rsid w:val="00AD718C"/>
    <w:rsid w:val="00AE2ED5"/>
    <w:rsid w:val="00AE4A80"/>
    <w:rsid w:val="00AF488F"/>
    <w:rsid w:val="00AF7E1C"/>
    <w:rsid w:val="00B0155D"/>
    <w:rsid w:val="00B0436D"/>
    <w:rsid w:val="00B11AD2"/>
    <w:rsid w:val="00B124D7"/>
    <w:rsid w:val="00B12717"/>
    <w:rsid w:val="00B1445F"/>
    <w:rsid w:val="00B14F78"/>
    <w:rsid w:val="00B1513E"/>
    <w:rsid w:val="00B15A12"/>
    <w:rsid w:val="00B16840"/>
    <w:rsid w:val="00B173FB"/>
    <w:rsid w:val="00B177FF"/>
    <w:rsid w:val="00B33652"/>
    <w:rsid w:val="00B43840"/>
    <w:rsid w:val="00B448C3"/>
    <w:rsid w:val="00B45C19"/>
    <w:rsid w:val="00B4602F"/>
    <w:rsid w:val="00B4734C"/>
    <w:rsid w:val="00B47E26"/>
    <w:rsid w:val="00B546AD"/>
    <w:rsid w:val="00B54925"/>
    <w:rsid w:val="00B55CD5"/>
    <w:rsid w:val="00B56A4E"/>
    <w:rsid w:val="00B64765"/>
    <w:rsid w:val="00B67853"/>
    <w:rsid w:val="00B824E8"/>
    <w:rsid w:val="00B8718F"/>
    <w:rsid w:val="00B874FA"/>
    <w:rsid w:val="00B87CE3"/>
    <w:rsid w:val="00B90ACA"/>
    <w:rsid w:val="00B931A1"/>
    <w:rsid w:val="00B95385"/>
    <w:rsid w:val="00B96C5E"/>
    <w:rsid w:val="00B97847"/>
    <w:rsid w:val="00BA5003"/>
    <w:rsid w:val="00BA5FB7"/>
    <w:rsid w:val="00BA6838"/>
    <w:rsid w:val="00BA7DB5"/>
    <w:rsid w:val="00BB0995"/>
    <w:rsid w:val="00BB14A2"/>
    <w:rsid w:val="00BB1EBC"/>
    <w:rsid w:val="00BB2E93"/>
    <w:rsid w:val="00BB55E8"/>
    <w:rsid w:val="00BC323E"/>
    <w:rsid w:val="00BC5C79"/>
    <w:rsid w:val="00BD0059"/>
    <w:rsid w:val="00BD68E7"/>
    <w:rsid w:val="00BD6C4D"/>
    <w:rsid w:val="00BF041C"/>
    <w:rsid w:val="00BF0592"/>
    <w:rsid w:val="00BF230B"/>
    <w:rsid w:val="00BF47AD"/>
    <w:rsid w:val="00BF48F8"/>
    <w:rsid w:val="00BF5DD9"/>
    <w:rsid w:val="00BF6022"/>
    <w:rsid w:val="00BF7107"/>
    <w:rsid w:val="00BF72CB"/>
    <w:rsid w:val="00C04820"/>
    <w:rsid w:val="00C10B4B"/>
    <w:rsid w:val="00C10BCF"/>
    <w:rsid w:val="00C12167"/>
    <w:rsid w:val="00C12F78"/>
    <w:rsid w:val="00C131D0"/>
    <w:rsid w:val="00C1391B"/>
    <w:rsid w:val="00C172A0"/>
    <w:rsid w:val="00C206D5"/>
    <w:rsid w:val="00C253FE"/>
    <w:rsid w:val="00C25811"/>
    <w:rsid w:val="00C27D84"/>
    <w:rsid w:val="00C304FD"/>
    <w:rsid w:val="00C30FD3"/>
    <w:rsid w:val="00C37AF4"/>
    <w:rsid w:val="00C40E05"/>
    <w:rsid w:val="00C508A0"/>
    <w:rsid w:val="00C61FDA"/>
    <w:rsid w:val="00C64501"/>
    <w:rsid w:val="00C661E3"/>
    <w:rsid w:val="00C723CD"/>
    <w:rsid w:val="00C800A6"/>
    <w:rsid w:val="00C83E59"/>
    <w:rsid w:val="00C84E3B"/>
    <w:rsid w:val="00C85831"/>
    <w:rsid w:val="00C87DB8"/>
    <w:rsid w:val="00C87FA4"/>
    <w:rsid w:val="00C90868"/>
    <w:rsid w:val="00C91840"/>
    <w:rsid w:val="00C91ADE"/>
    <w:rsid w:val="00CA2D25"/>
    <w:rsid w:val="00CC6C33"/>
    <w:rsid w:val="00CD0FFB"/>
    <w:rsid w:val="00CD6549"/>
    <w:rsid w:val="00CF6BA4"/>
    <w:rsid w:val="00D01B3F"/>
    <w:rsid w:val="00D03028"/>
    <w:rsid w:val="00D03D0A"/>
    <w:rsid w:val="00D12C7E"/>
    <w:rsid w:val="00D2295A"/>
    <w:rsid w:val="00D23B04"/>
    <w:rsid w:val="00D23FCC"/>
    <w:rsid w:val="00D25DBF"/>
    <w:rsid w:val="00D3347C"/>
    <w:rsid w:val="00D34188"/>
    <w:rsid w:val="00D409AB"/>
    <w:rsid w:val="00D51ABE"/>
    <w:rsid w:val="00D52D3B"/>
    <w:rsid w:val="00D536DB"/>
    <w:rsid w:val="00D570B6"/>
    <w:rsid w:val="00D60A36"/>
    <w:rsid w:val="00D61695"/>
    <w:rsid w:val="00D62EAF"/>
    <w:rsid w:val="00D65531"/>
    <w:rsid w:val="00D70C8B"/>
    <w:rsid w:val="00D733AA"/>
    <w:rsid w:val="00D73485"/>
    <w:rsid w:val="00D73BA0"/>
    <w:rsid w:val="00D77265"/>
    <w:rsid w:val="00D8602F"/>
    <w:rsid w:val="00D86CFF"/>
    <w:rsid w:val="00D90F89"/>
    <w:rsid w:val="00DA11DF"/>
    <w:rsid w:val="00DA35ED"/>
    <w:rsid w:val="00DA4142"/>
    <w:rsid w:val="00DA4ACF"/>
    <w:rsid w:val="00DB2499"/>
    <w:rsid w:val="00DB53D1"/>
    <w:rsid w:val="00DB6AC7"/>
    <w:rsid w:val="00DC0227"/>
    <w:rsid w:val="00DC1232"/>
    <w:rsid w:val="00DC3BE2"/>
    <w:rsid w:val="00DC478C"/>
    <w:rsid w:val="00DC6A68"/>
    <w:rsid w:val="00DD38F6"/>
    <w:rsid w:val="00DE05BC"/>
    <w:rsid w:val="00DE09B3"/>
    <w:rsid w:val="00DE64B4"/>
    <w:rsid w:val="00DF36DB"/>
    <w:rsid w:val="00DF3711"/>
    <w:rsid w:val="00E014A4"/>
    <w:rsid w:val="00E01681"/>
    <w:rsid w:val="00E02297"/>
    <w:rsid w:val="00E1672A"/>
    <w:rsid w:val="00E17F1D"/>
    <w:rsid w:val="00E24579"/>
    <w:rsid w:val="00E26C83"/>
    <w:rsid w:val="00E31138"/>
    <w:rsid w:val="00E3264B"/>
    <w:rsid w:val="00E33EAB"/>
    <w:rsid w:val="00E361AB"/>
    <w:rsid w:val="00E37538"/>
    <w:rsid w:val="00E41B6E"/>
    <w:rsid w:val="00E422D4"/>
    <w:rsid w:val="00E459F4"/>
    <w:rsid w:val="00E523E6"/>
    <w:rsid w:val="00E53304"/>
    <w:rsid w:val="00E620ED"/>
    <w:rsid w:val="00E7130C"/>
    <w:rsid w:val="00E81BD0"/>
    <w:rsid w:val="00E82901"/>
    <w:rsid w:val="00E84BFE"/>
    <w:rsid w:val="00E87111"/>
    <w:rsid w:val="00E93DD1"/>
    <w:rsid w:val="00E96367"/>
    <w:rsid w:val="00EA4470"/>
    <w:rsid w:val="00EB5E4A"/>
    <w:rsid w:val="00EB7190"/>
    <w:rsid w:val="00EC2C72"/>
    <w:rsid w:val="00ED6230"/>
    <w:rsid w:val="00EE1BE2"/>
    <w:rsid w:val="00EE1F37"/>
    <w:rsid w:val="00EE2C6C"/>
    <w:rsid w:val="00EF0F7C"/>
    <w:rsid w:val="00EF3786"/>
    <w:rsid w:val="00EF4006"/>
    <w:rsid w:val="00EF64C4"/>
    <w:rsid w:val="00F01543"/>
    <w:rsid w:val="00F0171E"/>
    <w:rsid w:val="00F057E8"/>
    <w:rsid w:val="00F149A3"/>
    <w:rsid w:val="00F15A59"/>
    <w:rsid w:val="00F23BE4"/>
    <w:rsid w:val="00F2490E"/>
    <w:rsid w:val="00F346E0"/>
    <w:rsid w:val="00F4046F"/>
    <w:rsid w:val="00F4079E"/>
    <w:rsid w:val="00F45A3D"/>
    <w:rsid w:val="00F51344"/>
    <w:rsid w:val="00F6032E"/>
    <w:rsid w:val="00F60625"/>
    <w:rsid w:val="00F655EB"/>
    <w:rsid w:val="00F656A2"/>
    <w:rsid w:val="00F67CCA"/>
    <w:rsid w:val="00F7593E"/>
    <w:rsid w:val="00F85260"/>
    <w:rsid w:val="00F85B1E"/>
    <w:rsid w:val="00F92DAA"/>
    <w:rsid w:val="00FA5DC8"/>
    <w:rsid w:val="00FA6587"/>
    <w:rsid w:val="00FA746E"/>
    <w:rsid w:val="00FB224D"/>
    <w:rsid w:val="00FB7719"/>
    <w:rsid w:val="00FC3C8B"/>
    <w:rsid w:val="00FC7D09"/>
    <w:rsid w:val="00FD158A"/>
    <w:rsid w:val="00FD195C"/>
    <w:rsid w:val="00FD2BC0"/>
    <w:rsid w:val="00FD5524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90EA3F"/>
  <w15:docId w15:val="{4B897266-87A8-40A4-89FA-AFDE6874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5831"/>
    <w:pPr>
      <w:widowControl w:val="0"/>
      <w:spacing w:after="200" w:line="276" w:lineRule="auto"/>
      <w:jc w:val="both"/>
    </w:pPr>
    <w:rPr>
      <w:rFonts w:ascii="Times New Roman" w:hAnsi="Times New Roman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41A6"/>
    <w:pPr>
      <w:keepNext/>
      <w:widowControl/>
      <w:overflowPunct w:val="0"/>
      <w:autoSpaceDE w:val="0"/>
      <w:autoSpaceDN w:val="0"/>
      <w:adjustRightInd w:val="0"/>
      <w:spacing w:after="0" w:line="360" w:lineRule="auto"/>
      <w:ind w:left="576" w:firstLine="288"/>
      <w:jc w:val="left"/>
      <w:outlineLvl w:val="2"/>
    </w:pPr>
    <w:rPr>
      <w:rFonts w:eastAsia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476"/>
    <w:rPr>
      <w:color w:val="auto"/>
      <w:u w:val="non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2C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2C"/>
    <w:rPr>
      <w:rFonts w:ascii="Consolas" w:hAnsi="Consolas" w:cs="Consolas"/>
    </w:rPr>
  </w:style>
  <w:style w:type="table" w:customStyle="1" w:styleId="TableGrid21">
    <w:name w:val="Table Grid21"/>
    <w:basedOn w:val="TableNormal"/>
    <w:next w:val="TableGrid"/>
    <w:uiPriority w:val="59"/>
    <w:rsid w:val="00D01B3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6841A6"/>
    <w:rPr>
      <w:rFonts w:ascii="Times New Roman" w:eastAsia="Times New Roman" w:hAnsi="Times New Roman"/>
      <w:b/>
      <w:bCs/>
    </w:rPr>
  </w:style>
  <w:style w:type="character" w:styleId="Strong">
    <w:name w:val="Strong"/>
    <w:basedOn w:val="DefaultParagraphFont"/>
    <w:uiPriority w:val="22"/>
    <w:qFormat/>
    <w:rsid w:val="00546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nchem.org/documents/cicads/cicads/cicad50.htm" TargetMode="Externa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5C66-3C86-4FA2-96B0-04093491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2358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15770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Benkstein, Jennifer (Fed)</cp:lastModifiedBy>
  <cp:revision>4</cp:revision>
  <cp:lastPrinted>2015-06-05T17:47:00Z</cp:lastPrinted>
  <dcterms:created xsi:type="dcterms:W3CDTF">2016-08-30T15:00:00Z</dcterms:created>
  <dcterms:modified xsi:type="dcterms:W3CDTF">2016-08-30T15:37:00Z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