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987D1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B5A8F9" wp14:editId="7C2031EB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572C2B3A" w14:textId="376BE72C" w:rsidR="006F0F73" w:rsidRPr="00F46909" w:rsidRDefault="003F734D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20</w:t>
      </w:r>
      <w:r w:rsidR="00C04116">
        <w:rPr>
          <w:rFonts w:eastAsia="Times New Roman"/>
          <w:bCs/>
          <w:sz w:val="24"/>
          <w:szCs w:val="24"/>
        </w:rPr>
        <w:t xml:space="preserve"> May</w:t>
      </w:r>
      <w:r w:rsidR="00027181">
        <w:rPr>
          <w:rFonts w:eastAsia="Times New Roman"/>
          <w:bCs/>
          <w:sz w:val="24"/>
          <w:szCs w:val="24"/>
        </w:rPr>
        <w:t xml:space="preserve"> </w:t>
      </w:r>
      <w:r w:rsidR="00776E47">
        <w:rPr>
          <w:rFonts w:eastAsia="Times New Roman"/>
          <w:bCs/>
          <w:sz w:val="24"/>
          <w:szCs w:val="24"/>
        </w:rPr>
        <w:t>2015</w:t>
      </w:r>
    </w:p>
    <w:p w14:paraId="548322CA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45DA8D9A" w14:textId="77777777" w:rsidR="00E24579" w:rsidRPr="00D34188" w:rsidRDefault="00BF5DD9" w:rsidP="00DF5AC0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C772E33" w14:textId="77777777" w:rsidR="00D60A36" w:rsidRPr="00232D3E" w:rsidRDefault="00D60A36" w:rsidP="00DF5AC0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14:paraId="793658F0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33451E4" w14:textId="77777777" w:rsidR="00D60A36" w:rsidRPr="00AA247E" w:rsidRDefault="00D60A36" w:rsidP="00DF5AC0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4FEE979" w14:textId="77777777" w:rsidR="00150BAB" w:rsidRPr="00455695" w:rsidRDefault="007666F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324F8B38" w14:textId="3ED367BE" w:rsidR="00150BAB" w:rsidRPr="00F84879" w:rsidRDefault="00150BAB" w:rsidP="00DF5AC0">
      <w:pPr>
        <w:pStyle w:val="ListParagraph"/>
        <w:widowControl/>
        <w:tabs>
          <w:tab w:val="left" w:pos="1710"/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152156">
        <w:rPr>
          <w:bCs/>
          <w:szCs w:val="20"/>
        </w:rPr>
        <w:t>44</w:t>
      </w:r>
      <w:r w:rsidR="000B7E5C">
        <w:rPr>
          <w:bCs/>
          <w:szCs w:val="20"/>
        </w:rPr>
        <w:t>15</w:t>
      </w:r>
      <w:r w:rsidR="00152156">
        <w:rPr>
          <w:bCs/>
          <w:szCs w:val="20"/>
        </w:rPr>
        <w:t>H</w:t>
      </w:r>
    </w:p>
    <w:p w14:paraId="309CA907" w14:textId="235209A2" w:rsidR="006B5331" w:rsidRPr="00F84879" w:rsidRDefault="006B5331" w:rsidP="00DF5AC0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0B7E5C" w:rsidRPr="000B7E5C">
        <w:t>Xenon-133 Radioactivity Standard</w:t>
      </w:r>
    </w:p>
    <w:p w14:paraId="050D488A" w14:textId="77777777" w:rsidR="006B5331" w:rsidRPr="00F84879" w:rsidRDefault="00A54D8A" w:rsidP="00DF5AC0">
      <w:pPr>
        <w:widowControl/>
        <w:tabs>
          <w:tab w:val="left" w:pos="5440"/>
        </w:tabs>
        <w:ind w:left="360"/>
        <w:contextualSpacing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69A48530" w14:textId="77777777" w:rsidR="00150BAB" w:rsidRPr="00F84879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67965EF9" w14:textId="1D485B47" w:rsidR="00150BAB" w:rsidRPr="002A39D7" w:rsidRDefault="00E52255" w:rsidP="002D3468">
      <w:pPr>
        <w:widowControl/>
        <w:tabs>
          <w:tab w:val="left" w:pos="5440"/>
        </w:tabs>
        <w:spacing w:before="120"/>
        <w:rPr>
          <w:rFonts w:eastAsia="Times New Roman"/>
          <w:szCs w:val="20"/>
        </w:rPr>
      </w:pPr>
      <w:r>
        <w:t>This Standard Reference Material (SRM) consists of a standardized and certified quantity of radioactive xenon-133 and non-radioactive xenon gas, unpressurized, in a stable and homogeneous mixture.</w:t>
      </w:r>
      <w:r w:rsidR="000B7E5C">
        <w:t xml:space="preserve"> </w:t>
      </w:r>
      <w:r>
        <w:t xml:space="preserve"> It is intended primarily for the calibration of instruments that are used to measure radioactivity.  A unit of SRM 4415H consists of approximately 5 mL of gas, contained in a flame-sealed borosilicate-glass ampoule</w:t>
      </w:r>
      <w:r w:rsidR="002A39D7" w:rsidRPr="002A39D7">
        <w:rPr>
          <w:rFonts w:eastAsia="Times New Roman"/>
          <w:szCs w:val="20"/>
        </w:rPr>
        <w:t>.</w:t>
      </w:r>
    </w:p>
    <w:p w14:paraId="0EC65CD0" w14:textId="77777777" w:rsidR="00150BAB" w:rsidRPr="00455695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74347EF2" w14:textId="77777777" w:rsidTr="00193FA9">
        <w:tc>
          <w:tcPr>
            <w:tcW w:w="4590" w:type="dxa"/>
          </w:tcPr>
          <w:p w14:paraId="6AE34FA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D74C84A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079B934" w14:textId="77777777" w:rsidTr="00193FA9">
        <w:tc>
          <w:tcPr>
            <w:tcW w:w="4590" w:type="dxa"/>
          </w:tcPr>
          <w:p w14:paraId="1CF6EF5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4849C0E4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88BBEB" w14:textId="77777777" w:rsidTr="00193FA9">
        <w:tc>
          <w:tcPr>
            <w:tcW w:w="4590" w:type="dxa"/>
          </w:tcPr>
          <w:p w14:paraId="68C2D994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621ECD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8F25550" w14:textId="77777777" w:rsidTr="00193FA9">
        <w:tc>
          <w:tcPr>
            <w:tcW w:w="4590" w:type="dxa"/>
          </w:tcPr>
          <w:p w14:paraId="4E9DF3D9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CA09EA1" w14:textId="77777777" w:rsidR="00193FA9" w:rsidRPr="00193FA9" w:rsidRDefault="00193FA9" w:rsidP="00DF5AC0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E94AF6F" w14:textId="77777777" w:rsidTr="00193FA9">
        <w:tc>
          <w:tcPr>
            <w:tcW w:w="4590" w:type="dxa"/>
          </w:tcPr>
          <w:p w14:paraId="63BFBB3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4D7D64E6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87C59BF" w14:textId="77777777" w:rsidTr="00193FA9">
        <w:tc>
          <w:tcPr>
            <w:tcW w:w="4590" w:type="dxa"/>
          </w:tcPr>
          <w:p w14:paraId="091B140A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EDC6785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619BA7BC" w14:textId="77777777" w:rsidTr="00193FA9">
        <w:tc>
          <w:tcPr>
            <w:tcW w:w="4590" w:type="dxa"/>
          </w:tcPr>
          <w:p w14:paraId="758BB4B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0BA204B7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1F703CEB" w14:textId="77777777" w:rsidTr="00193FA9">
        <w:tc>
          <w:tcPr>
            <w:tcW w:w="4590" w:type="dxa"/>
          </w:tcPr>
          <w:p w14:paraId="2B7ECD89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A9FCC5F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23EAB3F3" w14:textId="77777777" w:rsidTr="00193FA9">
        <w:tc>
          <w:tcPr>
            <w:tcW w:w="4590" w:type="dxa"/>
          </w:tcPr>
          <w:p w14:paraId="2FDDC62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A06DA1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7E063F33" w14:textId="77777777" w:rsidR="00915962" w:rsidRPr="00193FA9" w:rsidRDefault="00915962" w:rsidP="00DF5AC0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14:paraId="11E0E8E4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0B38422" w14:textId="77777777" w:rsidR="002B22C8" w:rsidRPr="00AA247E" w:rsidRDefault="002B22C8" w:rsidP="00DF5AC0">
            <w:pPr>
              <w:keepNext/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C5332D0" w14:textId="77777777" w:rsidR="00FC7D09" w:rsidRDefault="007E6EDD" w:rsidP="00DF5AC0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1ED15A6A" w14:textId="77777777" w:rsidR="00FC7D09" w:rsidRPr="003E2700" w:rsidRDefault="00FC7D09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1F0653EE" w14:textId="77777777" w:rsidR="000B7E5C" w:rsidRDefault="000B7E5C" w:rsidP="00E52255">
      <w:pPr>
        <w:widowControl/>
        <w:tabs>
          <w:tab w:val="left" w:pos="1980"/>
        </w:tabs>
        <w:spacing w:before="120"/>
        <w:rPr>
          <w:rFonts w:eastAsia="Times New Roman"/>
          <w:bCs/>
          <w:szCs w:val="20"/>
        </w:rPr>
      </w:pPr>
      <w:r w:rsidRPr="000B7E5C">
        <w:rPr>
          <w:rFonts w:eastAsia="Times New Roman"/>
          <w:bCs/>
          <w:szCs w:val="20"/>
        </w:rPr>
        <w:t xml:space="preserve">This product contains licensed radioactive material and is therefore subject to the requirements of 10 CFR Part 20 (e.g., public and </w:t>
      </w:r>
      <w:r w:rsidRPr="000B7E5C">
        <w:rPr>
          <w:rFonts w:eastAsia="Times New Roman"/>
          <w:szCs w:val="20"/>
        </w:rPr>
        <w:t>occupational exposure limits,</w:t>
      </w:r>
      <w:r w:rsidRPr="000B7E5C">
        <w:rPr>
          <w:rFonts w:eastAsia="Times New Roman"/>
          <w:bCs/>
          <w:szCs w:val="20"/>
        </w:rPr>
        <w:t xml:space="preserve">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1ACF1CDC" w14:textId="1B798FFE" w:rsidR="007E6EDD" w:rsidRPr="00F84879" w:rsidRDefault="00E52255" w:rsidP="00E52255">
      <w:pPr>
        <w:widowControl/>
        <w:tabs>
          <w:tab w:val="left" w:pos="1980"/>
        </w:tabs>
        <w:spacing w:before="120"/>
        <w:rPr>
          <w:rFonts w:eastAsia="Times New Roman"/>
          <w:b/>
          <w:bCs/>
          <w:szCs w:val="20"/>
        </w:rPr>
      </w:pPr>
      <w:r w:rsidRPr="002D3468">
        <w:rPr>
          <w:rFonts w:eastAsia="Times New Roman"/>
          <w:b/>
          <w:bCs/>
          <w:szCs w:val="20"/>
        </w:rPr>
        <w:t>SRM 4415</w:t>
      </w:r>
      <w:r w:rsidR="005651C2">
        <w:rPr>
          <w:rFonts w:eastAsia="Times New Roman"/>
          <w:b/>
          <w:bCs/>
          <w:szCs w:val="20"/>
        </w:rPr>
        <w:t>H</w:t>
      </w:r>
      <w:r w:rsidRPr="002D3468">
        <w:rPr>
          <w:rFonts w:eastAsia="Times New Roman"/>
          <w:b/>
          <w:bCs/>
          <w:szCs w:val="20"/>
        </w:rPr>
        <w:t xml:space="preserve"> is a radioactive material, Xenon-133, with a massic activity of approximately 12 GBq in non</w:t>
      </w:r>
      <w:r w:rsidR="00D64529">
        <w:rPr>
          <w:rFonts w:eastAsia="Times New Roman"/>
          <w:b/>
          <w:bCs/>
          <w:szCs w:val="20"/>
        </w:rPr>
        <w:noBreakHyphen/>
      </w:r>
      <w:r w:rsidRPr="002D3468">
        <w:rPr>
          <w:rFonts w:eastAsia="Times New Roman"/>
          <w:b/>
          <w:bCs/>
          <w:szCs w:val="20"/>
        </w:rPr>
        <w:t>radioactive xenon gas.</w:t>
      </w:r>
      <w:r w:rsidR="00D64529">
        <w:rPr>
          <w:rFonts w:eastAsia="Times New Roman"/>
          <w:b/>
          <w:bCs/>
          <w:szCs w:val="20"/>
        </w:rPr>
        <w:t xml:space="preserve"> </w:t>
      </w:r>
      <w:r w:rsidRPr="002D3468">
        <w:rPr>
          <w:rFonts w:eastAsia="Times New Roman"/>
          <w:b/>
          <w:bCs/>
          <w:szCs w:val="20"/>
        </w:rPr>
        <w:t xml:space="preserve"> Xenon-133 decays by beta-particle emission to excited levels of Cs-133. </w:t>
      </w:r>
      <w:r w:rsidR="00D64529">
        <w:rPr>
          <w:rFonts w:eastAsia="Times New Roman"/>
          <w:b/>
          <w:bCs/>
          <w:szCs w:val="20"/>
        </w:rPr>
        <w:t xml:space="preserve"> </w:t>
      </w:r>
      <w:r w:rsidRPr="002D3468">
        <w:rPr>
          <w:rFonts w:eastAsia="Times New Roman"/>
          <w:b/>
          <w:bCs/>
          <w:szCs w:val="20"/>
        </w:rPr>
        <w:t xml:space="preserve">During the decay process, </w:t>
      </w:r>
      <w:r w:rsidR="00D64529">
        <w:rPr>
          <w:rFonts w:eastAsia="Times New Roman"/>
          <w:b/>
          <w:bCs/>
          <w:szCs w:val="20"/>
        </w:rPr>
        <w:t>x</w:t>
      </w:r>
      <w:r w:rsidRPr="002D3468">
        <w:rPr>
          <w:rFonts w:eastAsia="Times New Roman"/>
          <w:b/>
          <w:bCs/>
          <w:szCs w:val="20"/>
        </w:rPr>
        <w:t>-rays and gamma rays with energies from 3.8 keV to 384 keV are also emitted</w:t>
      </w:r>
      <w:r w:rsidRPr="00E52255">
        <w:rPr>
          <w:b/>
        </w:rPr>
        <w:t>.</w:t>
      </w:r>
    </w:p>
    <w:p w14:paraId="1692DEE5" w14:textId="77777777" w:rsidR="001C4F6D" w:rsidRPr="00F84879" w:rsidRDefault="002B22C8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6D24D9" w:rsidRPr="00F84879">
        <w:rPr>
          <w:rFonts w:eastAsia="Times New Roman"/>
          <w:bCs/>
          <w:szCs w:val="20"/>
        </w:rPr>
        <w:t xml:space="preserve"> </w:t>
      </w:r>
    </w:p>
    <w:p w14:paraId="1B7DA8CC" w14:textId="77777777" w:rsidR="0073150A" w:rsidRPr="00F84879" w:rsidRDefault="0073150A" w:rsidP="008D50B3">
      <w:pPr>
        <w:widowControl/>
        <w:tabs>
          <w:tab w:val="left" w:pos="1890"/>
        </w:tabs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3EC15707" w14:textId="77777777" w:rsidR="001C4F6D" w:rsidRPr="00F84879" w:rsidRDefault="0073150A" w:rsidP="00D831F7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D831F7">
        <w:rPr>
          <w:rFonts w:eastAsia="Times New Roman"/>
          <w:bCs/>
          <w:szCs w:val="20"/>
        </w:rPr>
        <w:t>Not classified</w:t>
      </w:r>
      <w:r w:rsidR="00D831F7" w:rsidRPr="00F84879">
        <w:rPr>
          <w:rFonts w:eastAsia="Times New Roman"/>
          <w:bCs/>
          <w:szCs w:val="20"/>
        </w:rPr>
        <w:t>.</w:t>
      </w:r>
    </w:p>
    <w:p w14:paraId="1A3474DF" w14:textId="77777777" w:rsidR="00730686" w:rsidRPr="00C27D84" w:rsidRDefault="00730686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697453DE" w14:textId="77777777" w:rsidR="00910EA2" w:rsidRPr="00C27D84" w:rsidRDefault="00730686" w:rsidP="008D50B3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D831F7">
        <w:rPr>
          <w:rFonts w:eastAsia="Times New Roman"/>
          <w:b/>
          <w:bCs/>
          <w:szCs w:val="20"/>
        </w:rPr>
        <w:t>:</w:t>
      </w:r>
      <w:r w:rsidR="00D831F7" w:rsidRPr="00D831F7">
        <w:rPr>
          <w:rFonts w:eastAsia="Times New Roman"/>
          <w:bCs/>
          <w:szCs w:val="20"/>
        </w:rPr>
        <w:t xml:space="preserve">  No symbol/No pictogram.</w:t>
      </w:r>
      <w:r w:rsidR="00D831F7">
        <w:rPr>
          <w:rFonts w:eastAsia="Times New Roman"/>
          <w:b/>
          <w:bCs/>
          <w:szCs w:val="20"/>
        </w:rPr>
        <w:t xml:space="preserve"> </w:t>
      </w:r>
    </w:p>
    <w:p w14:paraId="2EC26914" w14:textId="77777777" w:rsidR="00910EA2" w:rsidRPr="00D831F7" w:rsidRDefault="00730686" w:rsidP="008B7D2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 signal word.</w:t>
      </w:r>
    </w:p>
    <w:p w14:paraId="734600A6" w14:textId="77777777" w:rsidR="00730686" w:rsidRPr="00D831F7" w:rsidRDefault="00730686" w:rsidP="008B7D2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5F93DF15" w14:textId="77777777" w:rsidR="00910EA2" w:rsidRPr="00F84879" w:rsidRDefault="00730686" w:rsidP="008B7D2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Precautionary Statement(s)</w:t>
      </w:r>
      <w:r w:rsidR="00BD7A54" w:rsidRPr="00BD7A54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46E20F5B" w14:textId="77777777" w:rsidR="002B22C8" w:rsidRPr="00F84879" w:rsidRDefault="00910EA2" w:rsidP="00DF5AC0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0652B537" w14:textId="78F5F21E" w:rsidR="00DA71FA" w:rsidRPr="00F84879" w:rsidRDefault="00910EA2" w:rsidP="00DF5AC0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2AB2EAD2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FF23A4A" w14:textId="77777777" w:rsidR="00371ED3" w:rsidRPr="00F84879" w:rsidRDefault="00371ED3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CE74E23" w14:textId="2DB106C9" w:rsidR="00BB0995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E52255" w:rsidRPr="00E52255">
        <w:t>Xenon</w:t>
      </w:r>
      <w:r w:rsidR="00E52255" w:rsidRPr="00E52255">
        <w:rPr>
          <w:rFonts w:ascii="Cambria Math" w:hAnsi="Cambria Math" w:cs="Cambria Math"/>
        </w:rPr>
        <w:t>‐</w:t>
      </w:r>
      <w:r w:rsidR="00E52255" w:rsidRPr="00E52255">
        <w:t>133 in non</w:t>
      </w:r>
      <w:r w:rsidR="00E52255" w:rsidRPr="00E52255">
        <w:rPr>
          <w:rFonts w:ascii="Cambria Math" w:hAnsi="Cambria Math" w:cs="Cambria Math"/>
        </w:rPr>
        <w:t>‐</w:t>
      </w:r>
      <w:r w:rsidR="00E52255" w:rsidRPr="00E52255">
        <w:t>radioactive xenon gas</w:t>
      </w:r>
      <w:r w:rsidR="00BD7A54" w:rsidRPr="00CF2758">
        <w:t>.</w:t>
      </w:r>
    </w:p>
    <w:p w14:paraId="40AD5202" w14:textId="77777777" w:rsidR="00BB0995" w:rsidRPr="00F84879" w:rsidRDefault="00BB0995" w:rsidP="00BD7A54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Not applicable.</w:t>
      </w:r>
    </w:p>
    <w:p w14:paraId="542FE088" w14:textId="66231204" w:rsidR="00661CCC" w:rsidRPr="00066569" w:rsidRDefault="00661CCC" w:rsidP="00DF5AC0">
      <w:pPr>
        <w:widowControl/>
        <w:spacing w:before="120" w:after="120"/>
        <w:rPr>
          <w:rFonts w:eastAsia="Times New Roman"/>
          <w:spacing w:val="1"/>
          <w:szCs w:val="20"/>
        </w:rPr>
      </w:pPr>
      <w:r w:rsidRPr="00066569">
        <w:rPr>
          <w:rFonts w:eastAsia="Times New Roman"/>
          <w:spacing w:val="1"/>
          <w:szCs w:val="20"/>
        </w:rPr>
        <w:t>Components are listed in compliance with OSHA’s 29 CFR 1910.1200; fo</w:t>
      </w:r>
      <w:r w:rsidRPr="00066569">
        <w:rPr>
          <w:rFonts w:eastAsia="Times New Roman"/>
          <w:szCs w:val="20"/>
        </w:rPr>
        <w:t>r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Pr="00066569">
        <w:rPr>
          <w:rFonts w:eastAsia="Times New Roman"/>
          <w:spacing w:val="-1"/>
          <w:szCs w:val="20"/>
        </w:rPr>
        <w:t>ac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pacing w:val="-1"/>
          <w:szCs w:val="20"/>
        </w:rPr>
        <w:t>va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s s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e 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="00A54D8A" w:rsidRPr="00066569">
        <w:rPr>
          <w:rFonts w:eastAsia="Times New Roman"/>
          <w:szCs w:val="20"/>
        </w:rPr>
        <w:t xml:space="preserve">NIST </w:t>
      </w:r>
      <w:r w:rsidRPr="00066569">
        <w:rPr>
          <w:rFonts w:eastAsia="Times New Roman"/>
          <w:szCs w:val="20"/>
        </w:rPr>
        <w:t>C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rti</w:t>
      </w:r>
      <w:r w:rsidRPr="00066569">
        <w:rPr>
          <w:rFonts w:eastAsia="Times New Roman"/>
          <w:spacing w:val="-2"/>
          <w:szCs w:val="20"/>
        </w:rPr>
        <w:t>f</w:t>
      </w:r>
      <w:r w:rsidRPr="00066569">
        <w:rPr>
          <w:rFonts w:eastAsia="Times New Roman"/>
          <w:szCs w:val="20"/>
        </w:rPr>
        <w:t>i</w:t>
      </w:r>
      <w:r w:rsidRPr="00066569">
        <w:rPr>
          <w:rFonts w:eastAsia="Times New Roman"/>
          <w:spacing w:val="-1"/>
          <w:szCs w:val="20"/>
        </w:rPr>
        <w:t>ca</w:t>
      </w:r>
      <w:r w:rsidRPr="00066569">
        <w:rPr>
          <w:rFonts w:eastAsia="Times New Roman"/>
          <w:szCs w:val="20"/>
        </w:rPr>
        <w:t xml:space="preserve">te.  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58808922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4BC59806" w14:textId="77777777" w:rsidR="00B173FB" w:rsidRPr="00F84879" w:rsidRDefault="00B173FB" w:rsidP="00BD7A54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</w:p>
        </w:tc>
        <w:tc>
          <w:tcPr>
            <w:tcW w:w="1800" w:type="dxa"/>
            <w:shd w:val="clear" w:color="auto" w:fill="auto"/>
          </w:tcPr>
          <w:p w14:paraId="7665F71E" w14:textId="77777777" w:rsidR="00B173FB" w:rsidRPr="00F84879" w:rsidRDefault="00B173FB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40C62B0A" w14:textId="77777777" w:rsidR="0044226E" w:rsidRPr="00F84879" w:rsidRDefault="00B173FB" w:rsidP="00DF5AC0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0D6E0344" w14:textId="77777777" w:rsidR="00B173FB" w:rsidRPr="00F84879" w:rsidRDefault="00B173FB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507FF901" w14:textId="77777777" w:rsidR="00B173FB" w:rsidRPr="00F84879" w:rsidRDefault="00B173FB" w:rsidP="00DF5AC0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Nominal Mass Concentration</w:t>
            </w:r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BD7A54" w:rsidRPr="00F84879" w14:paraId="39F42B42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5619BB29" w14:textId="6A771DA9" w:rsidR="00BD7A54" w:rsidRPr="00F84879" w:rsidRDefault="00E52255" w:rsidP="00BD7A54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E52255">
              <w:rPr>
                <w:rFonts w:eastAsia="Times New Roman"/>
                <w:spacing w:val="2"/>
                <w:szCs w:val="20"/>
              </w:rPr>
              <w:t>Xenon Gas</w:t>
            </w:r>
          </w:p>
        </w:tc>
        <w:tc>
          <w:tcPr>
            <w:tcW w:w="1800" w:type="dxa"/>
            <w:shd w:val="clear" w:color="auto" w:fill="auto"/>
          </w:tcPr>
          <w:p w14:paraId="342DFD9F" w14:textId="04BA9148" w:rsidR="00BD7A54" w:rsidRPr="00F84879" w:rsidRDefault="00BD7A54" w:rsidP="00BD7A54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2D3468" w:rsidRPr="002D3468">
              <w:rPr>
                <w:rFonts w:eastAsia="Times New Roman"/>
                <w:spacing w:val="1"/>
                <w:szCs w:val="20"/>
              </w:rPr>
              <w:t>7440-63-3</w:t>
            </w:r>
          </w:p>
        </w:tc>
        <w:tc>
          <w:tcPr>
            <w:tcW w:w="1800" w:type="dxa"/>
            <w:shd w:val="clear" w:color="auto" w:fill="auto"/>
          </w:tcPr>
          <w:p w14:paraId="63677B8D" w14:textId="04641AFA" w:rsidR="00BD7A54" w:rsidRPr="00F84879" w:rsidRDefault="002D3468" w:rsidP="00BD7A54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2D3468">
              <w:rPr>
                <w:rFonts w:eastAsia="Times New Roman"/>
                <w:spacing w:val="1"/>
                <w:szCs w:val="20"/>
              </w:rPr>
              <w:t>231-172-7</w:t>
            </w:r>
          </w:p>
        </w:tc>
        <w:tc>
          <w:tcPr>
            <w:tcW w:w="2846" w:type="dxa"/>
            <w:shd w:val="clear" w:color="auto" w:fill="auto"/>
          </w:tcPr>
          <w:p w14:paraId="13FBB24F" w14:textId="21DF40B2" w:rsidR="00BD7A54" w:rsidRPr="00F84879" w:rsidRDefault="00BD7A54" w:rsidP="00BD7A54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&gt;9</w:t>
            </w:r>
            <w:r>
              <w:rPr>
                <w:rFonts w:eastAsia="Times New Roman"/>
                <w:szCs w:val="20"/>
              </w:rPr>
              <w:t>9</w:t>
            </w:r>
            <w:r w:rsidR="00E52255">
              <w:rPr>
                <w:rFonts w:eastAsia="Times New Roman"/>
                <w:szCs w:val="20"/>
              </w:rPr>
              <w:t>.9</w:t>
            </w:r>
          </w:p>
        </w:tc>
      </w:tr>
      <w:tr w:rsidR="00F84879" w:rsidRPr="00F84879" w14:paraId="16CE34CD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672C6368" w14:textId="4F097C87" w:rsidR="00DC0227" w:rsidRPr="00F84879" w:rsidRDefault="00E52255" w:rsidP="00DF5AC0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 w:rsidRPr="00E52255">
              <w:rPr>
                <w:rFonts w:eastAsia="Times New Roman"/>
                <w:spacing w:val="2"/>
                <w:szCs w:val="20"/>
              </w:rPr>
              <w:t>Xenon</w:t>
            </w:r>
            <w:r w:rsidRPr="00E52255">
              <w:rPr>
                <w:rFonts w:ascii="Cambria Math" w:eastAsia="Times New Roman" w:hAnsi="Cambria Math" w:cs="Cambria Math"/>
                <w:spacing w:val="2"/>
                <w:szCs w:val="20"/>
              </w:rPr>
              <w:t>‐</w:t>
            </w:r>
            <w:r w:rsidRPr="00E52255">
              <w:rPr>
                <w:rFonts w:eastAsia="Times New Roman"/>
                <w:spacing w:val="2"/>
                <w:szCs w:val="20"/>
              </w:rPr>
              <w:t>133</w:t>
            </w:r>
          </w:p>
        </w:tc>
        <w:tc>
          <w:tcPr>
            <w:tcW w:w="1800" w:type="dxa"/>
            <w:shd w:val="clear" w:color="auto" w:fill="auto"/>
          </w:tcPr>
          <w:p w14:paraId="2CEE8438" w14:textId="77777777" w:rsidR="00DC0227" w:rsidRPr="00F84879" w:rsidRDefault="00DC0227" w:rsidP="00DF5AC0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55532059" w14:textId="77777777" w:rsidR="00DC0227" w:rsidRPr="00F84879" w:rsidRDefault="00DC0227" w:rsidP="00DF5AC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710CE586" w14:textId="71B09534" w:rsidR="00DC0227" w:rsidRPr="00F84879" w:rsidRDefault="00152156" w:rsidP="00BD7A54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 w:rsidRPr="00152156">
              <w:t>0.00</w:t>
            </w:r>
            <w:r w:rsidR="00BD7A54">
              <w:t>0</w:t>
            </w:r>
            <w:r w:rsidR="00CE42A6">
              <w:t>0</w:t>
            </w:r>
            <w:r w:rsidR="00E52255">
              <w:t>5</w:t>
            </w:r>
          </w:p>
        </w:tc>
      </w:tr>
    </w:tbl>
    <w:p w14:paraId="7FCC5E55" w14:textId="77777777" w:rsidR="00882F90" w:rsidRDefault="00882F90" w:rsidP="00DF5AC0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1E6224D4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5E4BD61E" w14:textId="77777777" w:rsidR="00B173FB" w:rsidRPr="00AA247E" w:rsidRDefault="00B173FB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62B8A05" w14:textId="77777777" w:rsidR="00C508A0" w:rsidRPr="00455695" w:rsidRDefault="00BB0995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3F5AB3B7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15AD3B6A" w14:textId="6307AC75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1379DC">
        <w:rPr>
          <w:rFonts w:eastAsia="Times New Roman"/>
          <w:bCs/>
          <w:szCs w:val="20"/>
        </w:rPr>
        <w:t xml:space="preserve"> N/A</w:t>
      </w:r>
    </w:p>
    <w:p w14:paraId="31CD135F" w14:textId="51EAA007" w:rsidR="00C508A0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1379DC">
        <w:rPr>
          <w:rFonts w:eastAsia="Times New Roman"/>
          <w:bCs/>
          <w:szCs w:val="20"/>
        </w:rPr>
        <w:t xml:space="preserve"> N/A</w:t>
      </w:r>
    </w:p>
    <w:p w14:paraId="236CF064" w14:textId="51864792" w:rsidR="00E24579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8D50B3">
        <w:rPr>
          <w:rFonts w:eastAsia="Times New Roman"/>
          <w:bCs/>
          <w:szCs w:val="20"/>
        </w:rPr>
        <w:t xml:space="preserve">  </w:t>
      </w:r>
      <w:r w:rsidR="00E52255" w:rsidRPr="00E52255">
        <w:rPr>
          <w:rFonts w:eastAsia="Times New Roman"/>
          <w:bCs/>
          <w:szCs w:val="20"/>
        </w:rPr>
        <w:t>Ingestion of a gas is unlikely.  As this product is a gas, refer to the inhalation section</w:t>
      </w:r>
      <w:r w:rsidR="00DC0227" w:rsidRPr="00455695">
        <w:rPr>
          <w:rFonts w:eastAsia="Times New Roman"/>
          <w:bCs/>
          <w:szCs w:val="20"/>
        </w:rPr>
        <w:t>.</w:t>
      </w:r>
    </w:p>
    <w:p w14:paraId="254EEDBE" w14:textId="77777777" w:rsidR="002D63F4" w:rsidRPr="00BB5555" w:rsidRDefault="002D63F4" w:rsidP="00DF5AC0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BD7A54">
        <w:rPr>
          <w:rFonts w:eastAsia="Times New Roman"/>
          <w:bCs/>
          <w:szCs w:val="20"/>
        </w:rPr>
        <w:t>Not applicable</w:t>
      </w:r>
      <w:r w:rsidR="003466CD" w:rsidRPr="00F84879">
        <w:rPr>
          <w:rFonts w:eastAsia="Times New Roman"/>
          <w:bCs/>
          <w:szCs w:val="20"/>
        </w:rPr>
        <w:t>.</w:t>
      </w:r>
    </w:p>
    <w:p w14:paraId="60035B74" w14:textId="77777777" w:rsidR="002D63F4" w:rsidRPr="00455695" w:rsidRDefault="002D63F4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455695" w14:paraId="33CCD05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7BD84B47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36162A9" w14:textId="77777777" w:rsidR="001248AA" w:rsidRPr="003E2700" w:rsidRDefault="001248AA" w:rsidP="00DF5AC0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5A12CB0E" w14:textId="77777777" w:rsidR="006251CA" w:rsidRDefault="00676966" w:rsidP="00DF5AC0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1E04B3E0" w14:textId="77777777" w:rsidR="00E93DD1" w:rsidRPr="00623C6E" w:rsidRDefault="00E93DD1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35755F68" w14:textId="77777777" w:rsidR="00E93DD1" w:rsidRPr="00623C6E" w:rsidRDefault="0028318C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72D9FA1C" w14:textId="18CA864D" w:rsidR="00E24579" w:rsidRPr="00BB5555" w:rsidRDefault="00676966" w:rsidP="00DF5AC0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F2093A">
        <w:rPr>
          <w:rFonts w:eastAsia="Times New Roman"/>
          <w:bCs/>
          <w:szCs w:val="20"/>
        </w:rPr>
        <w:t>No information available</w:t>
      </w:r>
      <w:r w:rsidR="0028318C" w:rsidRPr="00F84879">
        <w:rPr>
          <w:rFonts w:eastAsia="Times New Roman"/>
          <w:bCs/>
          <w:szCs w:val="20"/>
        </w:rPr>
        <w:t>.</w:t>
      </w:r>
    </w:p>
    <w:p w14:paraId="2F5D0281" w14:textId="77777777" w:rsidR="002B60F0" w:rsidRDefault="00F057E8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1E35CBEF" w14:textId="77777777" w:rsidR="00170F65" w:rsidRPr="00455695" w:rsidRDefault="000D31BB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4556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</w:p>
    <w:p w14:paraId="10DD44BA" w14:textId="2195CB35" w:rsidR="00170F65" w:rsidRPr="00455695" w:rsidRDefault="00170F65" w:rsidP="00DF5AC0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D64529">
        <w:rPr>
          <w:szCs w:val="20"/>
        </w:rPr>
        <w:t>1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455695" w14:paraId="54EB194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3A25031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A34A7F5" w14:textId="7BE27AF2" w:rsidR="000E615A" w:rsidRPr="003E2700" w:rsidRDefault="000E615A" w:rsidP="00DF5AC0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 xml:space="preserve">This material is radioactive.  Immediately notify safety personnel of a </w:t>
      </w:r>
      <w:r w:rsidR="000B7E5C">
        <w:rPr>
          <w:rFonts w:eastAsia="Times New Roman"/>
          <w:b/>
          <w:bCs/>
          <w:spacing w:val="1"/>
          <w:szCs w:val="20"/>
        </w:rPr>
        <w:t>leak</w:t>
      </w:r>
      <w:r w:rsidRPr="003E2700">
        <w:rPr>
          <w:rFonts w:eastAsia="Times New Roman"/>
          <w:b/>
          <w:bCs/>
          <w:spacing w:val="1"/>
          <w:szCs w:val="20"/>
        </w:rPr>
        <w:t>.</w:t>
      </w:r>
    </w:p>
    <w:p w14:paraId="311C3793" w14:textId="77777777" w:rsidR="000E615A" w:rsidRDefault="001D7FE4" w:rsidP="00DF5AC0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228CC684" w14:textId="77777777" w:rsidR="000E615A" w:rsidRPr="00130CC0" w:rsidRDefault="000E615A" w:rsidP="00DF5AC0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0DA86DB4" w14:textId="77777777" w:rsidR="000E615A" w:rsidRPr="00130CC0" w:rsidRDefault="000E615A" w:rsidP="00DF5AC0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11854B44" w14:textId="0AA1721F" w:rsidR="000E615A" w:rsidRPr="00130CC0" w:rsidRDefault="000E615A" w:rsidP="00DF5AC0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 xml:space="preserve">Do not touch damaged packages.  Handle as a radioactive material </w:t>
      </w:r>
      <w:r w:rsidR="000B7E5C">
        <w:rPr>
          <w:bCs/>
          <w:color w:val="252525"/>
          <w:szCs w:val="20"/>
        </w:rPr>
        <w:t>leak</w:t>
      </w:r>
      <w:r w:rsidRPr="00130CC0">
        <w:rPr>
          <w:bCs/>
          <w:color w:val="252525"/>
          <w:szCs w:val="20"/>
        </w:rPr>
        <w:t>.  In addition to those actions described below, the guidelines in the Emergency Response Guidebook (ERG) provide more specific measures that should be followed.</w:t>
      </w:r>
    </w:p>
    <w:p w14:paraId="0A931BE4" w14:textId="4FC717EF" w:rsidR="00BC5C79" w:rsidRDefault="00BC5C79" w:rsidP="00DF5AC0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szCs w:val="20"/>
        </w:rPr>
      </w:pPr>
    </w:p>
    <w:p w14:paraId="7EEDF400" w14:textId="09B6A627" w:rsidR="001379DC" w:rsidRPr="00130CC0" w:rsidRDefault="001379DC" w:rsidP="00DF5AC0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>
        <w:rPr>
          <w:szCs w:val="20"/>
        </w:rPr>
        <w:t>In case of a breakage, evacuate the room closing the door behind you and contact safety personnel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00C115A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8A1C2F5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A67BF85" w14:textId="1B6B053B" w:rsidR="00D86CFF" w:rsidRPr="00EF4006" w:rsidRDefault="001D7FE4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</w:t>
      </w:r>
      <w:r w:rsidR="00E52255" w:rsidRPr="00E52255">
        <w:rPr>
          <w:rFonts w:eastAsia="Times New Roman"/>
          <w:szCs w:val="20"/>
        </w:rPr>
        <w:t>Use only with adequate ventilation.  Do not puncture or incinerate container</w:t>
      </w:r>
      <w:r w:rsidR="00E52255">
        <w:rPr>
          <w:rFonts w:eastAsia="Times New Roman"/>
          <w:szCs w:val="20"/>
        </w:rPr>
        <w:t xml:space="preserve">. </w:t>
      </w:r>
      <w:r w:rsidR="00E52255" w:rsidRPr="00E52255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Store and handle in accordance with all current regulations and standards.  See NRC 10 CFR 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15605A86" w14:textId="77777777" w:rsidTr="00AA247E">
        <w:tc>
          <w:tcPr>
            <w:tcW w:w="9576" w:type="dxa"/>
            <w:shd w:val="clear" w:color="auto" w:fill="auto"/>
            <w:vAlign w:val="center"/>
          </w:tcPr>
          <w:p w14:paraId="492B18B9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1BF4921" w14:textId="77777777" w:rsidR="003F734D" w:rsidRDefault="00BD7A54" w:rsidP="00BD7A54">
      <w:pPr>
        <w:keepNext/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 xml:space="preserve">s:  </w:t>
      </w:r>
    </w:p>
    <w:p w14:paraId="187F8FC3" w14:textId="52657AB6" w:rsidR="00D86CFF" w:rsidRPr="00F84879" w:rsidRDefault="00E52255" w:rsidP="003F734D">
      <w:pPr>
        <w:keepNext/>
        <w:widowControl/>
        <w:spacing w:before="120"/>
        <w:ind w:firstLine="27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Xe-133</w:t>
      </w:r>
    </w:p>
    <w:p w14:paraId="70BAF917" w14:textId="749D6DA2" w:rsidR="00BD7A54" w:rsidRPr="00CF2758" w:rsidRDefault="00BB5555" w:rsidP="00D64529">
      <w:pPr>
        <w:ind w:firstLine="360"/>
      </w:pPr>
      <w:r w:rsidRPr="00F84879">
        <w:tab/>
      </w:r>
      <w:r w:rsidR="001379DC">
        <w:t>DAC = 1 x 10</w:t>
      </w:r>
      <w:r w:rsidR="001379DC" w:rsidRPr="001379DC">
        <w:rPr>
          <w:vertAlign w:val="superscript"/>
        </w:rPr>
        <w:t>-4</w:t>
      </w:r>
      <w:r w:rsidR="001379DC">
        <w:t xml:space="preserve"> µCi/mL</w:t>
      </w:r>
    </w:p>
    <w:p w14:paraId="3079FB03" w14:textId="77777777" w:rsidR="00D86CFF" w:rsidRPr="00F84879" w:rsidRDefault="00BB5555" w:rsidP="00BD7A54">
      <w:pPr>
        <w:widowControl/>
        <w:tabs>
          <w:tab w:val="left" w:pos="720"/>
          <w:tab w:val="left" w:pos="810"/>
        </w:tabs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OSHA:  See OSHA 29 CFR and NRC 10 CFR 20.</w:t>
      </w:r>
    </w:p>
    <w:p w14:paraId="529F65AD" w14:textId="77777777" w:rsidR="00D86CFF" w:rsidRPr="00F84879" w:rsidRDefault="00BB5555" w:rsidP="00DF5AC0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ACGIH:  See International Commission on Radiological Protection guidelines</w:t>
      </w:r>
    </w:p>
    <w:p w14:paraId="480C718B" w14:textId="77777777" w:rsidR="0031663D" w:rsidRDefault="0031663D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06CB737" w14:textId="77777777" w:rsidR="0031663D" w:rsidRDefault="00194A53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05BD8B08" w14:textId="77777777" w:rsidR="0031663D" w:rsidRDefault="0031663D" w:rsidP="00DF5AC0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38B6169" w14:textId="5683D663" w:rsidR="0031663D" w:rsidRPr="00783F68" w:rsidRDefault="0031663D" w:rsidP="00DF5AC0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2524D921" w14:textId="596FF602" w:rsidR="0031663D" w:rsidRDefault="00194A53" w:rsidP="00DF5AC0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 xml:space="preserve">protective clothing </w:t>
      </w:r>
      <w:r w:rsidR="00C04116">
        <w:rPr>
          <w:rFonts w:eastAsia="Times New Roman"/>
          <w:szCs w:val="20"/>
        </w:rPr>
        <w:t>and</w:t>
      </w:r>
      <w:r w:rsidR="006B5331" w:rsidRPr="00D86CFF">
        <w:rPr>
          <w:rFonts w:eastAsia="Times New Roman"/>
          <w:szCs w:val="20"/>
        </w:rPr>
        <w:t xml:space="preserve">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8142BC4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1AA949E" w14:textId="77777777" w:rsidR="00DB53D1" w:rsidRPr="00AA247E" w:rsidRDefault="00DB53D1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18DFEB27" w14:textId="77777777" w:rsidR="002C32C6" w:rsidRDefault="002C32C6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0"/>
        <w:gridCol w:w="4050"/>
      </w:tblGrid>
      <w:tr w:rsidR="002C32C6" w14:paraId="1169EF86" w14:textId="77777777" w:rsidTr="003541B7">
        <w:trPr>
          <w:trHeight w:val="432"/>
        </w:trPr>
        <w:tc>
          <w:tcPr>
            <w:tcW w:w="5130" w:type="dxa"/>
            <w:shd w:val="clear" w:color="auto" w:fill="auto"/>
          </w:tcPr>
          <w:p w14:paraId="614CEEB0" w14:textId="77777777" w:rsidR="002C32C6" w:rsidRPr="000737D2" w:rsidRDefault="002C32C6" w:rsidP="00DF5AC0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050" w:type="dxa"/>
            <w:shd w:val="clear" w:color="auto" w:fill="auto"/>
          </w:tcPr>
          <w:p w14:paraId="5F6DC6A1" w14:textId="51ADA882" w:rsidR="002C32C6" w:rsidRPr="003541B7" w:rsidRDefault="00E52255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Xenon</w:t>
            </w:r>
            <w:r w:rsidR="003541B7">
              <w:rPr>
                <w:b/>
                <w:color w:val="auto"/>
                <w:sz w:val="20"/>
                <w:szCs w:val="20"/>
              </w:rPr>
              <w:br/>
              <w:t>(&gt;99 % of this SRM)</w:t>
            </w:r>
          </w:p>
        </w:tc>
      </w:tr>
      <w:tr w:rsidR="00F84879" w:rsidRPr="00F84879" w14:paraId="149A78B6" w14:textId="77777777" w:rsidTr="003541B7">
        <w:tc>
          <w:tcPr>
            <w:tcW w:w="5130" w:type="dxa"/>
            <w:shd w:val="clear" w:color="auto" w:fill="auto"/>
          </w:tcPr>
          <w:p w14:paraId="2816A3C6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4050" w:type="dxa"/>
            <w:shd w:val="clear" w:color="auto" w:fill="auto"/>
          </w:tcPr>
          <w:p w14:paraId="0795B056" w14:textId="0F6B958E" w:rsidR="002C32C6" w:rsidRPr="00F84879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colorless gas</w:t>
            </w:r>
          </w:p>
        </w:tc>
      </w:tr>
      <w:tr w:rsidR="00F84879" w:rsidRPr="00F84879" w14:paraId="375B0747" w14:textId="77777777" w:rsidTr="003541B7">
        <w:tc>
          <w:tcPr>
            <w:tcW w:w="5130" w:type="dxa"/>
            <w:shd w:val="clear" w:color="auto" w:fill="auto"/>
          </w:tcPr>
          <w:p w14:paraId="05158AB4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050" w:type="dxa"/>
            <w:shd w:val="clear" w:color="auto" w:fill="auto"/>
          </w:tcPr>
          <w:p w14:paraId="2676D1CA" w14:textId="6F3276D5" w:rsidR="002C32C6" w:rsidRPr="001F72E4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Xe</w:t>
            </w:r>
          </w:p>
        </w:tc>
      </w:tr>
      <w:tr w:rsidR="00F84879" w:rsidRPr="00F84879" w14:paraId="71CF5354" w14:textId="77777777" w:rsidTr="003541B7">
        <w:tc>
          <w:tcPr>
            <w:tcW w:w="5130" w:type="dxa"/>
            <w:shd w:val="clear" w:color="auto" w:fill="auto"/>
          </w:tcPr>
          <w:p w14:paraId="3A3300EA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4050" w:type="dxa"/>
            <w:shd w:val="clear" w:color="auto" w:fill="auto"/>
          </w:tcPr>
          <w:p w14:paraId="51B6EDD8" w14:textId="7E05C588" w:rsidR="002C32C6" w:rsidRPr="00F84879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131.3</w:t>
            </w:r>
          </w:p>
        </w:tc>
      </w:tr>
      <w:tr w:rsidR="00F84879" w:rsidRPr="00F84879" w14:paraId="17EBDF7E" w14:textId="77777777" w:rsidTr="003541B7">
        <w:tc>
          <w:tcPr>
            <w:tcW w:w="5130" w:type="dxa"/>
            <w:shd w:val="clear" w:color="auto" w:fill="auto"/>
          </w:tcPr>
          <w:p w14:paraId="39BCB1E1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050" w:type="dxa"/>
            <w:shd w:val="clear" w:color="auto" w:fill="auto"/>
          </w:tcPr>
          <w:p w14:paraId="1700E207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F84879" w:rsidRPr="00F84879" w14:paraId="6EFE447F" w14:textId="77777777" w:rsidTr="003541B7">
        <w:tc>
          <w:tcPr>
            <w:tcW w:w="5130" w:type="dxa"/>
            <w:shd w:val="clear" w:color="auto" w:fill="auto"/>
          </w:tcPr>
          <w:p w14:paraId="4EE99A0C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050" w:type="dxa"/>
            <w:shd w:val="clear" w:color="auto" w:fill="auto"/>
          </w:tcPr>
          <w:p w14:paraId="72C79DD1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ACC77C5" w14:textId="77777777" w:rsidTr="003541B7">
        <w:tc>
          <w:tcPr>
            <w:tcW w:w="5130" w:type="dxa"/>
            <w:shd w:val="clear" w:color="auto" w:fill="auto"/>
          </w:tcPr>
          <w:p w14:paraId="2B96B9CB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050" w:type="dxa"/>
            <w:shd w:val="clear" w:color="auto" w:fill="auto"/>
          </w:tcPr>
          <w:p w14:paraId="50626BC0" w14:textId="3E77F1DC" w:rsidR="002C32C6" w:rsidRPr="001F72E4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D6909F7" w14:textId="77777777" w:rsidTr="003541B7">
        <w:tc>
          <w:tcPr>
            <w:tcW w:w="5130" w:type="dxa"/>
            <w:shd w:val="clear" w:color="auto" w:fill="auto"/>
          </w:tcPr>
          <w:p w14:paraId="411BA44C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050" w:type="dxa"/>
            <w:shd w:val="clear" w:color="auto" w:fill="auto"/>
          </w:tcPr>
          <w:p w14:paraId="5C7AC875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1F5C7E41" w14:textId="77777777" w:rsidTr="003541B7">
        <w:tc>
          <w:tcPr>
            <w:tcW w:w="5130" w:type="dxa"/>
            <w:shd w:val="clear" w:color="auto" w:fill="auto"/>
          </w:tcPr>
          <w:p w14:paraId="71B04449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4050" w:type="dxa"/>
            <w:shd w:val="clear" w:color="auto" w:fill="auto"/>
          </w:tcPr>
          <w:p w14:paraId="12389298" w14:textId="57EE2082" w:rsidR="002C32C6" w:rsidRPr="001F72E4" w:rsidRDefault="002D3468" w:rsidP="002D3468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-112 </w:t>
            </w:r>
            <w:r w:rsidR="00371B7C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-170 </w:t>
            </w:r>
            <w:r w:rsidR="00371B7C" w:rsidRPr="00371B7C">
              <w:rPr>
                <w:color w:val="auto"/>
                <w:sz w:val="20"/>
                <w:szCs w:val="20"/>
              </w:rPr>
              <w:t>º</w:t>
            </w:r>
            <w:r w:rsidR="00371B7C">
              <w:rPr>
                <w:color w:val="auto"/>
                <w:sz w:val="20"/>
                <w:szCs w:val="20"/>
              </w:rPr>
              <w:t>F)</w:t>
            </w:r>
          </w:p>
        </w:tc>
      </w:tr>
      <w:tr w:rsidR="00F84879" w:rsidRPr="00F84879" w14:paraId="55B9F1A3" w14:textId="77777777" w:rsidTr="003541B7">
        <w:tc>
          <w:tcPr>
            <w:tcW w:w="5130" w:type="dxa"/>
            <w:shd w:val="clear" w:color="auto" w:fill="auto"/>
          </w:tcPr>
          <w:p w14:paraId="3A643D7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4050" w:type="dxa"/>
            <w:shd w:val="clear" w:color="auto" w:fill="auto"/>
          </w:tcPr>
          <w:p w14:paraId="32969409" w14:textId="65620A91" w:rsidR="002C32C6" w:rsidRPr="001F72E4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5.8878</w:t>
            </w:r>
          </w:p>
        </w:tc>
      </w:tr>
      <w:tr w:rsidR="00F84879" w:rsidRPr="00F84879" w14:paraId="572E1058" w14:textId="77777777" w:rsidTr="003541B7">
        <w:tc>
          <w:tcPr>
            <w:tcW w:w="5130" w:type="dxa"/>
            <w:shd w:val="clear" w:color="auto" w:fill="auto"/>
          </w:tcPr>
          <w:p w14:paraId="5977E849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4050" w:type="dxa"/>
            <w:shd w:val="clear" w:color="auto" w:fill="auto"/>
          </w:tcPr>
          <w:p w14:paraId="68170BD6" w14:textId="541D3720" w:rsidR="002C32C6" w:rsidRPr="001F72E4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760</w:t>
            </w:r>
            <w:r w:rsidR="00371B7C">
              <w:rPr>
                <w:color w:val="auto"/>
                <w:sz w:val="20"/>
                <w:szCs w:val="20"/>
              </w:rPr>
              <w:t xml:space="preserve"> at </w:t>
            </w:r>
            <w:r>
              <w:rPr>
                <w:color w:val="auto"/>
                <w:sz w:val="20"/>
                <w:szCs w:val="20"/>
              </w:rPr>
              <w:t>-108</w:t>
            </w:r>
            <w:r w:rsidR="00371B7C">
              <w:rPr>
                <w:color w:val="auto"/>
                <w:sz w:val="20"/>
                <w:szCs w:val="20"/>
              </w:rPr>
              <w:t> </w:t>
            </w:r>
            <w:r w:rsidR="00371B7C" w:rsidRPr="00371B7C">
              <w:rPr>
                <w:color w:val="auto"/>
                <w:sz w:val="20"/>
                <w:szCs w:val="20"/>
              </w:rPr>
              <w:t>ºC</w:t>
            </w:r>
          </w:p>
        </w:tc>
      </w:tr>
      <w:tr w:rsidR="00F84879" w:rsidRPr="00F84879" w14:paraId="3C641EB5" w14:textId="77777777" w:rsidTr="003541B7">
        <w:tc>
          <w:tcPr>
            <w:tcW w:w="5130" w:type="dxa"/>
            <w:shd w:val="clear" w:color="auto" w:fill="auto"/>
          </w:tcPr>
          <w:p w14:paraId="1D35E69F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050" w:type="dxa"/>
            <w:shd w:val="clear" w:color="auto" w:fill="auto"/>
          </w:tcPr>
          <w:p w14:paraId="37DD35C2" w14:textId="7FD8AB7A" w:rsidR="002C32C6" w:rsidRPr="001F72E4" w:rsidRDefault="002D3468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4.561</w:t>
            </w:r>
          </w:p>
        </w:tc>
      </w:tr>
      <w:tr w:rsidR="00F84879" w:rsidRPr="00F84879" w14:paraId="6A2B4EA4" w14:textId="77777777" w:rsidTr="003541B7">
        <w:tc>
          <w:tcPr>
            <w:tcW w:w="5130" w:type="dxa"/>
            <w:shd w:val="clear" w:color="auto" w:fill="auto"/>
          </w:tcPr>
          <w:p w14:paraId="67FAC750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050" w:type="dxa"/>
            <w:shd w:val="clear" w:color="auto" w:fill="auto"/>
          </w:tcPr>
          <w:p w14:paraId="1ABD45CB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CB3E709" w14:textId="77777777" w:rsidTr="003541B7">
        <w:tc>
          <w:tcPr>
            <w:tcW w:w="5130" w:type="dxa"/>
            <w:shd w:val="clear" w:color="auto" w:fill="auto"/>
          </w:tcPr>
          <w:p w14:paraId="1A74D7E0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050" w:type="dxa"/>
            <w:shd w:val="clear" w:color="auto" w:fill="auto"/>
          </w:tcPr>
          <w:p w14:paraId="0F8A6E3E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DBECC85" w14:textId="77777777" w:rsidTr="003541B7">
        <w:tc>
          <w:tcPr>
            <w:tcW w:w="5130" w:type="dxa"/>
            <w:shd w:val="clear" w:color="auto" w:fill="auto"/>
          </w:tcPr>
          <w:p w14:paraId="2CB32C0C" w14:textId="77777777" w:rsidR="002C32C6" w:rsidRPr="00F84879" w:rsidRDefault="002C32C6" w:rsidP="003541B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050" w:type="dxa"/>
            <w:shd w:val="clear" w:color="auto" w:fill="auto"/>
          </w:tcPr>
          <w:p w14:paraId="70AD91C9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4E66B6A" w14:textId="77777777" w:rsidTr="003541B7">
        <w:tc>
          <w:tcPr>
            <w:tcW w:w="5130" w:type="dxa"/>
            <w:shd w:val="clear" w:color="auto" w:fill="auto"/>
          </w:tcPr>
          <w:p w14:paraId="2BB8F7F0" w14:textId="77777777" w:rsidR="002C32C6" w:rsidRPr="00F84879" w:rsidRDefault="002C32C6" w:rsidP="00DF5AC0">
            <w:pPr>
              <w:pStyle w:val="Default"/>
              <w:keepNext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4050" w:type="dxa"/>
            <w:shd w:val="clear" w:color="auto" w:fill="auto"/>
          </w:tcPr>
          <w:p w14:paraId="720C820F" w14:textId="406495A7" w:rsidR="002C32C6" w:rsidRPr="001F72E4" w:rsidRDefault="000B7E5C" w:rsidP="00DF5AC0">
            <w:pPr>
              <w:pStyle w:val="Default"/>
              <w:spacing w:before="120" w:after="6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Xenon</w:t>
            </w:r>
            <w:r w:rsidR="00371B7C">
              <w:rPr>
                <w:b/>
                <w:color w:val="auto"/>
                <w:sz w:val="20"/>
                <w:szCs w:val="20"/>
              </w:rPr>
              <w:br/>
              <w:t>(&gt;99 % of this SRM)</w:t>
            </w:r>
          </w:p>
        </w:tc>
      </w:tr>
      <w:tr w:rsidR="00F84879" w:rsidRPr="00F84879" w14:paraId="71FFF739" w14:textId="77777777" w:rsidTr="003541B7">
        <w:tc>
          <w:tcPr>
            <w:tcW w:w="5130" w:type="dxa"/>
            <w:shd w:val="clear" w:color="auto" w:fill="auto"/>
          </w:tcPr>
          <w:p w14:paraId="76B3A5FC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050" w:type="dxa"/>
            <w:shd w:val="clear" w:color="auto" w:fill="auto"/>
          </w:tcPr>
          <w:p w14:paraId="64F3A4A3" w14:textId="77777777" w:rsidR="002C32C6" w:rsidRPr="001F72E4" w:rsidRDefault="00A37A66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7FF4FEDA" w14:textId="77777777" w:rsidTr="003541B7">
        <w:tc>
          <w:tcPr>
            <w:tcW w:w="5130" w:type="dxa"/>
            <w:shd w:val="clear" w:color="auto" w:fill="auto"/>
          </w:tcPr>
          <w:p w14:paraId="03BC4923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050" w:type="dxa"/>
            <w:shd w:val="clear" w:color="auto" w:fill="auto"/>
          </w:tcPr>
          <w:p w14:paraId="694E67E7" w14:textId="77777777" w:rsidR="002C32C6" w:rsidRPr="001F72E4" w:rsidRDefault="00A37A66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79CF955E" w14:textId="77777777" w:rsidTr="003541B7">
        <w:tc>
          <w:tcPr>
            <w:tcW w:w="5130" w:type="dxa"/>
            <w:shd w:val="clear" w:color="auto" w:fill="auto"/>
          </w:tcPr>
          <w:p w14:paraId="74E1EDA6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050" w:type="dxa"/>
            <w:shd w:val="clear" w:color="auto" w:fill="auto"/>
          </w:tcPr>
          <w:p w14:paraId="1A66EE45" w14:textId="039A3350" w:rsidR="00A37A66" w:rsidRPr="001F72E4" w:rsidRDefault="002D3468" w:rsidP="002D3468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A37A66">
              <w:rPr>
                <w:color w:val="auto"/>
                <w:sz w:val="20"/>
                <w:szCs w:val="20"/>
              </w:rPr>
              <w:t>10</w:t>
            </w:r>
            <w:r>
              <w:rPr>
                <w:color w:val="auto"/>
                <w:sz w:val="20"/>
                <w:szCs w:val="20"/>
              </w:rPr>
              <w:t>8</w:t>
            </w:r>
            <w:r w:rsidR="00A37A66">
              <w:rPr>
                <w:color w:val="auto"/>
                <w:sz w:val="20"/>
                <w:szCs w:val="20"/>
              </w:rPr>
              <w:t> (</w:t>
            </w:r>
            <w:r>
              <w:rPr>
                <w:color w:val="auto"/>
                <w:sz w:val="20"/>
                <w:szCs w:val="20"/>
              </w:rPr>
              <w:t>-162 </w:t>
            </w:r>
            <w:r w:rsidR="00A37A66" w:rsidRPr="00371B7C">
              <w:rPr>
                <w:color w:val="auto"/>
                <w:sz w:val="20"/>
                <w:szCs w:val="20"/>
              </w:rPr>
              <w:t>º</w:t>
            </w:r>
            <w:r w:rsidR="00A37A66">
              <w:rPr>
                <w:color w:val="auto"/>
                <w:sz w:val="20"/>
                <w:szCs w:val="20"/>
              </w:rPr>
              <w:t>F)</w:t>
            </w:r>
          </w:p>
        </w:tc>
      </w:tr>
      <w:tr w:rsidR="00A37A66" w:rsidRPr="00F84879" w14:paraId="5F176EAF" w14:textId="77777777" w:rsidTr="003541B7">
        <w:tc>
          <w:tcPr>
            <w:tcW w:w="5130" w:type="dxa"/>
            <w:shd w:val="clear" w:color="auto" w:fill="auto"/>
          </w:tcPr>
          <w:p w14:paraId="2BA24238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050" w:type="dxa"/>
            <w:shd w:val="clear" w:color="auto" w:fill="auto"/>
          </w:tcPr>
          <w:p w14:paraId="0AD3169E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5E4730C2" w14:textId="77777777" w:rsidTr="003541B7">
        <w:tc>
          <w:tcPr>
            <w:tcW w:w="5130" w:type="dxa"/>
            <w:shd w:val="clear" w:color="auto" w:fill="auto"/>
          </w:tcPr>
          <w:p w14:paraId="20FE0DC3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050" w:type="dxa"/>
            <w:shd w:val="clear" w:color="auto" w:fill="auto"/>
          </w:tcPr>
          <w:p w14:paraId="4D62B1AE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2EABACCA" w14:textId="77777777" w:rsidTr="003541B7">
        <w:tc>
          <w:tcPr>
            <w:tcW w:w="5130" w:type="dxa"/>
            <w:shd w:val="clear" w:color="auto" w:fill="auto"/>
          </w:tcPr>
          <w:p w14:paraId="6C26666E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050" w:type="dxa"/>
            <w:shd w:val="clear" w:color="auto" w:fill="auto"/>
          </w:tcPr>
          <w:p w14:paraId="18346FA4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29F28091" w14:textId="77777777" w:rsidTr="003541B7">
        <w:tc>
          <w:tcPr>
            <w:tcW w:w="5130" w:type="dxa"/>
            <w:shd w:val="clear" w:color="auto" w:fill="auto"/>
          </w:tcPr>
          <w:p w14:paraId="0B107C6E" w14:textId="77777777" w:rsidR="00A37A66" w:rsidRPr="00F84879" w:rsidRDefault="00A37A66" w:rsidP="00A37A6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050" w:type="dxa"/>
            <w:shd w:val="clear" w:color="auto" w:fill="auto"/>
          </w:tcPr>
          <w:p w14:paraId="12824089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573B0860" w14:textId="77777777" w:rsidR="00654FF5" w:rsidRPr="00F84879" w:rsidRDefault="00654FF5" w:rsidP="00DF5AC0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0B4A1A3B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0EBD3294" w14:textId="77777777" w:rsidR="00C55102" w:rsidRPr="00AA247E" w:rsidRDefault="00C55102" w:rsidP="00DF5AC0">
            <w:pPr>
              <w:keepNext/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34DD0155" w14:textId="77777777" w:rsidR="00F4046F" w:rsidRPr="00F84879" w:rsidRDefault="00F4046F" w:rsidP="00DF5AC0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 </w:t>
      </w:r>
      <w:r w:rsidR="00A54D8A" w:rsidRPr="00F84879">
        <w:rPr>
          <w:szCs w:val="20"/>
        </w:rPr>
        <w:t>This material is stable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51BA541D" w14:textId="77777777" w:rsidTr="00AA247E">
        <w:tc>
          <w:tcPr>
            <w:tcW w:w="1440" w:type="dxa"/>
            <w:shd w:val="clear" w:color="auto" w:fill="auto"/>
            <w:vAlign w:val="center"/>
          </w:tcPr>
          <w:p w14:paraId="1D88E0B0" w14:textId="77777777" w:rsidR="00F4046F" w:rsidRPr="00F84879" w:rsidRDefault="00F4046F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7208C5E" w14:textId="77777777" w:rsidR="00F4046F" w:rsidRPr="00F84879" w:rsidRDefault="00A14B09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6B5B01E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3322AB1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569CA031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7439ADFB" w14:textId="77777777" w:rsidR="00D2295A" w:rsidRPr="00F84879" w:rsidRDefault="00D2295A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63D46108" w14:textId="71098421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lastRenderedPageBreak/>
        <w:t>Conditions to Avoid:</w:t>
      </w:r>
      <w:r w:rsidRPr="00F84879">
        <w:rPr>
          <w:rFonts w:eastAsia="Times New Roman"/>
          <w:bCs/>
          <w:szCs w:val="20"/>
        </w:rPr>
        <w:t xml:space="preserve">  </w:t>
      </w:r>
      <w:r w:rsidR="00E52255">
        <w:rPr>
          <w:rFonts w:eastAsia="Times New Roman"/>
          <w:bCs/>
          <w:szCs w:val="20"/>
        </w:rPr>
        <w:t>Avoid heat</w:t>
      </w:r>
      <w:r w:rsidR="00A37A66" w:rsidRPr="00F84879">
        <w:rPr>
          <w:rFonts w:eastAsia="Times New Roman"/>
          <w:bCs/>
          <w:szCs w:val="20"/>
        </w:rPr>
        <w:t>.</w:t>
      </w:r>
    </w:p>
    <w:p w14:paraId="659B4AA4" w14:textId="4DAF439A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</w:t>
      </w:r>
      <w:r w:rsidR="002D3468">
        <w:rPr>
          <w:rFonts w:eastAsia="Times New Roman"/>
          <w:bCs/>
          <w:szCs w:val="20"/>
        </w:rPr>
        <w:t>Halogens</w:t>
      </w:r>
      <w:r w:rsidRPr="00F84879">
        <w:rPr>
          <w:rFonts w:eastAsia="Times New Roman"/>
          <w:bCs/>
          <w:szCs w:val="20"/>
        </w:rPr>
        <w:t>.</w:t>
      </w:r>
    </w:p>
    <w:p w14:paraId="118B7483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2E016D87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="00A37A66">
        <w:rPr>
          <w:rFonts w:eastAsia="Times New Roman"/>
          <w:bCs/>
          <w:szCs w:val="20"/>
        </w:rPr>
        <w:t xml:space="preserve">  No data available.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43B1F2FD" w14:textId="77777777" w:rsidTr="00AA247E">
        <w:tc>
          <w:tcPr>
            <w:tcW w:w="2592" w:type="dxa"/>
            <w:shd w:val="clear" w:color="auto" w:fill="auto"/>
            <w:vAlign w:val="center"/>
          </w:tcPr>
          <w:p w14:paraId="07D3A6C4" w14:textId="77777777" w:rsidR="00881C3C" w:rsidRPr="00F84879" w:rsidRDefault="00881C3C" w:rsidP="00DF5AC0">
            <w:pPr>
              <w:widowControl/>
              <w:ind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1750F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4A1B4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D1C6DC1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16AB463B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1CC3BE89" w14:textId="77777777" w:rsidR="00A00A2B" w:rsidRPr="00F84879" w:rsidRDefault="00A00A2B" w:rsidP="00DF5AC0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429B6022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C715375" w14:textId="77777777" w:rsidR="00783F68" w:rsidRPr="00F84879" w:rsidRDefault="00783F68" w:rsidP="00DF5AC0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5DC3CDC5" w14:textId="77777777" w:rsidR="00654FF5" w:rsidRPr="00F84879" w:rsidRDefault="00654FF5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042B572C" w14:textId="77777777" w:rsidTr="00F84879">
        <w:tc>
          <w:tcPr>
            <w:tcW w:w="1974" w:type="dxa"/>
            <w:shd w:val="clear" w:color="auto" w:fill="auto"/>
            <w:vAlign w:val="center"/>
          </w:tcPr>
          <w:p w14:paraId="3BB9DB1A" w14:textId="77777777" w:rsidR="00EB5E4A" w:rsidRPr="00F84879" w:rsidRDefault="00EB5E4A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4175ACC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6F032297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652FCEE" w14:textId="151EDBEE" w:rsidR="00EB5E4A" w:rsidRPr="00F84879" w:rsidRDefault="00EB5E4A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02" w:type="dxa"/>
            <w:shd w:val="clear" w:color="auto" w:fill="auto"/>
            <w:vAlign w:val="bottom"/>
          </w:tcPr>
          <w:p w14:paraId="18BE1CE4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06715EB" w14:textId="5BE7E957" w:rsidR="00EB5E4A" w:rsidRPr="00F84879" w:rsidRDefault="00EB5E4A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19" w:type="dxa"/>
            <w:shd w:val="clear" w:color="auto" w:fill="auto"/>
            <w:vAlign w:val="bottom"/>
          </w:tcPr>
          <w:p w14:paraId="1DC0AFF7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0DBBEE8E" w14:textId="77777777" w:rsidR="00AC46BC" w:rsidRPr="00F84879" w:rsidRDefault="00AC46BC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A37A66">
        <w:t>No adverse effects reported</w:t>
      </w:r>
      <w:r w:rsidR="00367FB9" w:rsidRPr="00F84879">
        <w:rPr>
          <w:rFonts w:eastAsia="Times New Roman"/>
          <w:bCs/>
          <w:szCs w:val="20"/>
        </w:rPr>
        <w:t>.</w:t>
      </w:r>
    </w:p>
    <w:p w14:paraId="7DBB8092" w14:textId="77777777" w:rsidR="00A00A2B" w:rsidRPr="00F84879" w:rsidRDefault="00EB5E4A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1D4049B7" w14:textId="77777777" w:rsidR="00A00A2B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4658C1E1" w14:textId="77777777" w:rsidR="00EB5E4A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5612AAC1" w14:textId="77777777" w:rsidR="00383F47" w:rsidRPr="00F84879" w:rsidRDefault="00EB5E4A" w:rsidP="00DF5AC0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252D9C09" w14:textId="77777777" w:rsidR="00F656A2" w:rsidRPr="00F84879" w:rsidRDefault="00EB5E4A" w:rsidP="00DF5AC0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61C7CAA7" w14:textId="77777777" w:rsidR="006D24D9" w:rsidRPr="00F84879" w:rsidRDefault="00EB5E4A" w:rsidP="00DF5AC0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48B64A26" w14:textId="68BC8F75" w:rsidR="008E1A8B" w:rsidRPr="00F84879" w:rsidRDefault="008E1A8B" w:rsidP="00A37A66">
      <w:pPr>
        <w:widowControl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  <w:r w:rsidR="002D3468" w:rsidRPr="002D3468">
        <w:rPr>
          <w:rFonts w:eastAsia="Times New Roman"/>
          <w:bCs/>
          <w:szCs w:val="20"/>
        </w:rPr>
        <w:t xml:space="preserve">  No data available.</w:t>
      </w:r>
    </w:p>
    <w:p w14:paraId="1514EFCB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0151DD" w:rsidRPr="00F84879">
        <w:rPr>
          <w:rFonts w:eastAsia="Times New Roman"/>
          <w:bCs/>
          <w:szCs w:val="20"/>
        </w:rPr>
        <w:t>No data available.</w:t>
      </w:r>
    </w:p>
    <w:p w14:paraId="5F400CD2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0151DD" w:rsidRPr="00F84879">
        <w:rPr>
          <w:rFonts w:eastAsia="Times New Roman"/>
          <w:bCs/>
          <w:szCs w:val="20"/>
        </w:rPr>
        <w:t>No data available.</w:t>
      </w:r>
    </w:p>
    <w:p w14:paraId="3738B878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1609A7D1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0B77B6B3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0AA8A63B" w14:textId="69512AD1" w:rsidR="00EE1F37" w:rsidRPr="00F84879" w:rsidRDefault="00EE1F37" w:rsidP="00A37A66">
      <w:pPr>
        <w:widowControl/>
        <w:spacing w:before="120" w:after="6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6E5E61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4C4728D4" w14:textId="77777777" w:rsidTr="00AA247E">
        <w:tc>
          <w:tcPr>
            <w:tcW w:w="4668" w:type="dxa"/>
            <w:shd w:val="clear" w:color="auto" w:fill="auto"/>
            <w:vAlign w:val="center"/>
          </w:tcPr>
          <w:p w14:paraId="02FDD791" w14:textId="77777777" w:rsidR="006B5331" w:rsidRPr="00F84879" w:rsidRDefault="006B5331" w:rsidP="00A37A66">
            <w:pPr>
              <w:widowControl/>
              <w:ind w:left="13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4376A5" w14:textId="77777777" w:rsidR="006B5331" w:rsidRPr="00F84879" w:rsidRDefault="006B5331" w:rsidP="00DF5AC0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3A2B6EC9" w14:textId="77777777" w:rsidR="006B5331" w:rsidRPr="00F84879" w:rsidRDefault="006B5331" w:rsidP="00A37A66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5F381" w14:textId="77777777" w:rsidR="006B5331" w:rsidRPr="00F84879" w:rsidRDefault="006B5331" w:rsidP="00A37A66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299B7794" w14:textId="77777777" w:rsidR="006B5331" w:rsidRPr="00F84879" w:rsidRDefault="006B5331" w:rsidP="00A37A66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60F63278" w14:textId="6AEF8B11" w:rsidR="006B5331" w:rsidRPr="00F84879" w:rsidRDefault="002D3468" w:rsidP="00A37A66">
      <w:pPr>
        <w:widowControl/>
        <w:ind w:left="72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Cs/>
          <w:spacing w:val="-1"/>
          <w:szCs w:val="20"/>
        </w:rPr>
        <w:t>Xenon</w:t>
      </w:r>
      <w:r w:rsidR="006B5331" w:rsidRPr="00F84879">
        <w:rPr>
          <w:rFonts w:eastAsia="Times New Roman"/>
          <w:bCs/>
          <w:spacing w:val="-1"/>
          <w:szCs w:val="20"/>
        </w:rPr>
        <w:t xml:space="preserve"> is not listed </w:t>
      </w:r>
      <w:r w:rsidR="0026683C" w:rsidRPr="00F84879">
        <w:rPr>
          <w:rFonts w:eastAsia="Times New Roman"/>
          <w:bCs/>
          <w:spacing w:val="-1"/>
          <w:szCs w:val="20"/>
        </w:rPr>
        <w:t>by</w:t>
      </w:r>
      <w:r w:rsidR="006B5331" w:rsidRPr="00F84879">
        <w:rPr>
          <w:rFonts w:eastAsia="Times New Roman"/>
          <w:bCs/>
          <w:spacing w:val="-1"/>
          <w:szCs w:val="20"/>
        </w:rPr>
        <w:t xml:space="preserve"> NTP, IARC or OSHA as a carcinogen</w:t>
      </w:r>
      <w:r w:rsidR="006B5331" w:rsidRPr="00F84879">
        <w:rPr>
          <w:rFonts w:eastAsia="Times New Roman"/>
          <w:bCs/>
          <w:spacing w:val="1"/>
          <w:position w:val="-1"/>
          <w:szCs w:val="20"/>
        </w:rPr>
        <w:t>.</w:t>
      </w:r>
    </w:p>
    <w:p w14:paraId="5FFAFD2F" w14:textId="50DBCCCC" w:rsidR="00D536DB" w:rsidRPr="00F84879" w:rsidRDefault="00D536DB" w:rsidP="00DF5AC0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7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2D3468">
        <w:rPr>
          <w:rFonts w:eastAsia="Times New Roman"/>
          <w:szCs w:val="20"/>
        </w:rPr>
        <w:t>Xe-</w:t>
      </w:r>
      <w:r w:rsidR="00CE6041">
        <w:rPr>
          <w:rFonts w:eastAsia="Times New Roman"/>
          <w:szCs w:val="20"/>
        </w:rPr>
        <w:t>13</w:t>
      </w:r>
      <w:r w:rsidR="002D3468">
        <w:rPr>
          <w:rFonts w:eastAsia="Times New Roman"/>
          <w:szCs w:val="20"/>
        </w:rPr>
        <w:t>3</w:t>
      </w:r>
    </w:p>
    <w:p w14:paraId="3ACFDAE0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530CA54E" w14:textId="77777777" w:rsidR="00EE1F37" w:rsidRPr="00F84879" w:rsidRDefault="00EE1F37" w:rsidP="002D3468">
      <w:pPr>
        <w:widowControl/>
        <w:spacing w:before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272E8AB0" w14:textId="77777777" w:rsidR="00EE1F37" w:rsidRPr="00F84879" w:rsidRDefault="00EE1F37" w:rsidP="00A37A66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F8B4440" w14:textId="77777777" w:rsidR="00EE1F37" w:rsidRPr="00F84879" w:rsidRDefault="00EE1F37" w:rsidP="008345D0">
      <w:pPr>
        <w:keepNext/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CC61B92" w14:textId="77777777" w:rsidR="004521E9" w:rsidRPr="00F2093A" w:rsidRDefault="00EE1F37" w:rsidP="00A37A66">
      <w:pPr>
        <w:widowControl/>
        <w:spacing w:before="120" w:after="120"/>
        <w:ind w:left="27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E620ED" w:rsidRPr="00F84879">
        <w:rPr>
          <w:rFonts w:eastAsia="Times New Roman"/>
          <w:bCs/>
          <w:szCs w:val="20"/>
        </w:rPr>
        <w:t xml:space="preserve">No data available.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61041ED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71CA574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61F234C" w14:textId="77777777" w:rsidR="00D536DB" w:rsidRPr="00F84879" w:rsidRDefault="004521E9" w:rsidP="00DF0F70">
      <w:pPr>
        <w:widowControl/>
        <w:spacing w:before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  <w:r w:rsidR="00DF0F70" w:rsidRPr="00DF0F70">
        <w:rPr>
          <w:rFonts w:eastAsia="Times New Roman"/>
          <w:bCs/>
          <w:szCs w:val="20"/>
        </w:rPr>
        <w:t xml:space="preserve"> </w:t>
      </w:r>
      <w:r w:rsidR="00DF0F70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>No ecotoxicity data listed.</w:t>
      </w:r>
      <w:r w:rsidR="00D536DB" w:rsidRPr="00F84879">
        <w:rPr>
          <w:rFonts w:eastAsia="Times New Roman"/>
          <w:bCs/>
          <w:szCs w:val="20"/>
        </w:rPr>
        <w:t xml:space="preserve"> </w:t>
      </w:r>
      <w:r w:rsidR="00D536DB" w:rsidRPr="00F84879" w:rsidDel="0030147D">
        <w:rPr>
          <w:rFonts w:eastAsia="Times New Roman"/>
          <w:szCs w:val="20"/>
        </w:rPr>
        <w:t xml:space="preserve"> </w:t>
      </w:r>
    </w:p>
    <w:p w14:paraId="2399FF9D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65EFFE2D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Bioaccumulative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42F703E0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195C8810" w14:textId="77777777" w:rsidR="004521E9" w:rsidRPr="00F84879" w:rsidRDefault="004521E9" w:rsidP="00DF0F70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5F16A88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DDC7F91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34C2E7F" w14:textId="77777777" w:rsidR="00D536DB" w:rsidRPr="00F84879" w:rsidRDefault="004521E9" w:rsidP="00DF5AC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4F2B48A0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CA05D62" w14:textId="77777777" w:rsidR="004521E9" w:rsidRPr="00F84879" w:rsidRDefault="004521E9" w:rsidP="00961076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8E12AB" w14:textId="77777777" w:rsidR="00D536DB" w:rsidRPr="00F84879" w:rsidRDefault="004521E9" w:rsidP="003F734D">
      <w:pPr>
        <w:keepNext/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A:</w:t>
      </w:r>
    </w:p>
    <w:p w14:paraId="476EFD37" w14:textId="018B3D5A" w:rsidR="0071777B" w:rsidRPr="00D64529" w:rsidRDefault="0071777B" w:rsidP="0071777B">
      <w:pPr>
        <w:ind w:firstLine="360"/>
        <w:rPr>
          <w:rFonts w:eastAsia="Times New Roman"/>
          <w:bCs/>
          <w:szCs w:val="20"/>
        </w:rPr>
      </w:pPr>
      <w:r w:rsidRPr="00D64529">
        <w:rPr>
          <w:rFonts w:eastAsia="Times New Roman"/>
          <w:b/>
          <w:bCs/>
          <w:szCs w:val="20"/>
        </w:rPr>
        <w:t>Primary Risk:</w:t>
      </w:r>
      <w:r w:rsidRPr="00D64529">
        <w:rPr>
          <w:rFonts w:eastAsia="Times New Roman"/>
          <w:bCs/>
          <w:szCs w:val="20"/>
        </w:rPr>
        <w:t xml:space="preserve">  </w:t>
      </w:r>
      <w:r w:rsidR="00810CCE" w:rsidRPr="00D64529">
        <w:rPr>
          <w:rFonts w:eastAsia="Times New Roman"/>
          <w:bCs/>
          <w:szCs w:val="20"/>
        </w:rPr>
        <w:t>UN291</w:t>
      </w:r>
      <w:r w:rsidR="005651C2" w:rsidRPr="00D64529">
        <w:rPr>
          <w:rFonts w:eastAsia="Times New Roman"/>
          <w:bCs/>
          <w:szCs w:val="20"/>
        </w:rPr>
        <w:t>5</w:t>
      </w:r>
      <w:r w:rsidR="00810CCE" w:rsidRPr="00D64529">
        <w:rPr>
          <w:rFonts w:eastAsia="Times New Roman"/>
          <w:bCs/>
          <w:szCs w:val="20"/>
        </w:rPr>
        <w:t xml:space="preserve">, </w:t>
      </w:r>
      <w:r w:rsidR="003F734D">
        <w:rPr>
          <w:rFonts w:eastAsia="Times New Roman"/>
          <w:bCs/>
          <w:szCs w:val="20"/>
        </w:rPr>
        <w:t xml:space="preserve">Hazard Class 7, </w:t>
      </w:r>
      <w:r w:rsidRPr="00D64529">
        <w:rPr>
          <w:rFonts w:eastAsia="Times New Roman"/>
          <w:bCs/>
          <w:szCs w:val="20"/>
        </w:rPr>
        <w:t xml:space="preserve">Radioactive material, Type A </w:t>
      </w:r>
      <w:r w:rsidR="00810CCE" w:rsidRPr="00D64529">
        <w:rPr>
          <w:rFonts w:eastAsia="Times New Roman"/>
          <w:bCs/>
          <w:szCs w:val="20"/>
        </w:rPr>
        <w:t>P</w:t>
      </w:r>
      <w:r w:rsidRPr="00D64529">
        <w:rPr>
          <w:rFonts w:eastAsia="Times New Roman"/>
          <w:bCs/>
          <w:szCs w:val="20"/>
        </w:rPr>
        <w:t>ackage</w:t>
      </w:r>
      <w:bookmarkStart w:id="0" w:name="_GoBack"/>
      <w:bookmarkEnd w:id="0"/>
      <w:r w:rsidR="00810CCE" w:rsidRPr="00D64529">
        <w:rPr>
          <w:rFonts w:eastAsia="Times New Roman"/>
          <w:bCs/>
          <w:szCs w:val="20"/>
        </w:rPr>
        <w:t>.</w:t>
      </w:r>
      <w:r w:rsidRPr="00D64529">
        <w:rPr>
          <w:rFonts w:eastAsia="Times New Roman"/>
          <w:bCs/>
          <w:szCs w:val="20"/>
        </w:rPr>
        <w:t xml:space="preserve"> </w:t>
      </w:r>
    </w:p>
    <w:p w14:paraId="07F511AF" w14:textId="77777777" w:rsidR="0071777B" w:rsidRPr="0071777B" w:rsidRDefault="0071777B" w:rsidP="00BC4793">
      <w:pPr>
        <w:spacing w:after="120"/>
        <w:ind w:firstLine="360"/>
        <w:rPr>
          <w:rFonts w:eastAsia="Times New Roman"/>
          <w:b/>
          <w:bCs/>
          <w:szCs w:val="20"/>
        </w:rPr>
      </w:pPr>
      <w:r w:rsidRPr="00D64529">
        <w:rPr>
          <w:rFonts w:eastAsia="Times New Roman"/>
          <w:b/>
          <w:bCs/>
          <w:szCs w:val="20"/>
        </w:rPr>
        <w:t>Subsidiary Risk:</w:t>
      </w:r>
      <w:r w:rsidRPr="00D64529">
        <w:rPr>
          <w:rFonts w:eastAsia="Times New Roman"/>
          <w:bCs/>
          <w:szCs w:val="20"/>
        </w:rPr>
        <w:t xml:space="preserve">  N</w:t>
      </w:r>
      <w:r w:rsidR="00DF0F70" w:rsidRPr="00D64529">
        <w:rPr>
          <w:rFonts w:eastAsia="Times New Roman"/>
          <w:bCs/>
          <w:szCs w:val="20"/>
        </w:rPr>
        <w:t>ot applicable.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95E4D29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5FB40CDC" w14:textId="77777777" w:rsidR="003D5857" w:rsidRPr="00AA247E" w:rsidRDefault="003D5857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1C2CD53" w14:textId="77777777" w:rsidR="00D536DB" w:rsidRPr="00D536DB" w:rsidRDefault="00D536DB" w:rsidP="00DF5AC0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394BC22B" w14:textId="77777777" w:rsidR="00D536DB" w:rsidRPr="00F84879" w:rsidRDefault="00D536DB" w:rsidP="00DF0F70">
      <w:pPr>
        <w:keepNext/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CERCLA Sections 102a/103 (40 CFR 302.4):  </w:t>
      </w:r>
      <w:r w:rsidR="00DF0F70">
        <w:rPr>
          <w:rFonts w:eastAsia="Times New Roman"/>
          <w:bCs/>
          <w:szCs w:val="20"/>
        </w:rPr>
        <w:t>Not regulated.</w:t>
      </w:r>
    </w:p>
    <w:p w14:paraId="2A64BD5F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302 (40 CFR 355.30): </w:t>
      </w:r>
      <w:r w:rsidR="00DF0F70">
        <w:rPr>
          <w:rFonts w:eastAsia="Times New Roman"/>
          <w:bCs/>
          <w:szCs w:val="20"/>
        </w:rPr>
        <w:t xml:space="preserve"> Not regulated.</w:t>
      </w:r>
    </w:p>
    <w:p w14:paraId="75C19F81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304 (40 CFR 355.40):  </w:t>
      </w:r>
      <w:r w:rsidR="00DF0F70">
        <w:rPr>
          <w:rFonts w:eastAsia="Times New Roman"/>
          <w:bCs/>
          <w:szCs w:val="20"/>
        </w:rPr>
        <w:t>Not regulated.</w:t>
      </w:r>
    </w:p>
    <w:p w14:paraId="20110855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313 (40 CFR 372.65):  </w:t>
      </w:r>
      <w:r w:rsidR="00DF0F70">
        <w:rPr>
          <w:rFonts w:eastAsia="Times New Roman"/>
          <w:bCs/>
          <w:szCs w:val="20"/>
        </w:rPr>
        <w:t>Not regulated.</w:t>
      </w:r>
    </w:p>
    <w:p w14:paraId="48797115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OSHA Process Safety (29 CFR 1910.119):  </w:t>
      </w:r>
      <w:r w:rsidR="00DF0F70">
        <w:rPr>
          <w:rFonts w:eastAsia="Times New Roman"/>
          <w:bCs/>
          <w:szCs w:val="20"/>
        </w:rPr>
        <w:t>Not regulated.</w:t>
      </w:r>
      <w:r w:rsidRPr="00F84879">
        <w:rPr>
          <w:rFonts w:eastAsia="Times New Roman"/>
          <w:szCs w:val="20"/>
        </w:rPr>
        <w:t xml:space="preserve">  </w:t>
      </w:r>
    </w:p>
    <w:p w14:paraId="75F4020D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2CFF9B3E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64F3705D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6A2A8DA1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7D883E43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  <w:t>No.</w:t>
      </w:r>
    </w:p>
    <w:p w14:paraId="6EC99C4E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477E41DD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51B199EB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256AB606" w14:textId="0E44D0BC" w:rsidR="004521E9" w:rsidRPr="00F84879" w:rsidRDefault="008E1B26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</w:t>
      </w:r>
      <w:r w:rsidR="000B7E5C">
        <w:t>Xenon is</w:t>
      </w:r>
      <w:r w:rsidR="000B7E5C">
        <w:rPr>
          <w:b/>
        </w:rPr>
        <w:t xml:space="preserve"> </w:t>
      </w:r>
      <w:r w:rsidR="00DF0F70">
        <w:t>l</w:t>
      </w:r>
      <w:r w:rsidR="00DF0F70" w:rsidRPr="00CF2758">
        <w:t>isted on inventory</w:t>
      </w:r>
      <w:r w:rsidR="00714D24" w:rsidRPr="00F84879">
        <w:rPr>
          <w:rFonts w:eastAsia="Times New Roman"/>
          <w:bCs/>
          <w:szCs w:val="20"/>
        </w:rPr>
        <w:t>.</w:t>
      </w:r>
    </w:p>
    <w:p w14:paraId="09D5BC01" w14:textId="77777777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679A3233" w14:textId="77777777" w:rsidR="003D5857" w:rsidRDefault="003D5857" w:rsidP="00DF0F7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  <w:r w:rsidR="00DF0F70" w:rsidRPr="00DF0F70">
        <w:rPr>
          <w:rFonts w:eastAsia="Times New Roman"/>
          <w:bCs/>
          <w:szCs w:val="20"/>
        </w:rPr>
        <w:t xml:space="preserve">  </w:t>
      </w: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="00DF0F70">
        <w:rPr>
          <w:rFonts w:eastAsia="Times New Roman"/>
          <w:spacing w:val="-1"/>
          <w:szCs w:val="20"/>
        </w:rPr>
        <w:t>n is 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p w14:paraId="3743F292" w14:textId="44BD9AB0" w:rsidR="00BA20CB" w:rsidRDefault="00BA20CB">
      <w:pPr>
        <w:widowControl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7D973DA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184C571" w14:textId="77777777" w:rsidR="0067534E" w:rsidRPr="00F84879" w:rsidRDefault="0067534E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2E24A242" w14:textId="5C23FDE1" w:rsidR="00622AE4" w:rsidRPr="00F84879" w:rsidRDefault="00622AE4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3F734D">
        <w:rPr>
          <w:rFonts w:eastAsia="Times New Roman"/>
          <w:bCs/>
          <w:szCs w:val="20"/>
        </w:rPr>
        <w:t>20</w:t>
      </w:r>
      <w:r w:rsidR="00C04116">
        <w:rPr>
          <w:rFonts w:eastAsia="Times New Roman"/>
          <w:bCs/>
          <w:szCs w:val="20"/>
        </w:rPr>
        <w:t xml:space="preserve"> May</w:t>
      </w:r>
      <w:r w:rsidR="009673AB" w:rsidRPr="009673AB">
        <w:rPr>
          <w:rFonts w:eastAsia="Times New Roman"/>
          <w:bCs/>
          <w:szCs w:val="20"/>
        </w:rPr>
        <w:t xml:space="preserve"> </w:t>
      </w:r>
      <w:r w:rsidR="00776E47" w:rsidRPr="00776E47">
        <w:rPr>
          <w:rFonts w:eastAsia="Times New Roman"/>
          <w:bCs/>
          <w:szCs w:val="20"/>
        </w:rPr>
        <w:t>2015</w:t>
      </w:r>
    </w:p>
    <w:p w14:paraId="4E71842F" w14:textId="2731A4A1" w:rsidR="00130CC0" w:rsidRPr="00F84879" w:rsidRDefault="00622AE4" w:rsidP="00DF5AC0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r w:rsidR="00130CC0" w:rsidRPr="00F84879">
        <w:rPr>
          <w:rFonts w:eastAsia="Times New Roman"/>
          <w:szCs w:val="20"/>
        </w:rPr>
        <w:t xml:space="preserve">ChemAdvisor, Inc., MSDS </w:t>
      </w:r>
      <w:r w:rsidR="00E52255">
        <w:rPr>
          <w:rFonts w:eastAsia="Times New Roman"/>
          <w:i/>
          <w:szCs w:val="20"/>
        </w:rPr>
        <w:t>Xenon</w:t>
      </w:r>
      <w:r w:rsidR="00130CC0" w:rsidRPr="00F84879">
        <w:rPr>
          <w:rFonts w:eastAsia="Times New Roman"/>
          <w:i/>
          <w:szCs w:val="20"/>
        </w:rPr>
        <w:t xml:space="preserve">, </w:t>
      </w:r>
      <w:r w:rsidR="00E52255">
        <w:rPr>
          <w:rFonts w:eastAsia="Times New Roman"/>
          <w:szCs w:val="20"/>
        </w:rPr>
        <w:t>20 March 2015</w:t>
      </w:r>
      <w:r w:rsidR="00130CC0" w:rsidRPr="00F84879">
        <w:rPr>
          <w:rFonts w:eastAsia="Times New Roman"/>
          <w:szCs w:val="20"/>
        </w:rPr>
        <w:t>.</w:t>
      </w:r>
    </w:p>
    <w:p w14:paraId="47F8AD9E" w14:textId="57E85AC2" w:rsidR="00130CC0" w:rsidRPr="00F84879" w:rsidRDefault="00130CC0" w:rsidP="002D3468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  <w:t>OSHA 29 CFR, Subpart Z, Ionizing radiation, 1910.1096.</w:t>
      </w:r>
    </w:p>
    <w:p w14:paraId="2A2965A2" w14:textId="77777777" w:rsidR="00130CC0" w:rsidRPr="00F84879" w:rsidRDefault="00130CC0" w:rsidP="00DF5A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NRC 10 CFR 20, Standards for Protection Against Radiation.</w:t>
      </w:r>
    </w:p>
    <w:p w14:paraId="112CCC86" w14:textId="77777777" w:rsidR="00130CC0" w:rsidRPr="00F84879" w:rsidRDefault="00130CC0" w:rsidP="00DF5AC0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5E389A1A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3C7CD1F4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B8F56CF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6501FC84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841526F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D04372E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7EAEEDE5" w14:textId="6CF0AF51" w:rsidR="00D27F7B" w:rsidRDefault="00D27F7B" w:rsidP="00DF5AC0">
      <w:pPr>
        <w:widowControl/>
        <w:jc w:val="left"/>
        <w:rPr>
          <w:b/>
          <w:szCs w:val="20"/>
        </w:rPr>
      </w:pPr>
    </w:p>
    <w:p w14:paraId="17E95365" w14:textId="77777777" w:rsidR="005D3405" w:rsidRDefault="00EC2C72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6A263803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6D30FE10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0B8FAAB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2196097A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13F6479E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2DE16A4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73FAD1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40E0620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7B1DD7D2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42ED8A5A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65D57F9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BB7CA0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14CDBE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340717C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0F26FD7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1BC3B6D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A8D804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317F004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70399CF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6D48C5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5B8F399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E4AFFF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5E49C19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4E941C5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2310EE3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6326B59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0A1945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71C403A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07CCECC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5BA4FA6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6360011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F10D42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23A7601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671D30B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65E37DD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26D4BB7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515C01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5E77272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1C267D5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0BA3D2A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2248740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A288E8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10F1E4F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2AEA53A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7A9787F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5D59DD0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0976A0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5BCBB80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315FDFC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46198D9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1ADA4D2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B823DF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2E8F614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4D93BE0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37ED04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4267E03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3CE89E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658CB68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624477C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77B3A90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2948D1E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612394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242C770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Transportation Agency </w:t>
            </w:r>
          </w:p>
        </w:tc>
        <w:tc>
          <w:tcPr>
            <w:tcW w:w="1051" w:type="dxa"/>
            <w:shd w:val="clear" w:color="auto" w:fill="auto"/>
            <w:hideMark/>
          </w:tcPr>
          <w:p w14:paraId="58DFAC7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17E78E3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1430D9C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9A8EAD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10466A9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7872E71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6B18097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5A98482F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1205BC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416D8DA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22E0078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078D80F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127F458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F161A7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2E02874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320C50D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TDLo</w:t>
            </w:r>
          </w:p>
        </w:tc>
        <w:tc>
          <w:tcPr>
            <w:tcW w:w="3542" w:type="dxa"/>
            <w:shd w:val="clear" w:color="auto" w:fill="auto"/>
            <w:hideMark/>
          </w:tcPr>
          <w:p w14:paraId="1D8500E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258324F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79B0F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52B647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35D0B5A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22D6CCF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596F974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32EA2E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1F2D2D9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233B15B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2CBC936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1109926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90C70B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5D4CED1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6B30E95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4E759C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77F2FAAC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742AB0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13A6E53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04B403A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08FD495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4BFACCCF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F878C8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4E27BEA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5C93CA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7428601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4AA065EA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6F90109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04DA5B1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47E42A6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173AECF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06729ABA" w14:textId="77777777" w:rsidR="0026683C" w:rsidRDefault="0026683C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rPr>
          <w:bCs/>
          <w:szCs w:val="20"/>
        </w:rPr>
      </w:pPr>
    </w:p>
    <w:p w14:paraId="75A68771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70D24DE0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DDEC354" w14:textId="77777777" w:rsidR="00BA20CB" w:rsidRDefault="00BA20CB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5F83620" w14:textId="77777777" w:rsidR="00BA20CB" w:rsidRDefault="00BA20CB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F028F26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954D2EB" w14:textId="77777777" w:rsidR="00537670" w:rsidRDefault="00BF5DD9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662C3718" w14:textId="77777777" w:rsidR="00E24579" w:rsidRDefault="001948EA" w:rsidP="00DF5AC0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494A76A0" w14:textId="77777777" w:rsidR="00FF4A8A" w:rsidRPr="00714D24" w:rsidRDefault="00FF4A8A" w:rsidP="00DF5AC0">
      <w:pPr>
        <w:widowControl/>
        <w:spacing w:before="120"/>
        <w:rPr>
          <w:rFonts w:eastAsia="Times New Roman"/>
          <w:szCs w:val="20"/>
        </w:rPr>
      </w:pPr>
    </w:p>
    <w:sectPr w:rsidR="00FF4A8A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ECB94" w14:textId="77777777" w:rsidR="00E961A0" w:rsidRDefault="00E961A0" w:rsidP="00E24579">
      <w:r>
        <w:separator/>
      </w:r>
    </w:p>
  </w:endnote>
  <w:endnote w:type="continuationSeparator" w:id="0">
    <w:p w14:paraId="7F7E1F47" w14:textId="77777777" w:rsidR="00E961A0" w:rsidRDefault="00E961A0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65C50" w14:textId="4A9A02D7" w:rsidR="003D2B39" w:rsidRPr="00371ED3" w:rsidRDefault="003D2B39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 w:rsidR="00152156">
      <w:rPr>
        <w:szCs w:val="20"/>
      </w:rPr>
      <w:t>44</w:t>
    </w:r>
    <w:r w:rsidR="00753A86">
      <w:rPr>
        <w:szCs w:val="20"/>
      </w:rPr>
      <w:t>15</w:t>
    </w:r>
    <w:r w:rsidR="00152156">
      <w:rPr>
        <w:szCs w:val="20"/>
      </w:rPr>
      <w:t>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3F734D">
      <w:rPr>
        <w:noProof/>
        <w:szCs w:val="20"/>
      </w:rPr>
      <w:t>6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3F734D">
      <w:fldChar w:fldCharType="begin"/>
    </w:r>
    <w:r w:rsidR="003F734D">
      <w:instrText xml:space="preserve"> NUMPAGES   \* MERGEFORMAT </w:instrText>
    </w:r>
    <w:r w:rsidR="003F734D">
      <w:fldChar w:fldCharType="separate"/>
    </w:r>
    <w:r w:rsidR="003F734D">
      <w:rPr>
        <w:noProof/>
      </w:rPr>
      <w:t>6</w:t>
    </w:r>
    <w:r w:rsidR="003F73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2E604" w14:textId="77777777" w:rsidR="00E961A0" w:rsidRDefault="00E961A0" w:rsidP="00E24579">
      <w:r>
        <w:separator/>
      </w:r>
    </w:p>
  </w:footnote>
  <w:footnote w:type="continuationSeparator" w:id="0">
    <w:p w14:paraId="6F58A0CB" w14:textId="77777777" w:rsidR="00E961A0" w:rsidRDefault="00E961A0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79"/>
    <w:rsid w:val="00002035"/>
    <w:rsid w:val="00011CAC"/>
    <w:rsid w:val="000151DD"/>
    <w:rsid w:val="00025571"/>
    <w:rsid w:val="00027181"/>
    <w:rsid w:val="000425F7"/>
    <w:rsid w:val="0005067D"/>
    <w:rsid w:val="00052A14"/>
    <w:rsid w:val="00054A71"/>
    <w:rsid w:val="00055CD6"/>
    <w:rsid w:val="00060784"/>
    <w:rsid w:val="00066569"/>
    <w:rsid w:val="00071C9A"/>
    <w:rsid w:val="00081FFA"/>
    <w:rsid w:val="00085816"/>
    <w:rsid w:val="000B79EB"/>
    <w:rsid w:val="000B7E5C"/>
    <w:rsid w:val="000D31BB"/>
    <w:rsid w:val="000D3295"/>
    <w:rsid w:val="000E147E"/>
    <w:rsid w:val="000E1EBF"/>
    <w:rsid w:val="000E615A"/>
    <w:rsid w:val="000F1959"/>
    <w:rsid w:val="000F255D"/>
    <w:rsid w:val="001248AA"/>
    <w:rsid w:val="00125FD4"/>
    <w:rsid w:val="00130CC0"/>
    <w:rsid w:val="001352C0"/>
    <w:rsid w:val="001379DC"/>
    <w:rsid w:val="00144362"/>
    <w:rsid w:val="00144ADE"/>
    <w:rsid w:val="00145AD5"/>
    <w:rsid w:val="00150BAB"/>
    <w:rsid w:val="00152156"/>
    <w:rsid w:val="00170F65"/>
    <w:rsid w:val="00172026"/>
    <w:rsid w:val="00193FA9"/>
    <w:rsid w:val="001948EA"/>
    <w:rsid w:val="00194A53"/>
    <w:rsid w:val="0019668F"/>
    <w:rsid w:val="001C01CA"/>
    <w:rsid w:val="001C4AA7"/>
    <w:rsid w:val="001C4F6D"/>
    <w:rsid w:val="001D0D6B"/>
    <w:rsid w:val="001D7FE4"/>
    <w:rsid w:val="001E1EEB"/>
    <w:rsid w:val="001F72E4"/>
    <w:rsid w:val="00206AE7"/>
    <w:rsid w:val="00224515"/>
    <w:rsid w:val="002326AE"/>
    <w:rsid w:val="00232D3E"/>
    <w:rsid w:val="00241552"/>
    <w:rsid w:val="00242591"/>
    <w:rsid w:val="002604C2"/>
    <w:rsid w:val="0026683C"/>
    <w:rsid w:val="00271910"/>
    <w:rsid w:val="0028318C"/>
    <w:rsid w:val="00295831"/>
    <w:rsid w:val="00297A59"/>
    <w:rsid w:val="002A0775"/>
    <w:rsid w:val="002A39D7"/>
    <w:rsid w:val="002A4A1B"/>
    <w:rsid w:val="002A7003"/>
    <w:rsid w:val="002B22C8"/>
    <w:rsid w:val="002B60F0"/>
    <w:rsid w:val="002C32C6"/>
    <w:rsid w:val="002C5045"/>
    <w:rsid w:val="002C6D5B"/>
    <w:rsid w:val="002C7D67"/>
    <w:rsid w:val="002D3468"/>
    <w:rsid w:val="002D63F4"/>
    <w:rsid w:val="002F3AF7"/>
    <w:rsid w:val="0030698A"/>
    <w:rsid w:val="003135B6"/>
    <w:rsid w:val="0031663D"/>
    <w:rsid w:val="00326A67"/>
    <w:rsid w:val="00335DD7"/>
    <w:rsid w:val="00343B25"/>
    <w:rsid w:val="003466CD"/>
    <w:rsid w:val="003541B7"/>
    <w:rsid w:val="00364F05"/>
    <w:rsid w:val="00367FB9"/>
    <w:rsid w:val="00371B33"/>
    <w:rsid w:val="00371B7C"/>
    <w:rsid w:val="00371ED3"/>
    <w:rsid w:val="0037222D"/>
    <w:rsid w:val="00383F47"/>
    <w:rsid w:val="0039599D"/>
    <w:rsid w:val="0039690E"/>
    <w:rsid w:val="003B54FB"/>
    <w:rsid w:val="003C76DF"/>
    <w:rsid w:val="003D2B39"/>
    <w:rsid w:val="003D5857"/>
    <w:rsid w:val="003D6279"/>
    <w:rsid w:val="003E0A1A"/>
    <w:rsid w:val="003E2700"/>
    <w:rsid w:val="003E5A7F"/>
    <w:rsid w:val="003F734D"/>
    <w:rsid w:val="004021D2"/>
    <w:rsid w:val="00405269"/>
    <w:rsid w:val="004158C0"/>
    <w:rsid w:val="0043249C"/>
    <w:rsid w:val="0044226E"/>
    <w:rsid w:val="00444104"/>
    <w:rsid w:val="004457B0"/>
    <w:rsid w:val="004521E9"/>
    <w:rsid w:val="00455695"/>
    <w:rsid w:val="00466137"/>
    <w:rsid w:val="004A1E2B"/>
    <w:rsid w:val="004A6E3F"/>
    <w:rsid w:val="004B151E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25776"/>
    <w:rsid w:val="00534548"/>
    <w:rsid w:val="00537670"/>
    <w:rsid w:val="00541ADC"/>
    <w:rsid w:val="0055271F"/>
    <w:rsid w:val="00554F9B"/>
    <w:rsid w:val="00556719"/>
    <w:rsid w:val="005639AD"/>
    <w:rsid w:val="005651C2"/>
    <w:rsid w:val="00565AA3"/>
    <w:rsid w:val="00584A22"/>
    <w:rsid w:val="00594A7C"/>
    <w:rsid w:val="005A4718"/>
    <w:rsid w:val="005D03CA"/>
    <w:rsid w:val="005D0F87"/>
    <w:rsid w:val="005D3405"/>
    <w:rsid w:val="005D4139"/>
    <w:rsid w:val="005D632D"/>
    <w:rsid w:val="005D741C"/>
    <w:rsid w:val="005E0A42"/>
    <w:rsid w:val="005E4F60"/>
    <w:rsid w:val="005F656F"/>
    <w:rsid w:val="005F7AEB"/>
    <w:rsid w:val="00620718"/>
    <w:rsid w:val="006229DD"/>
    <w:rsid w:val="00622AE4"/>
    <w:rsid w:val="00623C6E"/>
    <w:rsid w:val="006251CA"/>
    <w:rsid w:val="00632742"/>
    <w:rsid w:val="00641C35"/>
    <w:rsid w:val="0064486D"/>
    <w:rsid w:val="00645989"/>
    <w:rsid w:val="00654FF5"/>
    <w:rsid w:val="00655EC3"/>
    <w:rsid w:val="00661CCC"/>
    <w:rsid w:val="0066464E"/>
    <w:rsid w:val="0066684E"/>
    <w:rsid w:val="0067534E"/>
    <w:rsid w:val="00676966"/>
    <w:rsid w:val="006821C7"/>
    <w:rsid w:val="0068405F"/>
    <w:rsid w:val="00694EE7"/>
    <w:rsid w:val="006A69FC"/>
    <w:rsid w:val="006B276B"/>
    <w:rsid w:val="006B5331"/>
    <w:rsid w:val="006C6182"/>
    <w:rsid w:val="006D24D9"/>
    <w:rsid w:val="006E306A"/>
    <w:rsid w:val="006E5E61"/>
    <w:rsid w:val="006E61C7"/>
    <w:rsid w:val="006F0F73"/>
    <w:rsid w:val="00714D24"/>
    <w:rsid w:val="0071777B"/>
    <w:rsid w:val="00721894"/>
    <w:rsid w:val="0072264A"/>
    <w:rsid w:val="00724244"/>
    <w:rsid w:val="00730686"/>
    <w:rsid w:val="0073150A"/>
    <w:rsid w:val="007315EF"/>
    <w:rsid w:val="00745A73"/>
    <w:rsid w:val="007502B5"/>
    <w:rsid w:val="00753A86"/>
    <w:rsid w:val="00755C61"/>
    <w:rsid w:val="0076543A"/>
    <w:rsid w:val="007666FB"/>
    <w:rsid w:val="00776E47"/>
    <w:rsid w:val="00783F68"/>
    <w:rsid w:val="0078534C"/>
    <w:rsid w:val="007D745F"/>
    <w:rsid w:val="007E335A"/>
    <w:rsid w:val="007E6EDD"/>
    <w:rsid w:val="007E71B4"/>
    <w:rsid w:val="007F5046"/>
    <w:rsid w:val="007F5C40"/>
    <w:rsid w:val="007F660E"/>
    <w:rsid w:val="00810CCE"/>
    <w:rsid w:val="008345D0"/>
    <w:rsid w:val="008354ED"/>
    <w:rsid w:val="00836B33"/>
    <w:rsid w:val="00851D06"/>
    <w:rsid w:val="008660ED"/>
    <w:rsid w:val="008705CB"/>
    <w:rsid w:val="00881C3C"/>
    <w:rsid w:val="00882F90"/>
    <w:rsid w:val="008840B6"/>
    <w:rsid w:val="00886C5A"/>
    <w:rsid w:val="008925FA"/>
    <w:rsid w:val="00893F73"/>
    <w:rsid w:val="00897EDE"/>
    <w:rsid w:val="008B7D20"/>
    <w:rsid w:val="008D50B3"/>
    <w:rsid w:val="008E1A8B"/>
    <w:rsid w:val="008E1B26"/>
    <w:rsid w:val="008F5637"/>
    <w:rsid w:val="008F646B"/>
    <w:rsid w:val="00901A0F"/>
    <w:rsid w:val="009037A7"/>
    <w:rsid w:val="0090699C"/>
    <w:rsid w:val="00910EA2"/>
    <w:rsid w:val="00911A75"/>
    <w:rsid w:val="00915962"/>
    <w:rsid w:val="009175D1"/>
    <w:rsid w:val="00924461"/>
    <w:rsid w:val="00944A3C"/>
    <w:rsid w:val="00947244"/>
    <w:rsid w:val="00953EFC"/>
    <w:rsid w:val="00957B26"/>
    <w:rsid w:val="00961076"/>
    <w:rsid w:val="00961A55"/>
    <w:rsid w:val="009673AB"/>
    <w:rsid w:val="00971EDC"/>
    <w:rsid w:val="00981AAE"/>
    <w:rsid w:val="0098347B"/>
    <w:rsid w:val="00986B20"/>
    <w:rsid w:val="0099505F"/>
    <w:rsid w:val="009D29AC"/>
    <w:rsid w:val="009F18A8"/>
    <w:rsid w:val="009F3C46"/>
    <w:rsid w:val="00A00A2B"/>
    <w:rsid w:val="00A00E93"/>
    <w:rsid w:val="00A1202B"/>
    <w:rsid w:val="00A13A72"/>
    <w:rsid w:val="00A148AB"/>
    <w:rsid w:val="00A14B09"/>
    <w:rsid w:val="00A33E0F"/>
    <w:rsid w:val="00A34570"/>
    <w:rsid w:val="00A37A66"/>
    <w:rsid w:val="00A4279E"/>
    <w:rsid w:val="00A470EB"/>
    <w:rsid w:val="00A514BE"/>
    <w:rsid w:val="00A5395F"/>
    <w:rsid w:val="00A54D8A"/>
    <w:rsid w:val="00A56380"/>
    <w:rsid w:val="00A710A6"/>
    <w:rsid w:val="00A73159"/>
    <w:rsid w:val="00A9765C"/>
    <w:rsid w:val="00A97EBE"/>
    <w:rsid w:val="00AA247E"/>
    <w:rsid w:val="00AA6AC2"/>
    <w:rsid w:val="00AB4A6C"/>
    <w:rsid w:val="00AC1826"/>
    <w:rsid w:val="00AC46BC"/>
    <w:rsid w:val="00AD050B"/>
    <w:rsid w:val="00AE1803"/>
    <w:rsid w:val="00AF488F"/>
    <w:rsid w:val="00AF7E1C"/>
    <w:rsid w:val="00B0155D"/>
    <w:rsid w:val="00B124D7"/>
    <w:rsid w:val="00B173FB"/>
    <w:rsid w:val="00B177FF"/>
    <w:rsid w:val="00B33652"/>
    <w:rsid w:val="00B4474B"/>
    <w:rsid w:val="00B44CC2"/>
    <w:rsid w:val="00B45C19"/>
    <w:rsid w:val="00B4602F"/>
    <w:rsid w:val="00B54925"/>
    <w:rsid w:val="00B55CD5"/>
    <w:rsid w:val="00B60FBD"/>
    <w:rsid w:val="00B7355F"/>
    <w:rsid w:val="00B874FA"/>
    <w:rsid w:val="00B97847"/>
    <w:rsid w:val="00BA20CB"/>
    <w:rsid w:val="00BB0995"/>
    <w:rsid w:val="00BB5555"/>
    <w:rsid w:val="00BB55E8"/>
    <w:rsid w:val="00BC4793"/>
    <w:rsid w:val="00BC5C79"/>
    <w:rsid w:val="00BD0059"/>
    <w:rsid w:val="00BD3F5A"/>
    <w:rsid w:val="00BD7A54"/>
    <w:rsid w:val="00BE2ADD"/>
    <w:rsid w:val="00BE4940"/>
    <w:rsid w:val="00BF0592"/>
    <w:rsid w:val="00BF230B"/>
    <w:rsid w:val="00BF5DD9"/>
    <w:rsid w:val="00BF6022"/>
    <w:rsid w:val="00BF72CB"/>
    <w:rsid w:val="00C04116"/>
    <w:rsid w:val="00C10BCF"/>
    <w:rsid w:val="00C131D0"/>
    <w:rsid w:val="00C1391B"/>
    <w:rsid w:val="00C2263E"/>
    <w:rsid w:val="00C2336C"/>
    <w:rsid w:val="00C27D84"/>
    <w:rsid w:val="00C30B6E"/>
    <w:rsid w:val="00C30FD3"/>
    <w:rsid w:val="00C40E05"/>
    <w:rsid w:val="00C508A0"/>
    <w:rsid w:val="00C55102"/>
    <w:rsid w:val="00C67466"/>
    <w:rsid w:val="00C87FA4"/>
    <w:rsid w:val="00CA1C47"/>
    <w:rsid w:val="00CA5CA5"/>
    <w:rsid w:val="00CC78B3"/>
    <w:rsid w:val="00CD0FFB"/>
    <w:rsid w:val="00CD120A"/>
    <w:rsid w:val="00CE42A6"/>
    <w:rsid w:val="00CE6041"/>
    <w:rsid w:val="00CF7C14"/>
    <w:rsid w:val="00D003D8"/>
    <w:rsid w:val="00D01419"/>
    <w:rsid w:val="00D03028"/>
    <w:rsid w:val="00D03D0A"/>
    <w:rsid w:val="00D2295A"/>
    <w:rsid w:val="00D27F7B"/>
    <w:rsid w:val="00D3195B"/>
    <w:rsid w:val="00D3347C"/>
    <w:rsid w:val="00D34188"/>
    <w:rsid w:val="00D40184"/>
    <w:rsid w:val="00D409AB"/>
    <w:rsid w:val="00D536DB"/>
    <w:rsid w:val="00D60A36"/>
    <w:rsid w:val="00D61695"/>
    <w:rsid w:val="00D64529"/>
    <w:rsid w:val="00D70116"/>
    <w:rsid w:val="00D74C2E"/>
    <w:rsid w:val="00D77265"/>
    <w:rsid w:val="00D831F7"/>
    <w:rsid w:val="00D8584F"/>
    <w:rsid w:val="00D86CFF"/>
    <w:rsid w:val="00D90F89"/>
    <w:rsid w:val="00DA71FA"/>
    <w:rsid w:val="00DB53D1"/>
    <w:rsid w:val="00DC0227"/>
    <w:rsid w:val="00DC1232"/>
    <w:rsid w:val="00DE64B4"/>
    <w:rsid w:val="00DF0F70"/>
    <w:rsid w:val="00DF2CBB"/>
    <w:rsid w:val="00DF36DB"/>
    <w:rsid w:val="00DF5AC0"/>
    <w:rsid w:val="00E01681"/>
    <w:rsid w:val="00E041DC"/>
    <w:rsid w:val="00E24579"/>
    <w:rsid w:val="00E31138"/>
    <w:rsid w:val="00E33884"/>
    <w:rsid w:val="00E37538"/>
    <w:rsid w:val="00E45A67"/>
    <w:rsid w:val="00E52255"/>
    <w:rsid w:val="00E620ED"/>
    <w:rsid w:val="00E7130C"/>
    <w:rsid w:val="00E74D75"/>
    <w:rsid w:val="00E81BD0"/>
    <w:rsid w:val="00E83607"/>
    <w:rsid w:val="00E87111"/>
    <w:rsid w:val="00E87C64"/>
    <w:rsid w:val="00E93DD1"/>
    <w:rsid w:val="00E961A0"/>
    <w:rsid w:val="00EA493F"/>
    <w:rsid w:val="00EB5E4A"/>
    <w:rsid w:val="00EB7190"/>
    <w:rsid w:val="00EC1599"/>
    <w:rsid w:val="00EC2C72"/>
    <w:rsid w:val="00EE1F37"/>
    <w:rsid w:val="00EF0F7C"/>
    <w:rsid w:val="00EF4006"/>
    <w:rsid w:val="00F057E8"/>
    <w:rsid w:val="00F16AC1"/>
    <w:rsid w:val="00F2093A"/>
    <w:rsid w:val="00F2490E"/>
    <w:rsid w:val="00F301FD"/>
    <w:rsid w:val="00F4046F"/>
    <w:rsid w:val="00F4079E"/>
    <w:rsid w:val="00F46909"/>
    <w:rsid w:val="00F53C43"/>
    <w:rsid w:val="00F656A2"/>
    <w:rsid w:val="00F65A2C"/>
    <w:rsid w:val="00F71993"/>
    <w:rsid w:val="00F7593E"/>
    <w:rsid w:val="00F82C9D"/>
    <w:rsid w:val="00F84879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E7DC8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4CB9B46"/>
  <w15:docId w15:val="{04905ED9-6382-4D8F-ACB5-534CEE8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1A0F"/>
    <w:rPr>
      <w:color w:val="auto"/>
      <w:u w:val="non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CB56EAF-AD87-42F4-8692-234D651F27A1}">
  <ds:schemaRefs>
    <ds:schemaRef ds:uri="http://purl.org/dc/elements/1.1/"/>
    <ds:schemaRef ds:uri="http://schemas.microsoft.com/office/infopath/2007/PartnerControls"/>
    <ds:schemaRef ds:uri="1679ea07-8170-4d7c-84dc-a40afcbe4b04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6D8EA7-E326-4FF1-B47E-B884A8F8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13058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Bercik, Ilse</cp:lastModifiedBy>
  <cp:revision>3</cp:revision>
  <cp:lastPrinted>2014-11-06T21:09:00Z</cp:lastPrinted>
  <dcterms:created xsi:type="dcterms:W3CDTF">2015-05-20T11:37:00Z</dcterms:created>
  <dcterms:modified xsi:type="dcterms:W3CDTF">2015-05-20T11:40:00Z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