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491D" w14:textId="77777777" w:rsidR="00FD5524" w:rsidRDefault="00FD5524" w:rsidP="00FD5524">
      <w:pPr>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43B66E91" wp14:editId="48BC7A1B">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 xml:space="preserve">Date of Issue: </w:t>
      </w:r>
    </w:p>
    <w:p w14:paraId="6B96B426" w14:textId="30CB0263" w:rsidR="00FD5524" w:rsidRPr="00A45A14" w:rsidRDefault="00B255B3" w:rsidP="00FD5524">
      <w:pPr>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0</w:t>
      </w:r>
      <w:r w:rsidR="00B5625C">
        <w:rPr>
          <w:rFonts w:ascii="Times New Roman" w:eastAsia="Times New Roman" w:hAnsi="Times New Roman"/>
          <w:bCs/>
          <w:sz w:val="24"/>
          <w:szCs w:val="24"/>
        </w:rPr>
        <w:t>8</w:t>
      </w:r>
      <w:r w:rsidR="00D47B6C">
        <w:rPr>
          <w:rFonts w:ascii="Times New Roman" w:eastAsia="Times New Roman" w:hAnsi="Times New Roman"/>
          <w:bCs/>
          <w:sz w:val="24"/>
          <w:szCs w:val="24"/>
        </w:rPr>
        <w:t> </w:t>
      </w:r>
      <w:r w:rsidR="000C0534">
        <w:rPr>
          <w:rFonts w:ascii="Times New Roman" w:eastAsia="Times New Roman" w:hAnsi="Times New Roman"/>
          <w:bCs/>
          <w:sz w:val="24"/>
          <w:szCs w:val="24"/>
        </w:rPr>
        <w:t>Ju</w:t>
      </w:r>
      <w:r w:rsidR="0056308B">
        <w:rPr>
          <w:rFonts w:ascii="Times New Roman" w:eastAsia="Times New Roman" w:hAnsi="Times New Roman"/>
          <w:bCs/>
          <w:sz w:val="24"/>
          <w:szCs w:val="24"/>
        </w:rPr>
        <w:t>ly</w:t>
      </w:r>
      <w:r w:rsidR="00535AAC">
        <w:rPr>
          <w:rFonts w:ascii="Times New Roman" w:eastAsia="Times New Roman" w:hAnsi="Times New Roman"/>
          <w:bCs/>
          <w:sz w:val="24"/>
          <w:szCs w:val="24"/>
        </w:rPr>
        <w:t> </w:t>
      </w:r>
      <w:r w:rsidR="00FD5524" w:rsidRPr="00A45A14">
        <w:rPr>
          <w:rFonts w:ascii="Times New Roman" w:eastAsia="Times New Roman" w:hAnsi="Times New Roman"/>
          <w:bCs/>
          <w:sz w:val="24"/>
          <w:szCs w:val="24"/>
        </w:rPr>
        <w:t>201</w:t>
      </w:r>
      <w:r w:rsidR="00D47B6C">
        <w:rPr>
          <w:rFonts w:ascii="Times New Roman" w:eastAsia="Times New Roman" w:hAnsi="Times New Roman"/>
          <w:bCs/>
          <w:sz w:val="24"/>
          <w:szCs w:val="24"/>
        </w:rPr>
        <w:t>4</w:t>
      </w:r>
    </w:p>
    <w:p w14:paraId="0F8A151C" w14:textId="77777777" w:rsidR="00FD5524" w:rsidRPr="00FD5524" w:rsidRDefault="00FD5524" w:rsidP="002B22C8">
      <w:pPr>
        <w:spacing w:after="0" w:line="240" w:lineRule="auto"/>
        <w:ind w:left="2242" w:right="2104"/>
        <w:jc w:val="center"/>
        <w:rPr>
          <w:rFonts w:ascii="Times New Roman" w:eastAsia="Times New Roman" w:hAnsi="Times New Roman"/>
          <w:b/>
          <w:bCs/>
          <w:sz w:val="20"/>
          <w:szCs w:val="20"/>
        </w:rPr>
      </w:pPr>
    </w:p>
    <w:p w14:paraId="3F589E07" w14:textId="77777777" w:rsidR="00E24579" w:rsidRPr="00D34188" w:rsidRDefault="00BF5DD9" w:rsidP="002B22C8">
      <w:pPr>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45B337A0" w14:textId="77777777" w:rsidR="00D60A36" w:rsidRPr="00FD5524" w:rsidRDefault="00D60A36" w:rsidP="002B22C8">
      <w:pPr>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03ED4C1C" w14:textId="77777777" w:rsidTr="00D60A36">
        <w:trPr>
          <w:trHeight w:hRule="exact" w:val="360"/>
        </w:trPr>
        <w:tc>
          <w:tcPr>
            <w:tcW w:w="9576" w:type="dxa"/>
            <w:vAlign w:val="center"/>
          </w:tcPr>
          <w:p w14:paraId="0769E11A" w14:textId="77777777" w:rsidR="00D60A36" w:rsidRPr="00D60A36" w:rsidRDefault="00D60A36" w:rsidP="00FC7D09">
            <w:pPr>
              <w:keepNext/>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18D8159" w14:textId="77777777" w:rsidR="00150BAB" w:rsidRPr="00455695" w:rsidRDefault="007666FB" w:rsidP="002C5045">
      <w:pPr>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6CA80F7E" w14:textId="77777777" w:rsidR="00150BAB" w:rsidRPr="000E30C9" w:rsidRDefault="00150BAB" w:rsidP="00130CC0">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7A04F0">
        <w:rPr>
          <w:rFonts w:ascii="Times New Roman" w:hAnsi="Times New Roman"/>
          <w:bCs/>
          <w:sz w:val="20"/>
          <w:szCs w:val="20"/>
        </w:rPr>
        <w:t>8549</w:t>
      </w:r>
    </w:p>
    <w:p w14:paraId="06673EA7" w14:textId="77777777" w:rsidR="00150BAB" w:rsidRPr="000E30C9" w:rsidRDefault="00150BAB" w:rsidP="005F656F">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D47B6C">
        <w:rPr>
          <w:rFonts w:ascii="Times New Roman" w:eastAsia="Times New Roman" w:hAnsi="Times New Roman"/>
          <w:bCs/>
          <w:sz w:val="20"/>
          <w:szCs w:val="20"/>
        </w:rPr>
        <w:t>Nitrogen and Oxygen Isotopes in Nitrate (IAEA</w:t>
      </w:r>
      <w:r w:rsidR="00D47B6C">
        <w:rPr>
          <w:rFonts w:ascii="Times New Roman" w:eastAsia="Times New Roman" w:hAnsi="Times New Roman"/>
          <w:bCs/>
          <w:sz w:val="20"/>
          <w:szCs w:val="20"/>
        </w:rPr>
        <w:noBreakHyphen/>
        <w:t>NO</w:t>
      </w:r>
      <w:r w:rsidR="00D47B6C">
        <w:rPr>
          <w:rFonts w:ascii="Times New Roman" w:eastAsia="Times New Roman" w:hAnsi="Times New Roman"/>
          <w:bCs/>
          <w:sz w:val="20"/>
          <w:szCs w:val="20"/>
        </w:rPr>
        <w:noBreakHyphen/>
        <w:t>3)</w:t>
      </w:r>
    </w:p>
    <w:p w14:paraId="41DB331B" w14:textId="77777777" w:rsidR="00FD5524" w:rsidRPr="00D25DBF" w:rsidRDefault="00FD5524" w:rsidP="005F656F">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D25DBF">
        <w:rPr>
          <w:rFonts w:ascii="Times New Roman" w:eastAsia="Times New Roman" w:hAnsi="Times New Roman"/>
          <w:b/>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1144739E" w14:textId="77777777" w:rsidR="00150BAB" w:rsidRPr="00D25DBF" w:rsidRDefault="00150BAB" w:rsidP="002C5045">
      <w:pPr>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0A1441F4" w14:textId="77777777" w:rsidR="00150BAB" w:rsidRDefault="001930E9" w:rsidP="00783F68">
      <w:pPr>
        <w:spacing w:after="0" w:line="240" w:lineRule="auto"/>
        <w:ind w:left="360"/>
        <w:jc w:val="both"/>
        <w:rPr>
          <w:rFonts w:ascii="Times New Roman" w:eastAsia="Times New Roman" w:hAnsi="Times New Roman"/>
          <w:sz w:val="20"/>
          <w:szCs w:val="20"/>
        </w:rPr>
      </w:pPr>
      <w:r w:rsidRPr="00D25DBF">
        <w:rPr>
          <w:rFonts w:ascii="Times New Roman" w:eastAsia="Times New Roman" w:hAnsi="Times New Roman"/>
          <w:sz w:val="20"/>
          <w:szCs w:val="20"/>
        </w:rPr>
        <w:t>This Reference Material</w:t>
      </w:r>
      <w:r w:rsidR="00D1090B">
        <w:rPr>
          <w:rFonts w:ascii="Times New Roman" w:eastAsia="Times New Roman" w:hAnsi="Times New Roman"/>
          <w:sz w:val="20"/>
          <w:szCs w:val="20"/>
        </w:rPr>
        <w:t> </w:t>
      </w:r>
      <w:r w:rsidRPr="00D25DBF">
        <w:rPr>
          <w:rFonts w:ascii="Times New Roman" w:eastAsia="Times New Roman" w:hAnsi="Times New Roman"/>
          <w:sz w:val="20"/>
          <w:szCs w:val="20"/>
        </w:rPr>
        <w:t xml:space="preserve">(RM) is </w:t>
      </w:r>
      <w:r w:rsidRPr="00D1090B">
        <w:rPr>
          <w:rFonts w:ascii="Times New Roman" w:eastAsia="Times New Roman" w:hAnsi="Times New Roman"/>
          <w:sz w:val="20"/>
          <w:szCs w:val="20"/>
        </w:rPr>
        <w:t>intended</w:t>
      </w:r>
      <w:r w:rsidRPr="00D25DBF">
        <w:rPr>
          <w:rFonts w:ascii="Times New Roman" w:eastAsia="Times New Roman" w:hAnsi="Times New Roman"/>
          <w:sz w:val="20"/>
          <w:szCs w:val="20"/>
        </w:rPr>
        <w:t xml:space="preserve"> </w:t>
      </w:r>
      <w:r w:rsidR="00D1090B">
        <w:rPr>
          <w:rFonts w:ascii="Times New Roman" w:eastAsia="Times New Roman" w:hAnsi="Times New Roman"/>
          <w:sz w:val="20"/>
          <w:szCs w:val="20"/>
        </w:rPr>
        <w:t>primarily for us</w:t>
      </w:r>
      <w:r w:rsidR="002372B2">
        <w:rPr>
          <w:rFonts w:ascii="Times New Roman" w:eastAsia="Times New Roman" w:hAnsi="Times New Roman"/>
          <w:sz w:val="20"/>
          <w:szCs w:val="20"/>
        </w:rPr>
        <w:t>e</w:t>
      </w:r>
      <w:r w:rsidR="00D1090B">
        <w:rPr>
          <w:rFonts w:ascii="Times New Roman" w:eastAsia="Times New Roman" w:hAnsi="Times New Roman"/>
          <w:sz w:val="20"/>
          <w:szCs w:val="20"/>
        </w:rPr>
        <w:t xml:space="preserve"> in </w:t>
      </w:r>
      <w:r w:rsidR="002372B2">
        <w:rPr>
          <w:rFonts w:ascii="Times New Roman" w:eastAsia="Times New Roman" w:hAnsi="Times New Roman"/>
          <w:sz w:val="20"/>
          <w:szCs w:val="20"/>
        </w:rPr>
        <w:t>developing and validating methods for measuring relative differences in nitrogen</w:t>
      </w:r>
      <w:r w:rsidR="00BD0870">
        <w:rPr>
          <w:rFonts w:ascii="Times New Roman" w:eastAsia="Times New Roman" w:hAnsi="Times New Roman"/>
          <w:sz w:val="20"/>
          <w:szCs w:val="20"/>
        </w:rPr>
        <w:t> </w:t>
      </w:r>
      <w:r w:rsidR="002372B2">
        <w:rPr>
          <w:rFonts w:ascii="Times New Roman" w:eastAsia="Times New Roman" w:hAnsi="Times New Roman"/>
          <w:sz w:val="20"/>
          <w:szCs w:val="20"/>
        </w:rPr>
        <w:t>(N) and oxygen</w:t>
      </w:r>
      <w:r w:rsidR="00BD0870">
        <w:rPr>
          <w:rFonts w:ascii="Times New Roman" w:eastAsia="Times New Roman" w:hAnsi="Times New Roman"/>
          <w:sz w:val="20"/>
          <w:szCs w:val="20"/>
        </w:rPr>
        <w:t> </w:t>
      </w:r>
      <w:r w:rsidR="002372B2">
        <w:rPr>
          <w:rFonts w:ascii="Times New Roman" w:eastAsia="Times New Roman" w:hAnsi="Times New Roman"/>
          <w:sz w:val="20"/>
          <w:szCs w:val="20"/>
        </w:rPr>
        <w:t>(O) isotope</w:t>
      </w:r>
      <w:r w:rsidR="002372B2">
        <w:rPr>
          <w:rFonts w:ascii="Times New Roman" w:eastAsia="Times New Roman" w:hAnsi="Times New Roman"/>
          <w:sz w:val="20"/>
          <w:szCs w:val="20"/>
        </w:rPr>
        <w:noBreakHyphen/>
        <w:t>amount</w:t>
      </w:r>
      <w:r w:rsidR="002372B2">
        <w:rPr>
          <w:rFonts w:ascii="Times New Roman" w:eastAsia="Times New Roman" w:hAnsi="Times New Roman"/>
          <w:sz w:val="20"/>
          <w:szCs w:val="20"/>
        </w:rPr>
        <w:noBreakHyphen/>
        <w:t>ratios in nitrate.</w:t>
      </w:r>
      <w:r w:rsidR="00D1090B">
        <w:rPr>
          <w:rFonts w:ascii="Times New Roman" w:eastAsia="Times New Roman" w:hAnsi="Times New Roman"/>
          <w:sz w:val="20"/>
          <w:szCs w:val="20"/>
        </w:rPr>
        <w:t xml:space="preserve">  A unit of </w:t>
      </w:r>
      <w:r w:rsidR="00A77731">
        <w:rPr>
          <w:rFonts w:ascii="Times New Roman" w:eastAsia="Times New Roman" w:hAnsi="Times New Roman"/>
          <w:sz w:val="20"/>
          <w:szCs w:val="20"/>
        </w:rPr>
        <w:t>RM</w:t>
      </w:r>
      <w:r w:rsidR="00D1090B">
        <w:rPr>
          <w:rFonts w:ascii="Times New Roman" w:eastAsia="Times New Roman" w:hAnsi="Times New Roman"/>
          <w:sz w:val="20"/>
          <w:szCs w:val="20"/>
        </w:rPr>
        <w:t> </w:t>
      </w:r>
      <w:r w:rsidR="007A04F0">
        <w:rPr>
          <w:rFonts w:ascii="Times New Roman" w:eastAsia="Times New Roman" w:hAnsi="Times New Roman"/>
          <w:sz w:val="20"/>
          <w:szCs w:val="20"/>
        </w:rPr>
        <w:t>8549</w:t>
      </w:r>
      <w:r w:rsidR="00D1090B">
        <w:rPr>
          <w:rFonts w:ascii="Times New Roman" w:eastAsia="Times New Roman" w:hAnsi="Times New Roman"/>
          <w:sz w:val="20"/>
          <w:szCs w:val="20"/>
        </w:rPr>
        <w:t xml:space="preserve"> consists of </w:t>
      </w:r>
      <w:r w:rsidR="00E57A0E">
        <w:rPr>
          <w:rFonts w:ascii="Times New Roman" w:eastAsia="Times New Roman" w:hAnsi="Times New Roman"/>
          <w:sz w:val="20"/>
          <w:szCs w:val="20"/>
        </w:rPr>
        <w:t xml:space="preserve">a </w:t>
      </w:r>
      <w:r w:rsidR="00E57A0E" w:rsidRPr="00E57A0E">
        <w:rPr>
          <w:rFonts w:ascii="Times New Roman" w:eastAsia="Times New Roman" w:hAnsi="Times New Roman"/>
          <w:sz w:val="20"/>
          <w:szCs w:val="20"/>
        </w:rPr>
        <w:t xml:space="preserve">plastic vial </w:t>
      </w:r>
      <w:r w:rsidR="00E57A0E">
        <w:rPr>
          <w:rFonts w:ascii="Times New Roman" w:eastAsia="Times New Roman" w:hAnsi="Times New Roman"/>
          <w:sz w:val="20"/>
          <w:szCs w:val="20"/>
        </w:rPr>
        <w:t xml:space="preserve">that contains </w:t>
      </w:r>
      <w:r w:rsidR="00E57A0E" w:rsidRPr="00E57A0E">
        <w:rPr>
          <w:rFonts w:ascii="Times New Roman" w:eastAsia="Times New Roman" w:hAnsi="Times New Roman"/>
          <w:sz w:val="20"/>
          <w:szCs w:val="20"/>
        </w:rPr>
        <w:t>approximately 0.4</w:t>
      </w:r>
      <w:r w:rsidR="008E209F">
        <w:rPr>
          <w:rFonts w:ascii="Times New Roman" w:eastAsia="Times New Roman" w:hAnsi="Times New Roman"/>
          <w:sz w:val="20"/>
          <w:szCs w:val="20"/>
        </w:rPr>
        <w:t> </w:t>
      </w:r>
      <w:r w:rsidR="00E57A0E" w:rsidRPr="00E57A0E">
        <w:rPr>
          <w:rFonts w:ascii="Times New Roman" w:eastAsia="Times New Roman" w:hAnsi="Times New Roman"/>
          <w:sz w:val="20"/>
          <w:szCs w:val="20"/>
        </w:rPr>
        <w:t>g of KNO</w:t>
      </w:r>
      <w:r w:rsidR="00E57A0E" w:rsidRPr="00E57A0E">
        <w:rPr>
          <w:rFonts w:ascii="Times New Roman" w:eastAsia="Times New Roman" w:hAnsi="Times New Roman"/>
          <w:sz w:val="20"/>
          <w:szCs w:val="20"/>
          <w:vertAlign w:val="subscript"/>
        </w:rPr>
        <w:t>3</w:t>
      </w:r>
      <w:r w:rsidR="00E57A0E" w:rsidRPr="00E57A0E">
        <w:rPr>
          <w:rFonts w:ascii="Times New Roman" w:eastAsia="Times New Roman" w:hAnsi="Times New Roman"/>
          <w:sz w:val="20"/>
          <w:szCs w:val="20"/>
        </w:rPr>
        <w:t xml:space="preserve"> salt.</w:t>
      </w:r>
    </w:p>
    <w:p w14:paraId="4632E10B" w14:textId="77777777" w:rsidR="00F6032E" w:rsidRPr="00D222CA" w:rsidRDefault="00F6032E" w:rsidP="00F6032E">
      <w:pPr>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6578C0FB" w14:textId="77777777" w:rsidTr="00F00117">
        <w:tc>
          <w:tcPr>
            <w:tcW w:w="4590" w:type="dxa"/>
          </w:tcPr>
          <w:p w14:paraId="28F02DB4"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2116098A"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3F34A405" w14:textId="77777777" w:rsidTr="00F00117">
        <w:tc>
          <w:tcPr>
            <w:tcW w:w="4590" w:type="dxa"/>
          </w:tcPr>
          <w:p w14:paraId="649052D2"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0FC622E0"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378E43DA" w14:textId="77777777" w:rsidTr="00F00117">
        <w:tc>
          <w:tcPr>
            <w:tcW w:w="4590" w:type="dxa"/>
          </w:tcPr>
          <w:p w14:paraId="618539F1"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F0CC27E" w14:textId="77777777" w:rsidR="00F6032E" w:rsidRPr="00193FA9" w:rsidRDefault="00F6032E" w:rsidP="00F00117">
            <w:pPr>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04E17632" w14:textId="77777777" w:rsidTr="00F00117">
        <w:tc>
          <w:tcPr>
            <w:tcW w:w="4590" w:type="dxa"/>
          </w:tcPr>
          <w:p w14:paraId="67CDC122"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B77255E" w14:textId="77777777" w:rsidR="00F6032E" w:rsidRPr="00193FA9" w:rsidRDefault="00F6032E" w:rsidP="00F00117">
            <w:pPr>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743D71EC" w14:textId="77777777" w:rsidTr="00F00117">
        <w:tc>
          <w:tcPr>
            <w:tcW w:w="4590" w:type="dxa"/>
          </w:tcPr>
          <w:p w14:paraId="588016FB"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14:paraId="44FE8B93" w14:textId="77777777" w:rsidR="00F6032E" w:rsidRPr="00193FA9" w:rsidRDefault="00F6032E" w:rsidP="00F00117">
            <w:pPr>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540A3C7B" w14:textId="77777777" w:rsidTr="00F00117">
        <w:tc>
          <w:tcPr>
            <w:tcW w:w="4590" w:type="dxa"/>
          </w:tcPr>
          <w:p w14:paraId="74485DAC"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173E81E7" w14:textId="77777777" w:rsidR="00F6032E" w:rsidRPr="00193FA9" w:rsidRDefault="00F6032E" w:rsidP="00F00117">
            <w:pPr>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Emergency Telephone </w:t>
            </w:r>
            <w:proofErr w:type="spellStart"/>
            <w:r w:rsidRPr="00193FA9">
              <w:rPr>
                <w:rFonts w:ascii="Times New Roman" w:eastAsia="Times New Roman" w:hAnsi="Times New Roman"/>
                <w:sz w:val="20"/>
                <w:szCs w:val="20"/>
              </w:rPr>
              <w:t>ChemTrec</w:t>
            </w:r>
            <w:proofErr w:type="spellEnd"/>
            <w:r w:rsidRPr="00193FA9">
              <w:rPr>
                <w:rFonts w:ascii="Times New Roman" w:eastAsia="Times New Roman" w:hAnsi="Times New Roman"/>
                <w:sz w:val="20"/>
                <w:szCs w:val="20"/>
              </w:rPr>
              <w:t>:</w:t>
            </w:r>
          </w:p>
        </w:tc>
      </w:tr>
      <w:tr w:rsidR="00F6032E" w:rsidRPr="00193FA9" w14:paraId="53E8F1B1" w14:textId="77777777" w:rsidTr="00F00117">
        <w:tc>
          <w:tcPr>
            <w:tcW w:w="4590" w:type="dxa"/>
          </w:tcPr>
          <w:p w14:paraId="27BF120D"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68244E9E" w14:textId="77777777" w:rsidR="00F6032E" w:rsidRPr="00193FA9" w:rsidRDefault="00F6032E" w:rsidP="00F00117">
            <w:pPr>
              <w:tabs>
                <w:tab w:val="right" w:pos="1692"/>
                <w:tab w:val="left" w:pos="1962"/>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2039BD26" w14:textId="77777777" w:rsidTr="00F00117">
        <w:tc>
          <w:tcPr>
            <w:tcW w:w="4590" w:type="dxa"/>
          </w:tcPr>
          <w:p w14:paraId="2A8CFB87"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7D9A36EA" w14:textId="77777777" w:rsidR="00F6032E" w:rsidRPr="00193FA9" w:rsidRDefault="00F6032E" w:rsidP="00F00117">
            <w:pPr>
              <w:tabs>
                <w:tab w:val="right" w:pos="1692"/>
                <w:tab w:val="left" w:pos="1962"/>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4D6A8742" w14:textId="77777777" w:rsidTr="00F00117">
        <w:tc>
          <w:tcPr>
            <w:tcW w:w="4590" w:type="dxa"/>
          </w:tcPr>
          <w:p w14:paraId="621A244F" w14:textId="77777777" w:rsidR="00F6032E" w:rsidRPr="00193FA9" w:rsidRDefault="00F6032E" w:rsidP="00F00117">
            <w:pPr>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1FEFCBCF" w14:textId="77777777" w:rsidR="00F6032E" w:rsidRPr="00193FA9" w:rsidRDefault="00F6032E" w:rsidP="00F00117">
            <w:pPr>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7D1045F6" w14:textId="77777777" w:rsidTr="002B22C8">
        <w:trPr>
          <w:trHeight w:hRule="exact" w:val="360"/>
        </w:trPr>
        <w:tc>
          <w:tcPr>
            <w:tcW w:w="9576" w:type="dxa"/>
            <w:vAlign w:val="center"/>
          </w:tcPr>
          <w:p w14:paraId="0AD3DEA0" w14:textId="77777777" w:rsidR="002B22C8" w:rsidRDefault="002B22C8" w:rsidP="00A00A2B">
            <w:pPr>
              <w:keepNext/>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458E427" w14:textId="77777777" w:rsidR="001C4F6D" w:rsidRPr="00455695" w:rsidRDefault="002B22C8" w:rsidP="00836B33">
      <w:pPr>
        <w:spacing w:before="120" w:after="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Classification</w:t>
      </w:r>
      <w:r w:rsidR="006D24D9" w:rsidRPr="00455695">
        <w:rPr>
          <w:rFonts w:ascii="Times New Roman" w:eastAsia="Times New Roman" w:hAnsi="Times New Roman"/>
          <w:bCs/>
          <w:sz w:val="20"/>
          <w:szCs w:val="20"/>
        </w:rPr>
        <w:t xml:space="preserve"> </w:t>
      </w:r>
    </w:p>
    <w:p w14:paraId="11359AB1" w14:textId="77777777" w:rsidR="0073150A" w:rsidRPr="005550E0" w:rsidRDefault="0073150A" w:rsidP="001A628B">
      <w:pPr>
        <w:tabs>
          <w:tab w:val="left" w:pos="2250"/>
          <w:tab w:val="left" w:pos="450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Physical Hazard:</w:t>
      </w:r>
      <w:r w:rsidR="0044226E" w:rsidRPr="005550E0">
        <w:rPr>
          <w:rFonts w:ascii="Times New Roman" w:eastAsia="Times New Roman" w:hAnsi="Times New Roman"/>
          <w:bCs/>
          <w:sz w:val="20"/>
          <w:szCs w:val="20"/>
        </w:rPr>
        <w:tab/>
      </w:r>
      <w:r w:rsidR="00D1090B">
        <w:rPr>
          <w:rFonts w:ascii="Times New Roman" w:eastAsia="Times New Roman" w:hAnsi="Times New Roman"/>
          <w:bCs/>
          <w:sz w:val="20"/>
          <w:szCs w:val="20"/>
        </w:rPr>
        <w:t>Oxidiz</w:t>
      </w:r>
      <w:r w:rsidR="00AD30B7">
        <w:rPr>
          <w:rFonts w:ascii="Times New Roman" w:eastAsia="Times New Roman" w:hAnsi="Times New Roman"/>
          <w:bCs/>
          <w:sz w:val="20"/>
          <w:szCs w:val="20"/>
        </w:rPr>
        <w:t xml:space="preserve">ing </w:t>
      </w:r>
      <w:r w:rsidR="00E57A0E">
        <w:rPr>
          <w:rFonts w:ascii="Times New Roman" w:eastAsia="Times New Roman" w:hAnsi="Times New Roman"/>
          <w:bCs/>
          <w:sz w:val="20"/>
          <w:szCs w:val="20"/>
        </w:rPr>
        <w:t>S</w:t>
      </w:r>
      <w:r w:rsidR="00AD30B7">
        <w:rPr>
          <w:rFonts w:ascii="Times New Roman" w:eastAsia="Times New Roman" w:hAnsi="Times New Roman"/>
          <w:bCs/>
          <w:sz w:val="20"/>
          <w:szCs w:val="20"/>
        </w:rPr>
        <w:t>olids</w:t>
      </w:r>
      <w:r w:rsidR="00AD30B7">
        <w:rPr>
          <w:rFonts w:ascii="Times New Roman" w:eastAsia="Times New Roman" w:hAnsi="Times New Roman"/>
          <w:bCs/>
          <w:sz w:val="20"/>
          <w:szCs w:val="20"/>
        </w:rPr>
        <w:tab/>
        <w:t>Category 3</w:t>
      </w:r>
    </w:p>
    <w:p w14:paraId="46354823" w14:textId="1B84379C" w:rsidR="001A628B" w:rsidRDefault="0073150A" w:rsidP="001A628B">
      <w:pPr>
        <w:tabs>
          <w:tab w:val="left" w:pos="2250"/>
          <w:tab w:val="left" w:pos="450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Health Hazard:</w:t>
      </w:r>
      <w:r w:rsidR="00EE7A13">
        <w:rPr>
          <w:rFonts w:ascii="Times New Roman" w:eastAsia="Times New Roman" w:hAnsi="Times New Roman"/>
          <w:bCs/>
          <w:sz w:val="20"/>
          <w:szCs w:val="20"/>
        </w:rPr>
        <w:tab/>
      </w:r>
      <w:r w:rsidR="001A628B" w:rsidRPr="001A628B">
        <w:rPr>
          <w:rFonts w:ascii="Times New Roman" w:eastAsia="Times New Roman" w:hAnsi="Times New Roman"/>
          <w:bCs/>
          <w:sz w:val="20"/>
          <w:szCs w:val="20"/>
        </w:rPr>
        <w:t>Eye Damage/Irritat</w:t>
      </w:r>
      <w:r w:rsidR="001A628B">
        <w:rPr>
          <w:rFonts w:ascii="Times New Roman" w:eastAsia="Times New Roman" w:hAnsi="Times New Roman"/>
          <w:bCs/>
          <w:sz w:val="20"/>
          <w:szCs w:val="20"/>
        </w:rPr>
        <w:t>i</w:t>
      </w:r>
      <w:r w:rsidR="001A628B" w:rsidRPr="001A628B">
        <w:rPr>
          <w:rFonts w:ascii="Times New Roman" w:eastAsia="Times New Roman" w:hAnsi="Times New Roman"/>
          <w:bCs/>
          <w:sz w:val="20"/>
          <w:szCs w:val="20"/>
        </w:rPr>
        <w:t>on</w:t>
      </w:r>
      <w:r w:rsidR="001A628B" w:rsidRPr="001A628B">
        <w:rPr>
          <w:rFonts w:ascii="Times New Roman" w:eastAsia="Times New Roman" w:hAnsi="Times New Roman"/>
          <w:bCs/>
          <w:sz w:val="20"/>
          <w:szCs w:val="20"/>
        </w:rPr>
        <w:tab/>
        <w:t>Category 2B</w:t>
      </w:r>
    </w:p>
    <w:p w14:paraId="051D4B7F" w14:textId="6114B9BE" w:rsidR="001A628B" w:rsidRPr="001A628B" w:rsidRDefault="001A628B" w:rsidP="001A628B">
      <w:pPr>
        <w:tabs>
          <w:tab w:val="left" w:pos="2250"/>
          <w:tab w:val="left" w:pos="450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t>STOT</w:t>
      </w:r>
      <w:r w:rsidR="00E12780">
        <w:rPr>
          <w:rFonts w:ascii="Times New Roman" w:eastAsia="Times New Roman" w:hAnsi="Times New Roman"/>
          <w:bCs/>
          <w:sz w:val="20"/>
          <w:szCs w:val="20"/>
        </w:rPr>
        <w:t>,</w:t>
      </w:r>
      <w:r>
        <w:rPr>
          <w:rFonts w:ascii="Times New Roman" w:eastAsia="Times New Roman" w:hAnsi="Times New Roman"/>
          <w:bCs/>
          <w:sz w:val="20"/>
          <w:szCs w:val="20"/>
        </w:rPr>
        <w:t xml:space="preserve"> Single Exposure</w:t>
      </w:r>
      <w:r>
        <w:rPr>
          <w:rFonts w:ascii="Times New Roman" w:eastAsia="Times New Roman" w:hAnsi="Times New Roman"/>
          <w:bCs/>
          <w:sz w:val="20"/>
          <w:szCs w:val="20"/>
        </w:rPr>
        <w:tab/>
        <w:t>Category 3</w:t>
      </w:r>
    </w:p>
    <w:p w14:paraId="4FE60660" w14:textId="77777777" w:rsidR="00730686" w:rsidRPr="00015F8E" w:rsidRDefault="00730686" w:rsidP="00037080">
      <w:pPr>
        <w:tabs>
          <w:tab w:val="left" w:pos="1890"/>
          <w:tab w:val="left" w:pos="6120"/>
        </w:tabs>
        <w:spacing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Label Elements</w:t>
      </w:r>
    </w:p>
    <w:p w14:paraId="468F7667" w14:textId="77777777" w:rsidR="00910EA2" w:rsidRPr="00015F8E" w:rsidRDefault="00730686" w:rsidP="00327DFD">
      <w:pPr>
        <w:tabs>
          <w:tab w:val="left" w:pos="2740"/>
          <w:tab w:val="left" w:pos="4540"/>
          <w:tab w:val="left" w:pos="6340"/>
        </w:tabs>
        <w:spacing w:after="120" w:line="240" w:lineRule="auto"/>
        <w:ind w:left="360"/>
        <w:rPr>
          <w:rFonts w:ascii="Times New Roman" w:eastAsia="Times New Roman" w:hAnsi="Times New Roman"/>
          <w:b/>
          <w:bCs/>
          <w:sz w:val="20"/>
          <w:szCs w:val="20"/>
        </w:rPr>
      </w:pPr>
      <w:r w:rsidRPr="00015F8E">
        <w:rPr>
          <w:rFonts w:ascii="Times New Roman" w:eastAsia="Times New Roman" w:hAnsi="Times New Roman"/>
          <w:b/>
          <w:bCs/>
          <w:sz w:val="20"/>
          <w:szCs w:val="20"/>
        </w:rPr>
        <w:t>Symbol</w:t>
      </w:r>
      <w:r w:rsidR="00910EA2" w:rsidRPr="00015F8E">
        <w:rPr>
          <w:rFonts w:ascii="Times New Roman" w:eastAsia="Times New Roman" w:hAnsi="Times New Roman"/>
          <w:b/>
          <w:bCs/>
          <w:sz w:val="20"/>
          <w:szCs w:val="20"/>
        </w:rPr>
        <w:t xml:space="preserve"> </w:t>
      </w:r>
    </w:p>
    <w:p w14:paraId="08BE2BFB" w14:textId="77777777" w:rsidR="00910EA2" w:rsidRPr="00015F8E" w:rsidRDefault="00921852" w:rsidP="002B22C8">
      <w:pPr>
        <w:tabs>
          <w:tab w:val="left" w:pos="2740"/>
          <w:tab w:val="left" w:pos="4540"/>
          <w:tab w:val="left" w:pos="6340"/>
        </w:tabs>
        <w:spacing w:after="0" w:line="240" w:lineRule="auto"/>
        <w:ind w:left="634"/>
        <w:rPr>
          <w:rFonts w:ascii="Times New Roman" w:eastAsia="Times New Roman" w:hAnsi="Times New Roman"/>
          <w:b/>
          <w:bCs/>
          <w:sz w:val="20"/>
          <w:szCs w:val="20"/>
        </w:rPr>
      </w:pPr>
      <w:r w:rsidRPr="00606B4C">
        <w:rPr>
          <w:noProof/>
        </w:rPr>
        <w:drawing>
          <wp:inline distT="0" distB="0" distL="0" distR="0" wp14:anchorId="01A537F4" wp14:editId="7D627E1D">
            <wp:extent cx="730506" cy="731520"/>
            <wp:effectExtent l="0" t="0" r="0" b="0"/>
            <wp:docPr id="3" name="Picture 7" descr="rondf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ndflam.gif"/>
                    <pic:cNvPicPr/>
                  </pic:nvPicPr>
                  <pic:blipFill>
                    <a:blip r:embed="rId11" cstate="print"/>
                    <a:stretch>
                      <a:fillRect/>
                    </a:stretch>
                  </pic:blipFill>
                  <pic:spPr>
                    <a:xfrm>
                      <a:off x="0" y="0"/>
                      <a:ext cx="730506" cy="731520"/>
                    </a:xfrm>
                    <a:prstGeom prst="rect">
                      <a:avLst/>
                    </a:prstGeom>
                  </pic:spPr>
                </pic:pic>
              </a:graphicData>
            </a:graphic>
          </wp:inline>
        </w:drawing>
      </w:r>
      <w:r w:rsidR="001A628B">
        <w:rPr>
          <w:rFonts w:ascii="Times New Roman" w:eastAsia="Times New Roman" w:hAnsi="Times New Roman"/>
          <w:b/>
          <w:bCs/>
          <w:sz w:val="20"/>
          <w:szCs w:val="20"/>
        </w:rPr>
        <w:t xml:space="preserve"> </w:t>
      </w:r>
      <w:r w:rsidR="001A628B" w:rsidRPr="00A85A37">
        <w:rPr>
          <w:noProof/>
        </w:rPr>
        <w:drawing>
          <wp:inline distT="0" distB="0" distL="0" distR="0" wp14:anchorId="169673C7" wp14:editId="2D8DD9AB">
            <wp:extent cx="732538" cy="731520"/>
            <wp:effectExtent l="0" t="0" r="0" b="0"/>
            <wp:docPr id="2"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32538" cy="731520"/>
                    </a:xfrm>
                    <a:prstGeom prst="rect">
                      <a:avLst/>
                    </a:prstGeom>
                  </pic:spPr>
                </pic:pic>
              </a:graphicData>
            </a:graphic>
          </wp:inline>
        </w:drawing>
      </w:r>
    </w:p>
    <w:p w14:paraId="02A9F881" w14:textId="77777777" w:rsidR="00910EA2" w:rsidRPr="00015F8E" w:rsidRDefault="00730686" w:rsidP="00783F68">
      <w:pPr>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Signal Word</w:t>
      </w:r>
    </w:p>
    <w:p w14:paraId="4DAF28CE" w14:textId="77777777" w:rsidR="00910EA2" w:rsidRPr="00015F8E" w:rsidRDefault="0045105D" w:rsidP="00783F68">
      <w:pPr>
        <w:tabs>
          <w:tab w:val="left" w:pos="2740"/>
          <w:tab w:val="left" w:pos="4540"/>
          <w:tab w:val="left" w:pos="6340"/>
        </w:tabs>
        <w:spacing w:after="0" w:line="240" w:lineRule="auto"/>
        <w:ind w:left="360"/>
        <w:jc w:val="both"/>
        <w:rPr>
          <w:rFonts w:ascii="Times New Roman" w:hAnsi="Times New Roman"/>
          <w:sz w:val="20"/>
          <w:szCs w:val="20"/>
        </w:rPr>
      </w:pPr>
      <w:r>
        <w:rPr>
          <w:rFonts w:ascii="Times New Roman" w:hAnsi="Times New Roman"/>
          <w:sz w:val="20"/>
          <w:szCs w:val="20"/>
        </w:rPr>
        <w:t>WARNING</w:t>
      </w:r>
    </w:p>
    <w:p w14:paraId="53BD4CAA" w14:textId="77777777" w:rsidR="00730686" w:rsidRPr="00710FAA" w:rsidRDefault="00730686" w:rsidP="00783F68">
      <w:pPr>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Hazard Statement(s</w:t>
      </w:r>
      <w:r w:rsidR="00FC3C8B" w:rsidRPr="00015F8E">
        <w:rPr>
          <w:rFonts w:ascii="Times New Roman" w:eastAsia="Times New Roman" w:hAnsi="Times New Roman"/>
          <w:b/>
          <w:bCs/>
          <w:sz w:val="20"/>
          <w:szCs w:val="20"/>
        </w:rPr>
        <w:t>)</w:t>
      </w:r>
      <w:r w:rsidR="00296E4D" w:rsidRPr="00015F8E">
        <w:rPr>
          <w:rFonts w:ascii="Times New Roman" w:eastAsia="Times New Roman" w:hAnsi="Times New Roman"/>
          <w:b/>
          <w:bCs/>
          <w:sz w:val="20"/>
          <w:szCs w:val="20"/>
        </w:rPr>
        <w:t xml:space="preserve"> </w:t>
      </w:r>
    </w:p>
    <w:p w14:paraId="203300D5" w14:textId="399F0B61" w:rsidR="002C5045" w:rsidRDefault="0045105D" w:rsidP="003268DD">
      <w:pPr>
        <w:tabs>
          <w:tab w:val="left" w:pos="2250"/>
        </w:tabs>
        <w:spacing w:after="0" w:line="240" w:lineRule="auto"/>
        <w:ind w:left="360"/>
        <w:jc w:val="both"/>
        <w:rPr>
          <w:rFonts w:ascii="Times New Roman" w:hAnsi="Times New Roman"/>
          <w:sz w:val="20"/>
          <w:szCs w:val="20"/>
        </w:rPr>
      </w:pPr>
      <w:r w:rsidRPr="00015F8E">
        <w:rPr>
          <w:rFonts w:ascii="Times New Roman" w:hAnsi="Times New Roman"/>
          <w:sz w:val="20"/>
          <w:szCs w:val="20"/>
        </w:rPr>
        <w:t>H</w:t>
      </w:r>
      <w:r>
        <w:rPr>
          <w:rFonts w:ascii="Times New Roman" w:hAnsi="Times New Roman"/>
          <w:sz w:val="20"/>
          <w:szCs w:val="20"/>
        </w:rPr>
        <w:t>272</w:t>
      </w:r>
      <w:r w:rsidR="00037080" w:rsidRPr="00015F8E">
        <w:rPr>
          <w:rFonts w:ascii="Times New Roman" w:hAnsi="Times New Roman"/>
          <w:sz w:val="20"/>
          <w:szCs w:val="20"/>
        </w:rPr>
        <w:tab/>
      </w:r>
      <w:r>
        <w:rPr>
          <w:rFonts w:ascii="Times New Roman" w:hAnsi="Times New Roman"/>
          <w:sz w:val="20"/>
          <w:szCs w:val="20"/>
        </w:rPr>
        <w:t>May intensify fire</w:t>
      </w:r>
      <w:r w:rsidR="00305987">
        <w:rPr>
          <w:rFonts w:ascii="Times New Roman" w:hAnsi="Times New Roman"/>
          <w:sz w:val="20"/>
          <w:szCs w:val="20"/>
        </w:rPr>
        <w:t xml:space="preserve">; </w:t>
      </w:r>
      <w:r>
        <w:rPr>
          <w:rFonts w:ascii="Times New Roman" w:hAnsi="Times New Roman"/>
          <w:sz w:val="20"/>
          <w:szCs w:val="20"/>
        </w:rPr>
        <w:t>oxidizer</w:t>
      </w:r>
      <w:r w:rsidR="00A54F76" w:rsidRPr="00015F8E">
        <w:rPr>
          <w:rFonts w:ascii="Times New Roman" w:hAnsi="Times New Roman"/>
          <w:sz w:val="20"/>
          <w:szCs w:val="20"/>
        </w:rPr>
        <w:t>.</w:t>
      </w:r>
    </w:p>
    <w:p w14:paraId="0C20C3DC" w14:textId="0B1E8D23" w:rsidR="003E00D3" w:rsidRDefault="003E00D3" w:rsidP="003268DD">
      <w:pPr>
        <w:tabs>
          <w:tab w:val="left" w:pos="2250"/>
        </w:tabs>
        <w:spacing w:after="0" w:line="240" w:lineRule="auto"/>
        <w:ind w:left="360"/>
        <w:jc w:val="both"/>
        <w:rPr>
          <w:rFonts w:ascii="Times New Roman" w:hAnsi="Times New Roman"/>
          <w:sz w:val="20"/>
          <w:szCs w:val="20"/>
        </w:rPr>
      </w:pPr>
      <w:r>
        <w:rPr>
          <w:rFonts w:ascii="Times New Roman" w:hAnsi="Times New Roman"/>
          <w:sz w:val="20"/>
          <w:szCs w:val="20"/>
        </w:rPr>
        <w:t>H320</w:t>
      </w:r>
      <w:r>
        <w:rPr>
          <w:rFonts w:ascii="Times New Roman" w:hAnsi="Times New Roman"/>
          <w:sz w:val="20"/>
          <w:szCs w:val="20"/>
        </w:rPr>
        <w:tab/>
        <w:t>Causes eye irritation</w:t>
      </w:r>
      <w:r w:rsidR="00305987">
        <w:rPr>
          <w:rFonts w:ascii="Times New Roman" w:hAnsi="Times New Roman"/>
          <w:sz w:val="20"/>
          <w:szCs w:val="20"/>
        </w:rPr>
        <w:t>.</w:t>
      </w:r>
    </w:p>
    <w:p w14:paraId="60068039" w14:textId="77777777" w:rsidR="001A628B" w:rsidRDefault="001A628B" w:rsidP="003268DD">
      <w:pPr>
        <w:tabs>
          <w:tab w:val="left" w:pos="2250"/>
        </w:tabs>
        <w:spacing w:after="0" w:line="240" w:lineRule="auto"/>
        <w:ind w:left="360"/>
        <w:jc w:val="both"/>
        <w:rPr>
          <w:rFonts w:ascii="Times New Roman" w:hAnsi="Times New Roman"/>
          <w:sz w:val="20"/>
          <w:szCs w:val="20"/>
        </w:rPr>
      </w:pPr>
      <w:r>
        <w:rPr>
          <w:rFonts w:ascii="Times New Roman" w:hAnsi="Times New Roman"/>
          <w:sz w:val="20"/>
          <w:szCs w:val="20"/>
        </w:rPr>
        <w:t>H3</w:t>
      </w:r>
      <w:r w:rsidR="003E00D3">
        <w:rPr>
          <w:rFonts w:ascii="Times New Roman" w:hAnsi="Times New Roman"/>
          <w:sz w:val="20"/>
          <w:szCs w:val="20"/>
        </w:rPr>
        <w:t>35</w:t>
      </w:r>
      <w:r w:rsidR="00CC6F73">
        <w:rPr>
          <w:rFonts w:ascii="Times New Roman" w:hAnsi="Times New Roman"/>
          <w:sz w:val="20"/>
          <w:szCs w:val="20"/>
        </w:rPr>
        <w:tab/>
        <w:t>May cause respiratory irritation.</w:t>
      </w:r>
    </w:p>
    <w:p w14:paraId="7471F879" w14:textId="77777777" w:rsidR="00910EA2" w:rsidRPr="00015F8E" w:rsidRDefault="00730686" w:rsidP="00AA6AC2">
      <w:pPr>
        <w:spacing w:before="120"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Precautionary Statement(s)</w:t>
      </w:r>
    </w:p>
    <w:p w14:paraId="53563E21" w14:textId="77777777" w:rsidR="00F52825" w:rsidRDefault="00F52825" w:rsidP="00D23B04">
      <w:pPr>
        <w:tabs>
          <w:tab w:val="left" w:pos="22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P210</w:t>
      </w:r>
      <w:r>
        <w:rPr>
          <w:rFonts w:ascii="Times New Roman" w:eastAsia="Times New Roman" w:hAnsi="Times New Roman"/>
          <w:bCs/>
          <w:sz w:val="20"/>
          <w:szCs w:val="20"/>
        </w:rPr>
        <w:tab/>
        <w:t>Keep away from heat.</w:t>
      </w:r>
    </w:p>
    <w:p w14:paraId="2E9A61B7" w14:textId="77777777" w:rsidR="00A62D70" w:rsidRDefault="00A62D70" w:rsidP="00D23B04">
      <w:pPr>
        <w:tabs>
          <w:tab w:val="left" w:pos="22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P220</w:t>
      </w:r>
      <w:r>
        <w:rPr>
          <w:rFonts w:ascii="Times New Roman" w:eastAsia="Times New Roman" w:hAnsi="Times New Roman"/>
          <w:bCs/>
          <w:sz w:val="20"/>
          <w:szCs w:val="20"/>
        </w:rPr>
        <w:tab/>
        <w:t>Keep away from combustible materials.</w:t>
      </w:r>
    </w:p>
    <w:p w14:paraId="73A36844" w14:textId="77777777" w:rsidR="00F52825" w:rsidRDefault="00F52825" w:rsidP="00D23B04">
      <w:pPr>
        <w:tabs>
          <w:tab w:val="left" w:pos="22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P221</w:t>
      </w:r>
      <w:r>
        <w:rPr>
          <w:rFonts w:ascii="Times New Roman" w:eastAsia="Times New Roman" w:hAnsi="Times New Roman"/>
          <w:bCs/>
          <w:sz w:val="20"/>
          <w:szCs w:val="20"/>
        </w:rPr>
        <w:tab/>
        <w:t xml:space="preserve">Take any precaution to avoid mixing with </w:t>
      </w:r>
      <w:r w:rsidR="00A3693C">
        <w:rPr>
          <w:rFonts w:ascii="Times New Roman" w:eastAsia="Times New Roman" w:hAnsi="Times New Roman"/>
          <w:bCs/>
          <w:sz w:val="20"/>
          <w:szCs w:val="20"/>
        </w:rPr>
        <w:t>combustible</w:t>
      </w:r>
      <w:r>
        <w:rPr>
          <w:rFonts w:ascii="Times New Roman" w:eastAsia="Times New Roman" w:hAnsi="Times New Roman"/>
          <w:bCs/>
          <w:sz w:val="20"/>
          <w:szCs w:val="20"/>
        </w:rPr>
        <w:t xml:space="preserve"> or flammable mate</w:t>
      </w:r>
      <w:r w:rsidR="00293C8F">
        <w:rPr>
          <w:rFonts w:ascii="Times New Roman" w:eastAsia="Times New Roman" w:hAnsi="Times New Roman"/>
          <w:bCs/>
          <w:sz w:val="20"/>
          <w:szCs w:val="20"/>
        </w:rPr>
        <w:t>r</w:t>
      </w:r>
      <w:r>
        <w:rPr>
          <w:rFonts w:ascii="Times New Roman" w:eastAsia="Times New Roman" w:hAnsi="Times New Roman"/>
          <w:bCs/>
          <w:sz w:val="20"/>
          <w:szCs w:val="20"/>
        </w:rPr>
        <w:t>ials</w:t>
      </w:r>
      <w:r w:rsidR="00E57A0E">
        <w:rPr>
          <w:rFonts w:ascii="Times New Roman" w:eastAsia="Times New Roman" w:hAnsi="Times New Roman"/>
          <w:bCs/>
          <w:sz w:val="20"/>
          <w:szCs w:val="20"/>
        </w:rPr>
        <w:t>.</w:t>
      </w:r>
    </w:p>
    <w:p w14:paraId="5EE40125" w14:textId="77777777" w:rsidR="00CC6F73" w:rsidRDefault="00CC6F73" w:rsidP="003268DD">
      <w:pPr>
        <w:tabs>
          <w:tab w:val="left" w:pos="22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P261</w:t>
      </w:r>
      <w:r>
        <w:rPr>
          <w:rFonts w:ascii="Times New Roman" w:eastAsia="Times New Roman" w:hAnsi="Times New Roman"/>
          <w:bCs/>
          <w:sz w:val="20"/>
          <w:szCs w:val="20"/>
        </w:rPr>
        <w:tab/>
        <w:t>Avoid breathing dust.</w:t>
      </w:r>
    </w:p>
    <w:p w14:paraId="6C0CDFCD" w14:textId="77777777" w:rsidR="001A628B" w:rsidRDefault="001A628B" w:rsidP="003268DD">
      <w:pPr>
        <w:tabs>
          <w:tab w:val="left" w:pos="22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w:t>
      </w:r>
      <w:r w:rsidR="00CC6F73">
        <w:rPr>
          <w:rFonts w:ascii="Times New Roman" w:eastAsia="Times New Roman" w:hAnsi="Times New Roman"/>
          <w:bCs/>
          <w:sz w:val="20"/>
          <w:szCs w:val="20"/>
        </w:rPr>
        <w:t>264</w:t>
      </w:r>
      <w:r w:rsidR="00CC6F73">
        <w:rPr>
          <w:rFonts w:ascii="Times New Roman" w:eastAsia="Times New Roman" w:hAnsi="Times New Roman"/>
          <w:bCs/>
          <w:sz w:val="20"/>
          <w:szCs w:val="20"/>
        </w:rPr>
        <w:tab/>
        <w:t>Wash hands thoroughly after handling</w:t>
      </w:r>
    </w:p>
    <w:p w14:paraId="44F2A2E0" w14:textId="77777777" w:rsidR="003268DD" w:rsidRDefault="003268DD" w:rsidP="003268DD">
      <w:pPr>
        <w:tabs>
          <w:tab w:val="left" w:pos="22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P271</w:t>
      </w:r>
      <w:r>
        <w:rPr>
          <w:rFonts w:ascii="Times New Roman" w:eastAsia="Times New Roman" w:hAnsi="Times New Roman"/>
          <w:bCs/>
          <w:sz w:val="20"/>
          <w:szCs w:val="20"/>
        </w:rPr>
        <w:tab/>
        <w:t>Use only outdoors or in a well-ventilated area.</w:t>
      </w:r>
    </w:p>
    <w:p w14:paraId="2B5F3854" w14:textId="77777777" w:rsidR="00D23B04" w:rsidRDefault="00D23B04" w:rsidP="00EE7A13">
      <w:pPr>
        <w:tabs>
          <w:tab w:val="left" w:pos="2250"/>
        </w:tabs>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Cs/>
          <w:sz w:val="20"/>
          <w:szCs w:val="20"/>
        </w:rPr>
        <w:t>P280</w:t>
      </w:r>
      <w:r w:rsidRPr="00015F8E">
        <w:rPr>
          <w:rFonts w:ascii="Times New Roman" w:eastAsia="Times New Roman" w:hAnsi="Times New Roman"/>
          <w:bCs/>
          <w:sz w:val="20"/>
          <w:szCs w:val="20"/>
        </w:rPr>
        <w:tab/>
        <w:t xml:space="preserve">Wear </w:t>
      </w:r>
      <w:r>
        <w:rPr>
          <w:rFonts w:ascii="Times New Roman" w:eastAsia="Times New Roman" w:hAnsi="Times New Roman"/>
          <w:bCs/>
          <w:sz w:val="20"/>
          <w:szCs w:val="20"/>
        </w:rPr>
        <w:t>p</w:t>
      </w:r>
      <w:r w:rsidRPr="00015F8E">
        <w:rPr>
          <w:rFonts w:ascii="Times New Roman" w:eastAsia="Times New Roman" w:hAnsi="Times New Roman"/>
          <w:bCs/>
          <w:sz w:val="20"/>
          <w:szCs w:val="20"/>
        </w:rPr>
        <w:t>rotective gloves</w:t>
      </w:r>
      <w:r w:rsidR="004478AB">
        <w:rPr>
          <w:rFonts w:ascii="Times New Roman" w:eastAsia="Times New Roman" w:hAnsi="Times New Roman"/>
          <w:bCs/>
          <w:sz w:val="20"/>
          <w:szCs w:val="20"/>
        </w:rPr>
        <w:t xml:space="preserve">, </w:t>
      </w:r>
      <w:r w:rsidRPr="00015F8E">
        <w:rPr>
          <w:rFonts w:ascii="Times New Roman" w:eastAsia="Times New Roman" w:hAnsi="Times New Roman"/>
          <w:bCs/>
          <w:sz w:val="20"/>
          <w:szCs w:val="20"/>
        </w:rPr>
        <w:t>protective clothing</w:t>
      </w:r>
      <w:r w:rsidR="004478AB">
        <w:rPr>
          <w:rFonts w:ascii="Times New Roman" w:eastAsia="Times New Roman" w:hAnsi="Times New Roman"/>
          <w:bCs/>
          <w:sz w:val="20"/>
          <w:szCs w:val="20"/>
        </w:rPr>
        <w:t xml:space="preserve">, and </w:t>
      </w:r>
      <w:r w:rsidRPr="00015F8E">
        <w:rPr>
          <w:rFonts w:ascii="Times New Roman" w:eastAsia="Times New Roman" w:hAnsi="Times New Roman"/>
          <w:bCs/>
          <w:sz w:val="20"/>
          <w:szCs w:val="20"/>
        </w:rPr>
        <w:t>eye protection.</w:t>
      </w:r>
    </w:p>
    <w:tbl>
      <w:tblPr>
        <w:tblStyle w:val="TableGrid"/>
        <w:tblW w:w="892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252"/>
      </w:tblGrid>
      <w:tr w:rsidR="00CC6F73" w:rsidRPr="00CC6F73" w14:paraId="062BAAE1" w14:textId="77777777" w:rsidTr="005737CD">
        <w:tc>
          <w:tcPr>
            <w:tcW w:w="1676" w:type="dxa"/>
          </w:tcPr>
          <w:p w14:paraId="7F00B6E5" w14:textId="55DED957" w:rsidR="00CC6F73" w:rsidRPr="00CC6F73" w:rsidRDefault="00CC6F73" w:rsidP="00CC6F73">
            <w:pPr>
              <w:widowControl/>
              <w:spacing w:after="0" w:line="240" w:lineRule="auto"/>
              <w:ind w:left="-108"/>
              <w:jc w:val="both"/>
              <w:rPr>
                <w:rFonts w:ascii="Times New Roman" w:eastAsia="Times New Roman" w:hAnsi="Times New Roman"/>
                <w:bCs/>
                <w:sz w:val="20"/>
                <w:szCs w:val="20"/>
              </w:rPr>
            </w:pPr>
          </w:p>
        </w:tc>
        <w:tc>
          <w:tcPr>
            <w:tcW w:w="7252" w:type="dxa"/>
          </w:tcPr>
          <w:p w14:paraId="59755ADD" w14:textId="2F5427DD" w:rsidR="00CC6F73" w:rsidRPr="00CC6F73" w:rsidRDefault="00CC6F73" w:rsidP="00CC6F73">
            <w:pPr>
              <w:widowControl/>
              <w:spacing w:after="0" w:line="240" w:lineRule="auto"/>
              <w:ind w:left="106"/>
              <w:jc w:val="both"/>
              <w:rPr>
                <w:rFonts w:ascii="Times New Roman" w:eastAsia="Times New Roman" w:hAnsi="Times New Roman"/>
                <w:bCs/>
                <w:sz w:val="20"/>
                <w:szCs w:val="20"/>
              </w:rPr>
            </w:pPr>
          </w:p>
        </w:tc>
      </w:tr>
    </w:tbl>
    <w:p w14:paraId="4756E2E8" w14:textId="663C670C" w:rsidR="003268DD" w:rsidRDefault="003268DD" w:rsidP="00806B31">
      <w:pPr>
        <w:tabs>
          <w:tab w:val="left" w:pos="22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P304+</w:t>
      </w:r>
      <w:r w:rsidR="00305987">
        <w:rPr>
          <w:rFonts w:ascii="Times New Roman" w:eastAsia="Times New Roman" w:hAnsi="Times New Roman"/>
          <w:bCs/>
          <w:sz w:val="20"/>
          <w:szCs w:val="20"/>
        </w:rPr>
        <w:t>P</w:t>
      </w:r>
      <w:r>
        <w:rPr>
          <w:rFonts w:ascii="Times New Roman" w:eastAsia="Times New Roman" w:hAnsi="Times New Roman"/>
          <w:bCs/>
          <w:sz w:val="20"/>
          <w:szCs w:val="20"/>
        </w:rPr>
        <w:t>340</w:t>
      </w:r>
      <w:r>
        <w:rPr>
          <w:rFonts w:ascii="Times New Roman" w:eastAsia="Times New Roman" w:hAnsi="Times New Roman"/>
          <w:bCs/>
          <w:sz w:val="20"/>
          <w:szCs w:val="20"/>
        </w:rPr>
        <w:tab/>
        <w:t xml:space="preserve">If inhaled:  Remove </w:t>
      </w:r>
      <w:r w:rsidR="00236BED">
        <w:rPr>
          <w:rFonts w:ascii="Times New Roman" w:eastAsia="Times New Roman" w:hAnsi="Times New Roman"/>
          <w:bCs/>
          <w:sz w:val="20"/>
          <w:szCs w:val="20"/>
        </w:rPr>
        <w:t xml:space="preserve">person </w:t>
      </w:r>
      <w:r>
        <w:rPr>
          <w:rFonts w:ascii="Times New Roman" w:eastAsia="Times New Roman" w:hAnsi="Times New Roman"/>
          <w:bCs/>
          <w:sz w:val="20"/>
          <w:szCs w:val="20"/>
        </w:rPr>
        <w:t>to fresh air and keep comfortable for</w:t>
      </w:r>
      <w:r w:rsidR="00A112FF">
        <w:rPr>
          <w:rFonts w:ascii="Times New Roman" w:eastAsia="Times New Roman" w:hAnsi="Times New Roman"/>
          <w:bCs/>
          <w:sz w:val="20"/>
          <w:szCs w:val="20"/>
        </w:rPr>
        <w:t xml:space="preserve"> </w:t>
      </w:r>
      <w:r>
        <w:rPr>
          <w:rFonts w:ascii="Times New Roman" w:eastAsia="Times New Roman" w:hAnsi="Times New Roman"/>
          <w:bCs/>
          <w:sz w:val="20"/>
          <w:szCs w:val="20"/>
        </w:rPr>
        <w:t>breathing.</w:t>
      </w:r>
    </w:p>
    <w:p w14:paraId="6B4BB040" w14:textId="364A3756" w:rsidR="00CC6F73" w:rsidRDefault="00CC6F73" w:rsidP="003E1DDF">
      <w:pPr>
        <w:tabs>
          <w:tab w:val="left" w:pos="2250"/>
        </w:tabs>
        <w:spacing w:after="0" w:line="240" w:lineRule="auto"/>
        <w:ind w:left="360"/>
        <w:jc w:val="both"/>
        <w:rPr>
          <w:rFonts w:ascii="Times New Roman" w:eastAsia="Times New Roman" w:hAnsi="Times New Roman"/>
          <w:bCs/>
          <w:sz w:val="20"/>
          <w:szCs w:val="20"/>
        </w:rPr>
      </w:pPr>
      <w:r w:rsidRPr="00CC6F73">
        <w:rPr>
          <w:rFonts w:ascii="Times New Roman" w:eastAsia="Times New Roman" w:hAnsi="Times New Roman"/>
          <w:bCs/>
          <w:sz w:val="20"/>
          <w:szCs w:val="20"/>
        </w:rPr>
        <w:t>P305+P351+P338</w:t>
      </w:r>
      <w:r w:rsidRPr="00CC6F73">
        <w:rPr>
          <w:rFonts w:ascii="Times New Roman" w:eastAsia="Times New Roman" w:hAnsi="Times New Roman"/>
          <w:bCs/>
          <w:sz w:val="20"/>
          <w:szCs w:val="20"/>
        </w:rPr>
        <w:tab/>
      </w:r>
      <w:r>
        <w:rPr>
          <w:rFonts w:ascii="Times New Roman" w:eastAsia="Times New Roman" w:hAnsi="Times New Roman"/>
          <w:bCs/>
          <w:sz w:val="20"/>
          <w:szCs w:val="20"/>
        </w:rPr>
        <w:t>If in eyes</w:t>
      </w:r>
      <w:r w:rsidRPr="00CC6F73">
        <w:rPr>
          <w:rFonts w:ascii="Times New Roman" w:eastAsia="Times New Roman" w:hAnsi="Times New Roman"/>
          <w:bCs/>
          <w:sz w:val="20"/>
          <w:szCs w:val="20"/>
        </w:rPr>
        <w:t>:  Rinse cautiously with water for several minutes.  Remove contact lenses if</w:t>
      </w:r>
      <w:r w:rsidR="003268DD">
        <w:rPr>
          <w:rFonts w:ascii="Times New Roman" w:eastAsia="Times New Roman" w:hAnsi="Times New Roman"/>
          <w:bCs/>
          <w:sz w:val="20"/>
          <w:szCs w:val="20"/>
        </w:rPr>
        <w:tab/>
      </w:r>
      <w:r w:rsidRPr="00CC6F73">
        <w:rPr>
          <w:rFonts w:ascii="Times New Roman" w:eastAsia="Times New Roman" w:hAnsi="Times New Roman"/>
          <w:bCs/>
          <w:sz w:val="20"/>
          <w:szCs w:val="20"/>
        </w:rPr>
        <w:t>present and easy to do.  Continue rinsing.</w:t>
      </w:r>
    </w:p>
    <w:p w14:paraId="594BA55B" w14:textId="77777777" w:rsidR="00037460" w:rsidRPr="00CC6F73" w:rsidRDefault="00037460" w:rsidP="003E1DDF">
      <w:pPr>
        <w:tabs>
          <w:tab w:val="left" w:pos="2250"/>
        </w:tabs>
        <w:spacing w:after="0" w:line="240" w:lineRule="auto"/>
        <w:ind w:left="360"/>
        <w:jc w:val="both"/>
        <w:rPr>
          <w:rFonts w:ascii="Times New Roman" w:eastAsia="Times New Roman" w:hAnsi="Times New Roman"/>
          <w:bCs/>
          <w:sz w:val="20"/>
          <w:szCs w:val="20"/>
        </w:rPr>
      </w:pPr>
    </w:p>
    <w:p w14:paraId="46138952" w14:textId="1A00DCC6" w:rsidR="00037460" w:rsidRDefault="00037460" w:rsidP="00EE7A13">
      <w:pPr>
        <w:tabs>
          <w:tab w:val="left" w:pos="2250"/>
        </w:tabs>
        <w:spacing w:after="12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lastRenderedPageBreak/>
        <w:t>P312</w:t>
      </w:r>
      <w:r>
        <w:rPr>
          <w:rFonts w:ascii="Times New Roman" w:eastAsia="Times New Roman" w:hAnsi="Times New Roman"/>
          <w:bCs/>
          <w:sz w:val="20"/>
          <w:szCs w:val="20"/>
        </w:rPr>
        <w:tab/>
        <w:t xml:space="preserve">Call a </w:t>
      </w:r>
      <w:r w:rsidR="00D84537">
        <w:rPr>
          <w:rFonts w:ascii="Times New Roman" w:eastAsia="Times New Roman" w:hAnsi="Times New Roman"/>
          <w:bCs/>
          <w:sz w:val="20"/>
          <w:szCs w:val="20"/>
        </w:rPr>
        <w:t xml:space="preserve">poison center or </w:t>
      </w:r>
      <w:r>
        <w:rPr>
          <w:rFonts w:ascii="Times New Roman" w:eastAsia="Times New Roman" w:hAnsi="Times New Roman"/>
          <w:bCs/>
          <w:sz w:val="20"/>
          <w:szCs w:val="20"/>
        </w:rPr>
        <w:t>doctor if you feel unwell.</w:t>
      </w:r>
    </w:p>
    <w:p w14:paraId="51B57C83" w14:textId="77777777" w:rsidR="00CC6F73" w:rsidRDefault="00CC6F73" w:rsidP="00EE7A13">
      <w:pPr>
        <w:tabs>
          <w:tab w:val="left" w:pos="2250"/>
        </w:tabs>
        <w:spacing w:after="12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P337+P313</w:t>
      </w:r>
      <w:r>
        <w:rPr>
          <w:rFonts w:ascii="Times New Roman" w:eastAsia="Times New Roman" w:hAnsi="Times New Roman"/>
          <w:bCs/>
          <w:sz w:val="20"/>
          <w:szCs w:val="20"/>
        </w:rPr>
        <w:tab/>
      </w:r>
      <w:proofErr w:type="gramStart"/>
      <w:r>
        <w:rPr>
          <w:rFonts w:ascii="Times New Roman" w:eastAsia="Times New Roman" w:hAnsi="Times New Roman"/>
          <w:bCs/>
          <w:sz w:val="20"/>
          <w:szCs w:val="20"/>
        </w:rPr>
        <w:t>If</w:t>
      </w:r>
      <w:proofErr w:type="gramEnd"/>
      <w:r>
        <w:rPr>
          <w:rFonts w:ascii="Times New Roman" w:eastAsia="Times New Roman" w:hAnsi="Times New Roman"/>
          <w:bCs/>
          <w:sz w:val="20"/>
          <w:szCs w:val="20"/>
        </w:rPr>
        <w:t xml:space="preserve"> eye irritation persists: Get medical attention</w:t>
      </w:r>
    </w:p>
    <w:p w14:paraId="61E82D27" w14:textId="77777777" w:rsidR="003E1DDF" w:rsidRDefault="003E1DDF" w:rsidP="00037460">
      <w:pPr>
        <w:tabs>
          <w:tab w:val="left" w:pos="22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P403+P233</w:t>
      </w:r>
      <w:r>
        <w:rPr>
          <w:rFonts w:ascii="Times New Roman" w:eastAsia="Times New Roman" w:hAnsi="Times New Roman"/>
          <w:bCs/>
          <w:sz w:val="20"/>
          <w:szCs w:val="20"/>
        </w:rPr>
        <w:tab/>
        <w:t>Store in a well-ventilated place.  Keep container tightly closed.</w:t>
      </w:r>
    </w:p>
    <w:p w14:paraId="0617E8FC" w14:textId="5E51D008" w:rsidR="00037460" w:rsidRDefault="00037460" w:rsidP="003E1DDF">
      <w:pPr>
        <w:tabs>
          <w:tab w:val="left" w:pos="2250"/>
        </w:tabs>
        <w:spacing w:after="12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P405</w:t>
      </w:r>
      <w:r>
        <w:rPr>
          <w:rFonts w:ascii="Times New Roman" w:eastAsia="Times New Roman" w:hAnsi="Times New Roman"/>
          <w:bCs/>
          <w:sz w:val="20"/>
          <w:szCs w:val="20"/>
        </w:rPr>
        <w:tab/>
        <w:t>Store locked up.</w:t>
      </w:r>
    </w:p>
    <w:p w14:paraId="23190CCF" w14:textId="2D1D3F72" w:rsidR="003375EA" w:rsidRPr="00A45A14" w:rsidRDefault="003375EA" w:rsidP="00037080">
      <w:pPr>
        <w:tabs>
          <w:tab w:val="left" w:pos="2250"/>
        </w:tabs>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Cs/>
          <w:sz w:val="20"/>
          <w:szCs w:val="20"/>
        </w:rPr>
        <w:t>P501</w:t>
      </w:r>
      <w:r w:rsidRPr="00015F8E">
        <w:rPr>
          <w:rFonts w:ascii="Times New Roman" w:eastAsia="Times New Roman" w:hAnsi="Times New Roman"/>
          <w:bCs/>
          <w:sz w:val="20"/>
          <w:szCs w:val="20"/>
        </w:rPr>
        <w:tab/>
        <w:t xml:space="preserve">Dispose of contents </w:t>
      </w:r>
      <w:r w:rsidR="00236BED">
        <w:rPr>
          <w:rFonts w:ascii="Times New Roman" w:eastAsia="Times New Roman" w:hAnsi="Times New Roman"/>
          <w:bCs/>
          <w:sz w:val="20"/>
          <w:szCs w:val="20"/>
        </w:rPr>
        <w:t xml:space="preserve">and container </w:t>
      </w:r>
      <w:r w:rsidRPr="00015F8E">
        <w:rPr>
          <w:rFonts w:ascii="Times New Roman" w:eastAsia="Times New Roman" w:hAnsi="Times New Roman"/>
          <w:bCs/>
          <w:sz w:val="20"/>
          <w:szCs w:val="20"/>
        </w:rPr>
        <w:t xml:space="preserve">according </w:t>
      </w:r>
      <w:r w:rsidR="00910CEA">
        <w:rPr>
          <w:rFonts w:ascii="Times New Roman" w:eastAsia="Times New Roman" w:hAnsi="Times New Roman"/>
          <w:bCs/>
          <w:sz w:val="20"/>
          <w:szCs w:val="20"/>
        </w:rPr>
        <w:t>to</w:t>
      </w:r>
      <w:r w:rsidR="00910CEA" w:rsidRPr="00015F8E">
        <w:rPr>
          <w:rFonts w:ascii="Times New Roman" w:eastAsia="Times New Roman" w:hAnsi="Times New Roman"/>
          <w:bCs/>
          <w:sz w:val="20"/>
          <w:szCs w:val="20"/>
        </w:rPr>
        <w:t xml:space="preserve"> </w:t>
      </w:r>
      <w:r w:rsidRPr="00015F8E">
        <w:rPr>
          <w:rFonts w:ascii="Times New Roman" w:eastAsia="Times New Roman" w:hAnsi="Times New Roman"/>
          <w:bCs/>
          <w:sz w:val="20"/>
          <w:szCs w:val="20"/>
        </w:rPr>
        <w:t>local regulations.</w:t>
      </w:r>
    </w:p>
    <w:p w14:paraId="130D1A4C" w14:textId="77777777" w:rsidR="002B22C8" w:rsidRPr="00BF72CB" w:rsidRDefault="00910EA2" w:rsidP="006D24D9">
      <w:pPr>
        <w:spacing w:before="120" w:after="120" w:line="240" w:lineRule="auto"/>
        <w:ind w:left="360"/>
        <w:jc w:val="both"/>
        <w:rPr>
          <w:rFonts w:ascii="Times New Roman" w:eastAsia="Times New Roman" w:hAnsi="Times New Roman"/>
          <w:b/>
          <w:bCs/>
          <w:sz w:val="20"/>
          <w:szCs w:val="20"/>
        </w:rPr>
      </w:pPr>
      <w:r w:rsidRPr="00BF72CB">
        <w:rPr>
          <w:rFonts w:ascii="Times New Roman" w:eastAsia="Times New Roman" w:hAnsi="Times New Roman"/>
          <w:b/>
          <w:bCs/>
          <w:sz w:val="20"/>
          <w:szCs w:val="20"/>
        </w:rPr>
        <w:t>Hazards Not Otherwise Classified:</w:t>
      </w:r>
      <w:r w:rsidR="00971EDC" w:rsidRPr="00BF72CB">
        <w:rPr>
          <w:rFonts w:ascii="Times New Roman" w:eastAsia="Times New Roman" w:hAnsi="Times New Roman"/>
          <w:bCs/>
          <w:sz w:val="20"/>
          <w:szCs w:val="20"/>
        </w:rPr>
        <w:t xml:space="preserve">  </w:t>
      </w:r>
      <w:r w:rsidR="00743478">
        <w:rPr>
          <w:rFonts w:ascii="Times New Roman" w:eastAsia="Times New Roman" w:hAnsi="Times New Roman"/>
          <w:bCs/>
          <w:sz w:val="20"/>
          <w:szCs w:val="20"/>
        </w:rPr>
        <w:t>Not applicable</w:t>
      </w:r>
      <w:r w:rsidR="00EF4006">
        <w:rPr>
          <w:rFonts w:ascii="Times New Roman" w:eastAsia="Times New Roman" w:hAnsi="Times New Roman"/>
          <w:bCs/>
          <w:sz w:val="20"/>
          <w:szCs w:val="20"/>
        </w:rPr>
        <w:t>.</w:t>
      </w:r>
    </w:p>
    <w:p w14:paraId="78B698D1" w14:textId="77777777" w:rsidR="005F0733" w:rsidRDefault="00910EA2" w:rsidP="005C65B1">
      <w:pPr>
        <w:tabs>
          <w:tab w:val="left" w:pos="2740"/>
          <w:tab w:val="left" w:pos="4540"/>
          <w:tab w:val="left" w:pos="6340"/>
        </w:tabs>
        <w:spacing w:before="120" w:after="120" w:line="240" w:lineRule="auto"/>
        <w:ind w:left="360"/>
        <w:jc w:val="both"/>
        <w:rPr>
          <w:rFonts w:ascii="Times New Roman" w:eastAsia="Times New Roman" w:hAnsi="Times New Roman"/>
          <w:b/>
          <w:bCs/>
          <w:sz w:val="20"/>
          <w:szCs w:val="20"/>
        </w:rPr>
      </w:pPr>
      <w:r w:rsidRPr="00BF72CB">
        <w:rPr>
          <w:rFonts w:ascii="Times New Roman" w:eastAsia="Times New Roman" w:hAnsi="Times New Roman"/>
          <w:b/>
          <w:bCs/>
          <w:sz w:val="20"/>
          <w:szCs w:val="20"/>
        </w:rPr>
        <w:t>Ingredients(s) with Unknown Acute Toxicity</w:t>
      </w:r>
      <w:r w:rsidR="00971EDC" w:rsidRPr="00BF72CB">
        <w:rPr>
          <w:rFonts w:ascii="Times New Roman" w:eastAsia="Times New Roman" w:hAnsi="Times New Roman"/>
          <w:b/>
          <w:bCs/>
          <w:sz w:val="20"/>
          <w:szCs w:val="20"/>
        </w:rPr>
        <w:t>:</w:t>
      </w:r>
      <w:r w:rsidR="00971EDC" w:rsidRPr="00BF72CB">
        <w:rPr>
          <w:rFonts w:ascii="Times New Roman" w:eastAsia="Times New Roman" w:hAnsi="Times New Roman"/>
          <w:bCs/>
          <w:sz w:val="20"/>
          <w:szCs w:val="20"/>
        </w:rPr>
        <w:t xml:space="preserve">  </w:t>
      </w:r>
      <w:r w:rsidR="00743478">
        <w:rPr>
          <w:rFonts w:ascii="Times New Roman" w:eastAsia="Times New Roman" w:hAnsi="Times New Roman"/>
          <w:bCs/>
          <w:sz w:val="20"/>
          <w:szCs w:val="20"/>
        </w:rPr>
        <w:t>Not applicable</w:t>
      </w:r>
      <w:r w:rsidR="00EF4006">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0B884A31" w14:textId="77777777" w:rsidTr="00371ED3">
        <w:trPr>
          <w:trHeight w:hRule="exact" w:val="360"/>
        </w:trPr>
        <w:tc>
          <w:tcPr>
            <w:tcW w:w="9576" w:type="dxa"/>
            <w:vAlign w:val="center"/>
          </w:tcPr>
          <w:p w14:paraId="10118782" w14:textId="77777777" w:rsidR="00371ED3" w:rsidRPr="00A91680" w:rsidRDefault="00371ED3" w:rsidP="00A00A2B">
            <w:pPr>
              <w:keepNext/>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0692E39D" w14:textId="77777777" w:rsidR="00BB0995" w:rsidRPr="002B2021" w:rsidRDefault="00BB0995" w:rsidP="00783F68">
      <w:pPr>
        <w:tabs>
          <w:tab w:val="left" w:pos="5440"/>
        </w:tabs>
        <w:spacing w:before="120" w:after="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z w:val="20"/>
          <w:szCs w:val="20"/>
        </w:rPr>
        <w:t>Sub</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nce:</w:t>
      </w:r>
      <w:r w:rsidRPr="00455695">
        <w:rPr>
          <w:rFonts w:ascii="Times New Roman" w:eastAsia="Times New Roman" w:hAnsi="Times New Roman"/>
          <w:bCs/>
          <w:spacing w:val="1"/>
          <w:sz w:val="20"/>
          <w:szCs w:val="20"/>
        </w:rPr>
        <w:t xml:space="preserve"> </w:t>
      </w:r>
      <w:r w:rsidR="00DC0227" w:rsidRPr="00455695">
        <w:rPr>
          <w:rFonts w:ascii="Times New Roman" w:eastAsia="Times New Roman" w:hAnsi="Times New Roman"/>
          <w:bCs/>
          <w:spacing w:val="1"/>
          <w:sz w:val="20"/>
          <w:szCs w:val="20"/>
        </w:rPr>
        <w:t xml:space="preserve"> </w:t>
      </w:r>
      <w:r w:rsidR="00981BDB">
        <w:rPr>
          <w:rFonts w:ascii="Times New Roman" w:eastAsia="Times New Roman" w:hAnsi="Times New Roman"/>
          <w:bCs/>
          <w:spacing w:val="1"/>
          <w:sz w:val="20"/>
          <w:szCs w:val="20"/>
        </w:rPr>
        <w:t>Potassium nitrate</w:t>
      </w:r>
    </w:p>
    <w:p w14:paraId="4C32BF26" w14:textId="77777777" w:rsidR="00DC0227" w:rsidRPr="00455695" w:rsidRDefault="00BB0995" w:rsidP="00DC0227">
      <w:pPr>
        <w:tabs>
          <w:tab w:val="left" w:pos="5440"/>
        </w:tabs>
        <w:spacing w:before="120" w:after="0" w:line="240" w:lineRule="auto"/>
        <w:jc w:val="both"/>
        <w:rPr>
          <w:rFonts w:ascii="Times New Roman" w:eastAsia="Times New Roman" w:hAnsi="Times New Roman"/>
          <w:spacing w:val="-1"/>
          <w:sz w:val="20"/>
          <w:szCs w:val="20"/>
        </w:rPr>
      </w:pPr>
      <w:r w:rsidRPr="00455695">
        <w:rPr>
          <w:rFonts w:ascii="Times New Roman" w:eastAsia="Times New Roman" w:hAnsi="Times New Roman"/>
          <w:b/>
          <w:bCs/>
          <w:spacing w:val="1"/>
          <w:sz w:val="20"/>
          <w:szCs w:val="20"/>
        </w:rPr>
        <w:t>Ot</w:t>
      </w:r>
      <w:r w:rsidRPr="00455695">
        <w:rPr>
          <w:rFonts w:ascii="Times New Roman" w:eastAsia="Times New Roman" w:hAnsi="Times New Roman"/>
          <w:b/>
          <w:bCs/>
          <w:sz w:val="20"/>
          <w:szCs w:val="20"/>
        </w:rPr>
        <w:t>her</w:t>
      </w:r>
      <w:r w:rsidRPr="00455695">
        <w:rPr>
          <w:rFonts w:ascii="Times New Roman" w:eastAsia="Times New Roman" w:hAnsi="Times New Roman"/>
          <w:b/>
          <w:bCs/>
          <w:spacing w:val="13"/>
          <w:sz w:val="20"/>
          <w:szCs w:val="20"/>
        </w:rPr>
        <w:t xml:space="preserve"> </w:t>
      </w:r>
      <w:r w:rsidRPr="00455695">
        <w:rPr>
          <w:rFonts w:ascii="Times New Roman" w:eastAsia="Times New Roman" w:hAnsi="Times New Roman"/>
          <w:b/>
          <w:bCs/>
          <w:sz w:val="20"/>
          <w:szCs w:val="20"/>
        </w:rPr>
        <w:t>De</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s:</w:t>
      </w:r>
    </w:p>
    <w:p w14:paraId="51DBE8B9" w14:textId="77777777" w:rsidR="00BB0995" w:rsidRPr="00D1090B" w:rsidRDefault="001930E9" w:rsidP="00D1090B">
      <w:pPr>
        <w:widowControl/>
        <w:tabs>
          <w:tab w:val="left" w:pos="270"/>
        </w:tabs>
        <w:overflowPunct w:val="0"/>
        <w:autoSpaceDE w:val="0"/>
        <w:autoSpaceDN w:val="0"/>
        <w:adjustRightInd w:val="0"/>
        <w:spacing w:after="0" w:line="240" w:lineRule="auto"/>
        <w:textAlignment w:val="baseline"/>
        <w:rPr>
          <w:rFonts w:ascii="Times New Roman" w:eastAsia="Times New Roman" w:hAnsi="Times New Roman"/>
          <w:b/>
          <w:bCs/>
          <w:spacing w:val="1"/>
          <w:sz w:val="20"/>
          <w:szCs w:val="20"/>
        </w:rPr>
      </w:pPr>
      <w:r w:rsidRPr="001930E9">
        <w:rPr>
          <w:rFonts w:ascii="Times New Roman" w:eastAsia="Times New Roman" w:hAnsi="Times New Roman"/>
          <w:b/>
          <w:bCs/>
          <w:sz w:val="20"/>
          <w:szCs w:val="20"/>
          <w:lang w:val="pt-BR"/>
        </w:rPr>
        <w:tab/>
      </w:r>
      <w:r w:rsidR="00D1090B" w:rsidRPr="00D1090B">
        <w:rPr>
          <w:rFonts w:ascii="Times New Roman" w:hAnsi="Times New Roman"/>
          <w:sz w:val="20"/>
          <w:szCs w:val="20"/>
        </w:rPr>
        <w:t>Nitric acid potassium salt; saltpeter; KNO</w:t>
      </w:r>
      <w:r w:rsidR="00D1090B" w:rsidRPr="00D1090B">
        <w:rPr>
          <w:rFonts w:ascii="Times New Roman" w:hAnsi="Times New Roman"/>
          <w:sz w:val="20"/>
          <w:szCs w:val="20"/>
          <w:vertAlign w:val="subscript"/>
        </w:rPr>
        <w:t>3</w:t>
      </w:r>
    </w:p>
    <w:p w14:paraId="7C7BEBD4" w14:textId="77777777" w:rsidR="00037080" w:rsidRDefault="00661CCC" w:rsidP="00897F09">
      <w:pPr>
        <w:spacing w:before="120" w:after="120" w:line="240" w:lineRule="auto"/>
        <w:jc w:val="both"/>
        <w:rPr>
          <w:rFonts w:ascii="Times New Roman" w:eastAsia="Times New Roman" w:hAnsi="Times New Roman"/>
          <w:spacing w:val="1"/>
          <w:sz w:val="20"/>
          <w:szCs w:val="20"/>
        </w:rPr>
      </w:pPr>
      <w:r w:rsidRPr="00455695">
        <w:rPr>
          <w:rFonts w:ascii="Times New Roman" w:eastAsia="Times New Roman" w:hAnsi="Times New Roman"/>
          <w:spacing w:val="1"/>
          <w:sz w:val="20"/>
          <w:szCs w:val="20"/>
        </w:rPr>
        <w:t>Components are listed in compliance with OSHA’s 29</w:t>
      </w:r>
      <w:r w:rsidR="00E858F7">
        <w:rPr>
          <w:rFonts w:ascii="Times New Roman" w:eastAsia="Times New Roman" w:hAnsi="Times New Roman"/>
          <w:spacing w:val="1"/>
          <w:sz w:val="20"/>
          <w:szCs w:val="20"/>
        </w:rPr>
        <w:t> </w:t>
      </w:r>
      <w:r w:rsidRPr="00455695">
        <w:rPr>
          <w:rFonts w:ascii="Times New Roman" w:eastAsia="Times New Roman" w:hAnsi="Times New Roman"/>
          <w:spacing w:val="1"/>
          <w:sz w:val="20"/>
          <w:szCs w:val="20"/>
        </w:rPr>
        <w:t>CFR</w:t>
      </w:r>
      <w:r w:rsidR="00E858F7">
        <w:rPr>
          <w:rFonts w:ascii="Times New Roman" w:eastAsia="Times New Roman" w:hAnsi="Times New Roman"/>
          <w:spacing w:val="1"/>
          <w:sz w:val="20"/>
          <w:szCs w:val="20"/>
        </w:rPr>
        <w:t> </w:t>
      </w:r>
      <w:r w:rsidRPr="00455695">
        <w:rPr>
          <w:rFonts w:ascii="Times New Roman" w:eastAsia="Times New Roman" w:hAnsi="Times New Roman"/>
          <w:spacing w:val="1"/>
          <w:sz w:val="20"/>
          <w:szCs w:val="20"/>
        </w:rPr>
        <w:t>1910.1200;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5975CD">
        <w:rPr>
          <w:rFonts w:ascii="Times New Roman" w:eastAsia="Times New Roman" w:hAnsi="Times New Roman"/>
          <w:sz w:val="20"/>
          <w:szCs w:val="20"/>
        </w:rPr>
        <w:t>Report</w:t>
      </w:r>
      <w:r w:rsidR="005975CD" w:rsidRPr="00455695">
        <w:rPr>
          <w:rFonts w:ascii="Times New Roman" w:eastAsia="Times New Roman" w:hAnsi="Times New Roman"/>
          <w:sz w:val="20"/>
          <w:szCs w:val="20"/>
        </w:rPr>
        <w:t xml:space="preserv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005975CD">
        <w:rPr>
          <w:rFonts w:ascii="Times New Roman" w:eastAsia="Times New Roman" w:hAnsi="Times New Roman"/>
          <w:spacing w:val="-3"/>
          <w:sz w:val="20"/>
          <w:szCs w:val="20"/>
        </w:rPr>
        <w:t>Investigation</w:t>
      </w:r>
      <w:r w:rsidRPr="00455695">
        <w:rPr>
          <w:rFonts w:ascii="Times New Roman" w:eastAsia="Times New Roman" w:hAnsi="Times New Roman"/>
          <w:sz w:val="20"/>
          <w:szCs w:val="20"/>
        </w:rPr>
        <w:t>.</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710"/>
        <w:gridCol w:w="1710"/>
        <w:gridCol w:w="2880"/>
      </w:tblGrid>
      <w:tr w:rsidR="00037080" w:rsidRPr="00037080" w14:paraId="128AFDC2" w14:textId="77777777" w:rsidTr="003142CE">
        <w:trPr>
          <w:trHeight w:val="576"/>
        </w:trPr>
        <w:tc>
          <w:tcPr>
            <w:tcW w:w="2988" w:type="dxa"/>
          </w:tcPr>
          <w:p w14:paraId="39131010" w14:textId="77777777" w:rsidR="00037080" w:rsidRPr="00037080" w:rsidRDefault="00037080" w:rsidP="003142CE">
            <w:pPr>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10" w:type="dxa"/>
          </w:tcPr>
          <w:p w14:paraId="2B5C0CF5" w14:textId="77777777" w:rsidR="00037080" w:rsidRPr="00037080" w:rsidRDefault="00037080" w:rsidP="000062AB">
            <w:pPr>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1710" w:type="dxa"/>
          </w:tcPr>
          <w:p w14:paraId="0569D000" w14:textId="77777777" w:rsidR="00037080" w:rsidRPr="00037080" w:rsidRDefault="00037080" w:rsidP="00037080">
            <w:pPr>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475D3DEE" w14:textId="77777777" w:rsidR="00037080" w:rsidRPr="00037080" w:rsidRDefault="00037080" w:rsidP="00037080">
            <w:pPr>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5F1DBA90" w14:textId="77777777" w:rsidR="00037080" w:rsidRPr="00037080" w:rsidRDefault="00037080" w:rsidP="00037080">
            <w:pPr>
              <w:spacing w:after="0" w:line="240" w:lineRule="auto"/>
              <w:jc w:val="center"/>
              <w:rPr>
                <w:rFonts w:ascii="Times New Roman" w:eastAsia="Times New Roman" w:hAnsi="Times New Roman"/>
                <w:b/>
                <w:bCs/>
                <w:sz w:val="20"/>
                <w:szCs w:val="20"/>
              </w:rPr>
            </w:pP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in</w:t>
            </w:r>
            <w:r w:rsidRPr="00037080">
              <w:rPr>
                <w:rFonts w:ascii="Times New Roman" w:eastAsia="Times New Roman" w:hAnsi="Times New Roman"/>
                <w:b/>
                <w:bCs/>
                <w:spacing w:val="1"/>
                <w:sz w:val="20"/>
                <w:szCs w:val="20"/>
              </w:rPr>
              <w:t>a</w:t>
            </w:r>
            <w:r w:rsidRPr="00037080">
              <w:rPr>
                <w:rFonts w:ascii="Times New Roman" w:eastAsia="Times New Roman" w:hAnsi="Times New Roman"/>
                <w:b/>
                <w:bCs/>
                <w:sz w:val="20"/>
                <w:szCs w:val="20"/>
              </w:rPr>
              <w:t>l</w:t>
            </w:r>
            <w:r w:rsidRPr="00037080">
              <w:rPr>
                <w:rFonts w:ascii="Times New Roman" w:eastAsia="Times New Roman" w:hAnsi="Times New Roman"/>
                <w:b/>
                <w:bCs/>
                <w:spacing w:val="-7"/>
                <w:sz w:val="20"/>
                <w:szCs w:val="20"/>
              </w:rPr>
              <w:t xml:space="preserve"> </w:t>
            </w:r>
            <w:r w:rsidRPr="00037080">
              <w:rPr>
                <w:rFonts w:ascii="Times New Roman" w:eastAsia="Times New Roman" w:hAnsi="Times New Roman"/>
                <w:b/>
                <w:bCs/>
                <w:spacing w:val="4"/>
                <w:sz w:val="20"/>
                <w:szCs w:val="20"/>
              </w:rPr>
              <w:t>M</w:t>
            </w:r>
            <w:r w:rsidRPr="00037080">
              <w:rPr>
                <w:rFonts w:ascii="Times New Roman" w:eastAsia="Times New Roman" w:hAnsi="Times New Roman"/>
                <w:b/>
                <w:bCs/>
                <w:spacing w:val="1"/>
                <w:sz w:val="20"/>
                <w:szCs w:val="20"/>
              </w:rPr>
              <w:t>a</w:t>
            </w:r>
            <w:r w:rsidRPr="00037080">
              <w:rPr>
                <w:rFonts w:ascii="Times New Roman" w:eastAsia="Times New Roman" w:hAnsi="Times New Roman"/>
                <w:b/>
                <w:bCs/>
                <w:spacing w:val="-1"/>
                <w:sz w:val="20"/>
                <w:szCs w:val="20"/>
              </w:rPr>
              <w:t>s</w:t>
            </w:r>
            <w:r w:rsidRPr="00037080">
              <w:rPr>
                <w:rFonts w:ascii="Times New Roman" w:eastAsia="Times New Roman" w:hAnsi="Times New Roman"/>
                <w:b/>
                <w:bCs/>
                <w:sz w:val="20"/>
                <w:szCs w:val="20"/>
              </w:rPr>
              <w:t>s</w:t>
            </w:r>
            <w:r w:rsidRPr="00037080">
              <w:rPr>
                <w:rFonts w:ascii="Times New Roman" w:eastAsia="Times New Roman" w:hAnsi="Times New Roman"/>
                <w:b/>
                <w:bCs/>
                <w:spacing w:val="-4"/>
                <w:sz w:val="20"/>
                <w:szCs w:val="20"/>
              </w:rPr>
              <w:t xml:space="preserve"> </w:t>
            </w:r>
            <w:proofErr w:type="gramStart"/>
            <w:r w:rsidRPr="00037080">
              <w:rPr>
                <w:rFonts w:ascii="Times New Roman" w:eastAsia="Times New Roman" w:hAnsi="Times New Roman"/>
                <w:b/>
                <w:bCs/>
                <w:w w:val="99"/>
                <w:sz w:val="20"/>
                <w:szCs w:val="20"/>
              </w:rPr>
              <w:t>C</w:t>
            </w:r>
            <w:r w:rsidRPr="00037080">
              <w:rPr>
                <w:rFonts w:ascii="Times New Roman" w:eastAsia="Times New Roman" w:hAnsi="Times New Roman"/>
                <w:b/>
                <w:bCs/>
                <w:spacing w:val="1"/>
                <w:w w:val="99"/>
                <w:sz w:val="20"/>
                <w:szCs w:val="20"/>
              </w:rPr>
              <w:t>o</w:t>
            </w:r>
            <w:r w:rsidRPr="00037080">
              <w:rPr>
                <w:rFonts w:ascii="Times New Roman" w:eastAsia="Times New Roman" w:hAnsi="Times New Roman"/>
                <w:b/>
                <w:bCs/>
                <w:w w:val="99"/>
                <w:sz w:val="20"/>
                <w:szCs w:val="20"/>
              </w:rPr>
              <w:t>ncen</w:t>
            </w:r>
            <w:r w:rsidRPr="00037080">
              <w:rPr>
                <w:rFonts w:ascii="Times New Roman" w:eastAsia="Times New Roman" w:hAnsi="Times New Roman"/>
                <w:b/>
                <w:bCs/>
                <w:spacing w:val="1"/>
                <w:w w:val="99"/>
                <w:sz w:val="20"/>
                <w:szCs w:val="20"/>
              </w:rPr>
              <w:t>t</w:t>
            </w:r>
            <w:r w:rsidRPr="00037080">
              <w:rPr>
                <w:rFonts w:ascii="Times New Roman" w:eastAsia="Times New Roman" w:hAnsi="Times New Roman"/>
                <w:b/>
                <w:bCs/>
                <w:w w:val="99"/>
                <w:sz w:val="20"/>
                <w:szCs w:val="20"/>
              </w:rPr>
              <w:t>r</w:t>
            </w:r>
            <w:r w:rsidRPr="00037080">
              <w:rPr>
                <w:rFonts w:ascii="Times New Roman" w:eastAsia="Times New Roman" w:hAnsi="Times New Roman"/>
                <w:b/>
                <w:bCs/>
                <w:spacing w:val="1"/>
                <w:w w:val="99"/>
                <w:sz w:val="20"/>
                <w:szCs w:val="20"/>
              </w:rPr>
              <w:t>at</w:t>
            </w:r>
            <w:r w:rsidRPr="00037080">
              <w:rPr>
                <w:rFonts w:ascii="Times New Roman" w:eastAsia="Times New Roman" w:hAnsi="Times New Roman"/>
                <w:b/>
                <w:bCs/>
                <w:w w:val="99"/>
                <w:sz w:val="20"/>
                <w:szCs w:val="20"/>
              </w:rPr>
              <w:t>i</w:t>
            </w:r>
            <w:r w:rsidRPr="00037080">
              <w:rPr>
                <w:rFonts w:ascii="Times New Roman" w:eastAsia="Times New Roman" w:hAnsi="Times New Roman"/>
                <w:b/>
                <w:bCs/>
                <w:spacing w:val="1"/>
                <w:w w:val="99"/>
                <w:sz w:val="20"/>
                <w:szCs w:val="20"/>
              </w:rPr>
              <w:t>o</w:t>
            </w:r>
            <w:r w:rsidRPr="00037080">
              <w:rPr>
                <w:rFonts w:ascii="Times New Roman" w:eastAsia="Times New Roman" w:hAnsi="Times New Roman"/>
                <w:b/>
                <w:bCs/>
                <w:w w:val="99"/>
                <w:sz w:val="20"/>
                <w:szCs w:val="20"/>
              </w:rPr>
              <w:t>n</w:t>
            </w:r>
            <w:proofErr w:type="gramEnd"/>
            <w:r w:rsidRPr="00037080">
              <w:rPr>
                <w:rFonts w:ascii="Times New Roman" w:eastAsia="Times New Roman" w:hAnsi="Times New Roman"/>
                <w:b/>
                <w:bCs/>
                <w:sz w:val="20"/>
                <w:szCs w:val="20"/>
              </w:rPr>
              <w:br/>
            </w:r>
            <w:r w:rsidRPr="00037080">
              <w:rPr>
                <w:rFonts w:ascii="Times New Roman" w:eastAsia="Times New Roman" w:hAnsi="Times New Roman"/>
                <w:b/>
                <w:bCs/>
                <w:spacing w:val="1"/>
                <w:w w:val="99"/>
                <w:sz w:val="20"/>
                <w:szCs w:val="20"/>
              </w:rPr>
              <w:t>(</w:t>
            </w:r>
            <w:r w:rsidRPr="00037080">
              <w:rPr>
                <w:rFonts w:ascii="Times New Roman" w:eastAsia="Times New Roman" w:hAnsi="Times New Roman"/>
                <w:b/>
                <w:bCs/>
                <w:w w:val="99"/>
                <w:sz w:val="20"/>
                <w:szCs w:val="20"/>
              </w:rPr>
              <w:t>%)</w:t>
            </w:r>
          </w:p>
        </w:tc>
      </w:tr>
      <w:tr w:rsidR="00037080" w:rsidRPr="00037080" w14:paraId="7F27C9FE" w14:textId="77777777" w:rsidTr="003142CE">
        <w:trPr>
          <w:trHeight w:val="288"/>
        </w:trPr>
        <w:tc>
          <w:tcPr>
            <w:tcW w:w="2988" w:type="dxa"/>
          </w:tcPr>
          <w:p w14:paraId="7935ADFA" w14:textId="77777777" w:rsidR="00037080" w:rsidRPr="00D25DBF" w:rsidRDefault="00981BDB" w:rsidP="003142CE">
            <w:pPr>
              <w:spacing w:after="0" w:line="240" w:lineRule="auto"/>
              <w:ind w:right="-108"/>
              <w:rPr>
                <w:rFonts w:ascii="Times New Roman" w:eastAsia="Times New Roman" w:hAnsi="Times New Roman"/>
                <w:sz w:val="18"/>
                <w:szCs w:val="18"/>
              </w:rPr>
            </w:pPr>
            <w:r>
              <w:rPr>
                <w:rFonts w:ascii="Times New Roman" w:eastAsia="Times New Roman" w:hAnsi="Times New Roman"/>
                <w:spacing w:val="2"/>
                <w:sz w:val="20"/>
                <w:szCs w:val="20"/>
              </w:rPr>
              <w:t>Potassium nitrate</w:t>
            </w:r>
          </w:p>
        </w:tc>
        <w:tc>
          <w:tcPr>
            <w:tcW w:w="1710" w:type="dxa"/>
          </w:tcPr>
          <w:p w14:paraId="1B6039FF" w14:textId="77777777" w:rsidR="00037080" w:rsidRPr="00D25DBF" w:rsidRDefault="00037080" w:rsidP="001449AE">
            <w:pPr>
              <w:tabs>
                <w:tab w:val="right" w:pos="1242"/>
              </w:tabs>
              <w:spacing w:after="0" w:line="240" w:lineRule="auto"/>
              <w:rPr>
                <w:rFonts w:ascii="Times New Roman" w:eastAsia="Times New Roman" w:hAnsi="Times New Roman"/>
                <w:sz w:val="18"/>
                <w:szCs w:val="18"/>
              </w:rPr>
            </w:pPr>
            <w:r w:rsidRPr="00D25DBF">
              <w:rPr>
                <w:rFonts w:ascii="Times New Roman" w:eastAsia="Times New Roman" w:hAnsi="Times New Roman"/>
                <w:spacing w:val="1"/>
                <w:sz w:val="20"/>
                <w:szCs w:val="20"/>
              </w:rPr>
              <w:tab/>
            </w:r>
            <w:r w:rsidR="005A57FE">
              <w:rPr>
                <w:rFonts w:ascii="Times New Roman" w:eastAsia="Times New Roman" w:hAnsi="Times New Roman"/>
                <w:spacing w:val="1"/>
                <w:sz w:val="20"/>
                <w:szCs w:val="20"/>
              </w:rPr>
              <w:t>77</w:t>
            </w:r>
            <w:r w:rsidR="001449AE">
              <w:rPr>
                <w:rFonts w:ascii="Times New Roman" w:eastAsia="Times New Roman" w:hAnsi="Times New Roman"/>
                <w:spacing w:val="1"/>
                <w:sz w:val="20"/>
                <w:szCs w:val="20"/>
              </w:rPr>
              <w:t>57</w:t>
            </w:r>
            <w:r w:rsidR="005A57FE">
              <w:rPr>
                <w:rFonts w:ascii="Times New Roman" w:eastAsia="Times New Roman" w:hAnsi="Times New Roman"/>
                <w:spacing w:val="1"/>
                <w:sz w:val="20"/>
                <w:szCs w:val="20"/>
              </w:rPr>
              <w:t>-</w:t>
            </w:r>
            <w:r w:rsidR="001449AE">
              <w:rPr>
                <w:rFonts w:ascii="Times New Roman" w:eastAsia="Times New Roman" w:hAnsi="Times New Roman"/>
                <w:spacing w:val="1"/>
                <w:sz w:val="20"/>
                <w:szCs w:val="20"/>
              </w:rPr>
              <w:t>79</w:t>
            </w:r>
            <w:r w:rsidR="005A57FE">
              <w:rPr>
                <w:rFonts w:ascii="Times New Roman" w:eastAsia="Times New Roman" w:hAnsi="Times New Roman"/>
                <w:spacing w:val="1"/>
                <w:sz w:val="20"/>
                <w:szCs w:val="20"/>
              </w:rPr>
              <w:t>-</w:t>
            </w:r>
            <w:r w:rsidR="001449AE">
              <w:rPr>
                <w:rFonts w:ascii="Times New Roman" w:eastAsia="Times New Roman" w:hAnsi="Times New Roman"/>
                <w:spacing w:val="1"/>
                <w:sz w:val="20"/>
                <w:szCs w:val="20"/>
              </w:rPr>
              <w:t>1</w:t>
            </w:r>
          </w:p>
        </w:tc>
        <w:tc>
          <w:tcPr>
            <w:tcW w:w="1710" w:type="dxa"/>
          </w:tcPr>
          <w:p w14:paraId="559DADF3" w14:textId="77777777" w:rsidR="00037080" w:rsidRPr="00D25DBF" w:rsidRDefault="001449AE" w:rsidP="00037080">
            <w:pPr>
              <w:spacing w:after="0" w:line="240" w:lineRule="auto"/>
              <w:jc w:val="center"/>
              <w:rPr>
                <w:rFonts w:ascii="Times New Roman" w:eastAsia="Times New Roman" w:hAnsi="Times New Roman"/>
                <w:sz w:val="18"/>
                <w:szCs w:val="18"/>
              </w:rPr>
            </w:pPr>
            <w:r>
              <w:rPr>
                <w:rFonts w:ascii="Times New Roman" w:eastAsia="Times New Roman" w:hAnsi="Times New Roman"/>
                <w:spacing w:val="1"/>
                <w:sz w:val="20"/>
                <w:szCs w:val="20"/>
              </w:rPr>
              <w:t>231-818-8</w:t>
            </w:r>
          </w:p>
        </w:tc>
        <w:tc>
          <w:tcPr>
            <w:tcW w:w="2880" w:type="dxa"/>
          </w:tcPr>
          <w:p w14:paraId="1D27139A" w14:textId="77777777" w:rsidR="00037080" w:rsidRPr="00D25DBF" w:rsidRDefault="001449AE" w:rsidP="00547FA7">
            <w:pPr>
              <w:spacing w:after="0" w:line="240" w:lineRule="auto"/>
              <w:jc w:val="center"/>
              <w:rPr>
                <w:rFonts w:ascii="Times New Roman" w:eastAsia="Times New Roman" w:hAnsi="Times New Roman"/>
                <w:sz w:val="18"/>
                <w:szCs w:val="18"/>
              </w:rPr>
            </w:pPr>
            <w:r>
              <w:rPr>
                <w:rFonts w:ascii="Times New Roman" w:eastAsia="Times New Roman" w:hAnsi="Times New Roman"/>
                <w:spacing w:val="1"/>
                <w:w w:val="99"/>
                <w:sz w:val="20"/>
                <w:szCs w:val="20"/>
              </w:rPr>
              <w:t>100</w:t>
            </w:r>
          </w:p>
        </w:tc>
      </w:tr>
    </w:tbl>
    <w:p w14:paraId="347D0751" w14:textId="77777777" w:rsidR="000062AB" w:rsidRPr="00296D45" w:rsidRDefault="000062AB" w:rsidP="003142CE">
      <w:pPr>
        <w:spacing w:after="0"/>
        <w:rPr>
          <w:rFonts w:ascii="Times New Roman" w:hAnsi="Times New Roman"/>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62F50E11" w14:textId="77777777" w:rsidTr="003142CE">
        <w:trPr>
          <w:trHeight w:hRule="exact" w:val="360"/>
        </w:trPr>
        <w:tc>
          <w:tcPr>
            <w:tcW w:w="9288" w:type="dxa"/>
            <w:vAlign w:val="center"/>
          </w:tcPr>
          <w:p w14:paraId="3B8E7396" w14:textId="77777777" w:rsidR="00037080" w:rsidRPr="00037080" w:rsidRDefault="00037080" w:rsidP="00037080">
            <w:pPr>
              <w:keepNext/>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6E299470" w14:textId="77777777" w:rsidR="00C508A0" w:rsidRPr="00455695" w:rsidRDefault="00BB0995" w:rsidP="004E7C12">
      <w:pPr>
        <w:spacing w:before="120" w:after="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pacing w:val="-1"/>
          <w:sz w:val="20"/>
          <w:szCs w:val="20"/>
        </w:rPr>
        <w:t>Description of First</w:t>
      </w:r>
      <w:r w:rsidR="00C508A0" w:rsidRPr="00455695">
        <w:rPr>
          <w:rFonts w:ascii="Times New Roman" w:eastAsia="Times New Roman" w:hAnsi="Times New Roman"/>
          <w:b/>
          <w:bCs/>
          <w:spacing w:val="-1"/>
          <w:sz w:val="20"/>
          <w:szCs w:val="20"/>
        </w:rPr>
        <w:t xml:space="preserve"> Aid Measures</w:t>
      </w:r>
      <w:r w:rsidR="004E7C12">
        <w:rPr>
          <w:rFonts w:ascii="Times New Roman" w:eastAsia="Times New Roman" w:hAnsi="Times New Roman"/>
          <w:b/>
          <w:bCs/>
          <w:spacing w:val="-1"/>
          <w:sz w:val="20"/>
          <w:szCs w:val="20"/>
        </w:rPr>
        <w:t>:</w:t>
      </w:r>
      <w:r w:rsidRPr="00455695">
        <w:rPr>
          <w:rFonts w:ascii="Times New Roman" w:eastAsia="Times New Roman" w:hAnsi="Times New Roman"/>
          <w:b/>
          <w:bCs/>
          <w:spacing w:val="-1"/>
          <w:sz w:val="20"/>
          <w:szCs w:val="20"/>
        </w:rPr>
        <w:t xml:space="preserve"> </w:t>
      </w:r>
    </w:p>
    <w:p w14:paraId="4C308CF7" w14:textId="77777777" w:rsidR="00C508A0" w:rsidRPr="00455695" w:rsidRDefault="00BF5DD9" w:rsidP="004A6E3F">
      <w:pPr>
        <w:spacing w:before="120" w:after="0" w:line="240" w:lineRule="auto"/>
        <w:ind w:left="360"/>
        <w:jc w:val="both"/>
        <w:rPr>
          <w:rFonts w:ascii="Times New Roman" w:eastAsia="Times New Roman" w:hAnsi="Times New Roman"/>
          <w:bCs/>
          <w:sz w:val="20"/>
          <w:szCs w:val="20"/>
        </w:rPr>
      </w:pPr>
      <w:r w:rsidRPr="00455695">
        <w:rPr>
          <w:rFonts w:ascii="Times New Roman" w:eastAsia="Times New Roman" w:hAnsi="Times New Roman"/>
          <w:b/>
          <w:bCs/>
          <w:spacing w:val="-1"/>
          <w:sz w:val="20"/>
          <w:szCs w:val="20"/>
        </w:rPr>
        <w:t>I</w:t>
      </w:r>
      <w:r w:rsidRPr="00455695">
        <w:rPr>
          <w:rFonts w:ascii="Times New Roman" w:eastAsia="Times New Roman" w:hAnsi="Times New Roman"/>
          <w:b/>
          <w:bCs/>
          <w:sz w:val="20"/>
          <w:szCs w:val="20"/>
        </w:rPr>
        <w:t>nh</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z w:val="20"/>
          <w:szCs w:val="20"/>
        </w:rPr>
        <w:t>l</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Cs/>
          <w:sz w:val="20"/>
          <w:szCs w:val="20"/>
        </w:rPr>
        <w:t xml:space="preserve"> </w:t>
      </w:r>
      <w:r w:rsidR="00DC0227" w:rsidRPr="00455695">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7D9CB85E" w14:textId="77777777" w:rsidR="00C508A0" w:rsidRPr="00455695" w:rsidRDefault="00BF5DD9" w:rsidP="00DD38F6">
      <w:pPr>
        <w:spacing w:before="120" w:after="0" w:line="240" w:lineRule="auto"/>
        <w:ind w:left="360"/>
        <w:jc w:val="both"/>
        <w:rPr>
          <w:rFonts w:ascii="Times New Roman" w:eastAsia="Times New Roman" w:hAnsi="Times New Roman"/>
          <w:bCs/>
          <w:sz w:val="20"/>
          <w:szCs w:val="20"/>
        </w:rPr>
      </w:pPr>
      <w:r w:rsidRPr="00455695">
        <w:rPr>
          <w:rFonts w:ascii="Times New Roman" w:eastAsia="Times New Roman" w:hAnsi="Times New Roman"/>
          <w:b/>
          <w:bCs/>
          <w:sz w:val="20"/>
          <w:szCs w:val="20"/>
        </w:rPr>
        <w:t>S</w:t>
      </w:r>
      <w:r w:rsidRPr="00455695">
        <w:rPr>
          <w:rFonts w:ascii="Times New Roman" w:eastAsia="Times New Roman" w:hAnsi="Times New Roman"/>
          <w:b/>
          <w:bCs/>
          <w:spacing w:val="-3"/>
          <w:sz w:val="20"/>
          <w:szCs w:val="20"/>
        </w:rPr>
        <w:t>k</w:t>
      </w:r>
      <w:r w:rsidRPr="00455695">
        <w:rPr>
          <w:rFonts w:ascii="Times New Roman" w:eastAsia="Times New Roman" w:hAnsi="Times New Roman"/>
          <w:b/>
          <w:bCs/>
          <w:sz w:val="20"/>
          <w:szCs w:val="20"/>
        </w:rPr>
        <w:t>in</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
          <w:bCs/>
          <w:sz w:val="20"/>
          <w:szCs w:val="20"/>
        </w:rPr>
        <w:t xml:space="preserve"> </w:t>
      </w:r>
      <w:r w:rsidR="00DD38F6" w:rsidRPr="00DD38F6">
        <w:rPr>
          <w:rFonts w:ascii="Times New Roman" w:eastAsia="Times New Roman" w:hAnsi="Times New Roman"/>
          <w:bCs/>
          <w:sz w:val="20"/>
          <w:szCs w:val="20"/>
        </w:rPr>
        <w:t>Wash skin with soap and water for at least 15 minutes while removing contaminated clothing and shoes.</w:t>
      </w:r>
      <w:r w:rsidR="00DD38F6">
        <w:rPr>
          <w:rFonts w:ascii="Times New Roman" w:eastAsia="Times New Roman" w:hAnsi="Times New Roman"/>
          <w:bCs/>
          <w:sz w:val="20"/>
          <w:szCs w:val="20"/>
        </w:rPr>
        <w:t xml:space="preserve"> </w:t>
      </w:r>
      <w:r w:rsidR="00DD38F6" w:rsidRPr="00DD38F6">
        <w:rPr>
          <w:rFonts w:ascii="Times New Roman" w:eastAsia="Times New Roman" w:hAnsi="Times New Roman"/>
          <w:bCs/>
          <w:sz w:val="20"/>
          <w:szCs w:val="20"/>
        </w:rPr>
        <w:t xml:space="preserve"> Get</w:t>
      </w:r>
      <w:r w:rsidR="00DD38F6">
        <w:rPr>
          <w:rFonts w:ascii="Times New Roman" w:eastAsia="Times New Roman" w:hAnsi="Times New Roman"/>
          <w:bCs/>
          <w:sz w:val="20"/>
          <w:szCs w:val="20"/>
        </w:rPr>
        <w:t xml:space="preserve"> </w:t>
      </w:r>
      <w:r w:rsidR="00DD38F6" w:rsidRPr="00DD38F6">
        <w:rPr>
          <w:rFonts w:ascii="Times New Roman" w:eastAsia="Times New Roman" w:hAnsi="Times New Roman"/>
          <w:bCs/>
          <w:sz w:val="20"/>
          <w:szCs w:val="20"/>
        </w:rPr>
        <w:t>medical attention</w:t>
      </w:r>
      <w:r w:rsidR="009A0431">
        <w:rPr>
          <w:rFonts w:ascii="Times New Roman" w:eastAsia="Times New Roman" w:hAnsi="Times New Roman"/>
          <w:bCs/>
          <w:sz w:val="20"/>
          <w:szCs w:val="20"/>
        </w:rPr>
        <w:t xml:space="preserve"> if needed</w:t>
      </w:r>
      <w:r w:rsidR="00DD38F6" w:rsidRPr="00DD38F6">
        <w:rPr>
          <w:rFonts w:ascii="Times New Roman" w:eastAsia="Times New Roman" w:hAnsi="Times New Roman"/>
          <w:bCs/>
          <w:sz w:val="20"/>
          <w:szCs w:val="20"/>
        </w:rPr>
        <w:t xml:space="preserve">. </w:t>
      </w:r>
      <w:r w:rsidR="00CC6C33">
        <w:rPr>
          <w:rFonts w:ascii="Times New Roman" w:eastAsia="Times New Roman" w:hAnsi="Times New Roman"/>
          <w:bCs/>
          <w:sz w:val="20"/>
          <w:szCs w:val="20"/>
        </w:rPr>
        <w:t xml:space="preserve"> </w:t>
      </w:r>
      <w:r w:rsidR="00DD38F6" w:rsidRPr="00DD38F6">
        <w:rPr>
          <w:rFonts w:ascii="Times New Roman" w:eastAsia="Times New Roman" w:hAnsi="Times New Roman"/>
          <w:bCs/>
          <w:sz w:val="20"/>
          <w:szCs w:val="20"/>
        </w:rPr>
        <w:t xml:space="preserve">Thoroughly clean and dry contaminated clothing before reuse. </w:t>
      </w:r>
    </w:p>
    <w:p w14:paraId="0059E9C9" w14:textId="180F0FAC" w:rsidR="00C508A0" w:rsidRPr="00455695" w:rsidRDefault="00BF5DD9" w:rsidP="004A6E3F">
      <w:pPr>
        <w:spacing w:before="120" w:after="0" w:line="240" w:lineRule="auto"/>
        <w:ind w:left="360"/>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E</w:t>
      </w:r>
      <w:r w:rsidRPr="00455695">
        <w:rPr>
          <w:rFonts w:ascii="Times New Roman" w:eastAsia="Times New Roman" w:hAnsi="Times New Roman"/>
          <w:b/>
          <w:bCs/>
          <w:spacing w:val="1"/>
          <w:sz w:val="20"/>
          <w:szCs w:val="20"/>
        </w:rPr>
        <w:t>y</w:t>
      </w:r>
      <w:r w:rsidRPr="00455695">
        <w:rPr>
          <w:rFonts w:ascii="Times New Roman" w:eastAsia="Times New Roman" w:hAnsi="Times New Roman"/>
          <w:b/>
          <w:bCs/>
          <w:sz w:val="20"/>
          <w:szCs w:val="20"/>
        </w:rPr>
        <w:t>e</w:t>
      </w:r>
      <w:r w:rsidRPr="00455695">
        <w:rPr>
          <w:rFonts w:ascii="Times New Roman" w:eastAsia="Times New Roman" w:hAnsi="Times New Roman"/>
          <w:b/>
          <w:bCs/>
          <w:spacing w:val="-2"/>
          <w:sz w:val="20"/>
          <w:szCs w:val="20"/>
        </w:rPr>
        <w:t xml:space="preserve"> </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Cs/>
          <w:sz w:val="20"/>
          <w:szCs w:val="20"/>
        </w:rPr>
        <w:t xml:space="preserve">Immediately flush eyes, including under the eyelids with copious amounts of water for at least </w:t>
      </w:r>
      <w:r w:rsidR="00BB6919">
        <w:rPr>
          <w:rFonts w:ascii="Times New Roman" w:eastAsia="Times New Roman" w:hAnsi="Times New Roman"/>
          <w:bCs/>
          <w:sz w:val="20"/>
          <w:szCs w:val="20"/>
        </w:rPr>
        <w:t>15</w:t>
      </w:r>
      <w:r w:rsidR="00454A7B">
        <w:rPr>
          <w:rFonts w:ascii="Times New Roman" w:eastAsia="Times New Roman" w:hAnsi="Times New Roman"/>
          <w:bCs/>
          <w:sz w:val="20"/>
          <w:szCs w:val="20"/>
        </w:rPr>
        <w:t> </w:t>
      </w:r>
      <w:r w:rsidR="00DC0227" w:rsidRPr="00455695">
        <w:rPr>
          <w:rFonts w:ascii="Times New Roman" w:eastAsia="Times New Roman" w:hAnsi="Times New Roman"/>
          <w:bCs/>
          <w:sz w:val="20"/>
          <w:szCs w:val="20"/>
        </w:rPr>
        <w:t>minutes.  Seek immediate medical attention.</w:t>
      </w:r>
    </w:p>
    <w:p w14:paraId="146A6C69" w14:textId="77777777" w:rsidR="00E24579" w:rsidRPr="00455695" w:rsidRDefault="00BF5DD9" w:rsidP="004A6E3F">
      <w:pPr>
        <w:spacing w:before="120" w:after="0" w:line="240" w:lineRule="auto"/>
        <w:ind w:left="360"/>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I</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e</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00DC0227" w:rsidRPr="00455695">
        <w:rPr>
          <w:rFonts w:ascii="Times New Roman" w:eastAsia="Times New Roman" w:hAnsi="Times New Roman"/>
          <w:b/>
          <w:bCs/>
          <w:sz w:val="20"/>
          <w:szCs w:val="20"/>
        </w:rPr>
        <w:t xml:space="preserve">  </w:t>
      </w:r>
      <w:r w:rsidR="000E30C9" w:rsidRPr="000E30C9">
        <w:rPr>
          <w:rFonts w:ascii="Times New Roman" w:eastAsia="Times New Roman" w:hAnsi="Times New Roman"/>
          <w:bCs/>
          <w:sz w:val="20"/>
          <w:szCs w:val="20"/>
        </w:rPr>
        <w:t>If a large amount is swallowed, get medical attention.</w:t>
      </w:r>
    </w:p>
    <w:p w14:paraId="51CDA7F3" w14:textId="4D405F91" w:rsidR="002D63F4" w:rsidRPr="00455695" w:rsidRDefault="002D63F4" w:rsidP="004521E9">
      <w:pPr>
        <w:spacing w:before="120" w:after="0" w:line="240" w:lineRule="auto"/>
        <w:jc w:val="both"/>
        <w:rPr>
          <w:rFonts w:ascii="Times New Roman" w:eastAsia="Times New Roman" w:hAnsi="Times New Roman"/>
          <w:bCs/>
          <w:sz w:val="20"/>
          <w:szCs w:val="20"/>
        </w:rPr>
      </w:pPr>
      <w:r w:rsidRPr="00455695">
        <w:rPr>
          <w:rFonts w:ascii="Times New Roman" w:eastAsia="Times New Roman" w:hAnsi="Times New Roman"/>
          <w:b/>
          <w:bCs/>
          <w:sz w:val="20"/>
          <w:szCs w:val="20"/>
        </w:rPr>
        <w:t xml:space="preserve">Most Important Symptoms/Effects, </w:t>
      </w:r>
      <w:r w:rsidR="00EF4006">
        <w:rPr>
          <w:rFonts w:ascii="Times New Roman" w:eastAsia="Times New Roman" w:hAnsi="Times New Roman"/>
          <w:b/>
          <w:bCs/>
          <w:sz w:val="20"/>
          <w:szCs w:val="20"/>
        </w:rPr>
        <w:t>A</w:t>
      </w:r>
      <w:r w:rsidR="00EF4006" w:rsidRPr="00455695">
        <w:rPr>
          <w:rFonts w:ascii="Times New Roman" w:eastAsia="Times New Roman" w:hAnsi="Times New Roman"/>
          <w:b/>
          <w:bCs/>
          <w:sz w:val="20"/>
          <w:szCs w:val="20"/>
        </w:rPr>
        <w:t xml:space="preserve">cute </w:t>
      </w:r>
      <w:r w:rsidRPr="00455695">
        <w:rPr>
          <w:rFonts w:ascii="Times New Roman" w:eastAsia="Times New Roman" w:hAnsi="Times New Roman"/>
          <w:b/>
          <w:bCs/>
          <w:sz w:val="20"/>
          <w:szCs w:val="20"/>
        </w:rPr>
        <w:t xml:space="preserve">and </w:t>
      </w:r>
      <w:r w:rsidR="00EF4006">
        <w:rPr>
          <w:rFonts w:ascii="Times New Roman" w:eastAsia="Times New Roman" w:hAnsi="Times New Roman"/>
          <w:b/>
          <w:bCs/>
          <w:sz w:val="20"/>
          <w:szCs w:val="20"/>
        </w:rPr>
        <w:t>D</w:t>
      </w:r>
      <w:r w:rsidR="00EF4006" w:rsidRPr="00455695">
        <w:rPr>
          <w:rFonts w:ascii="Times New Roman" w:eastAsia="Times New Roman" w:hAnsi="Times New Roman"/>
          <w:b/>
          <w:bCs/>
          <w:sz w:val="20"/>
          <w:szCs w:val="20"/>
        </w:rPr>
        <w:t>elayed</w:t>
      </w:r>
      <w:r w:rsidR="004521E9" w:rsidRPr="00455695">
        <w:rPr>
          <w:rFonts w:ascii="Times New Roman" w:eastAsia="Times New Roman" w:hAnsi="Times New Roman"/>
          <w:b/>
          <w:bCs/>
          <w:sz w:val="20"/>
          <w:szCs w:val="20"/>
        </w:rPr>
        <w:t>:</w:t>
      </w:r>
      <w:r w:rsidR="004521E9" w:rsidRPr="00455695">
        <w:rPr>
          <w:rFonts w:ascii="Times New Roman" w:eastAsia="Times New Roman" w:hAnsi="Times New Roman"/>
          <w:bCs/>
          <w:sz w:val="20"/>
          <w:szCs w:val="20"/>
        </w:rPr>
        <w:t xml:space="preserve"> </w:t>
      </w:r>
      <w:r w:rsidR="00236BED">
        <w:rPr>
          <w:rFonts w:ascii="Times New Roman" w:eastAsia="Times New Roman" w:hAnsi="Times New Roman"/>
          <w:bCs/>
          <w:sz w:val="20"/>
          <w:szCs w:val="20"/>
        </w:rPr>
        <w:t>Skin, eye, and respiratory irritation</w:t>
      </w:r>
      <w:r w:rsidR="0099140F">
        <w:rPr>
          <w:rFonts w:ascii="Times New Roman" w:eastAsia="Times New Roman" w:hAnsi="Times New Roman"/>
          <w:bCs/>
          <w:sz w:val="20"/>
          <w:szCs w:val="20"/>
        </w:rPr>
        <w:t>; cyanosis</w:t>
      </w:r>
      <w:r w:rsidR="00037080" w:rsidRPr="00037080">
        <w:rPr>
          <w:rFonts w:ascii="Times New Roman" w:eastAsia="Times New Roman" w:hAnsi="Times New Roman"/>
          <w:bCs/>
          <w:sz w:val="20"/>
          <w:szCs w:val="20"/>
        </w:rPr>
        <w:t>.</w:t>
      </w:r>
    </w:p>
    <w:p w14:paraId="59B0F923" w14:textId="77777777" w:rsidR="002D63F4" w:rsidRPr="00455695" w:rsidRDefault="002D63F4" w:rsidP="00783F68">
      <w:pPr>
        <w:spacing w:before="120" w:after="120" w:line="240" w:lineRule="auto"/>
        <w:jc w:val="both"/>
        <w:rPr>
          <w:rFonts w:ascii="Times New Roman" w:eastAsia="Times New Roman" w:hAnsi="Times New Roman"/>
          <w:bCs/>
          <w:sz w:val="20"/>
          <w:szCs w:val="20"/>
        </w:rPr>
      </w:pPr>
      <w:r w:rsidRPr="00455695">
        <w:rPr>
          <w:rFonts w:ascii="Times New Roman" w:eastAsia="Times New Roman" w:hAnsi="Times New Roman"/>
          <w:b/>
          <w:bCs/>
          <w:sz w:val="20"/>
          <w:szCs w:val="20"/>
        </w:rPr>
        <w:t>Indication of any immediate medical attention and special treatment needed, if necessary</w:t>
      </w:r>
      <w:r w:rsidR="004521E9" w:rsidRPr="00455695">
        <w:rPr>
          <w:rFonts w:ascii="Times New Roman" w:eastAsia="Times New Roman" w:hAnsi="Times New Roman"/>
          <w:b/>
          <w:bCs/>
          <w:sz w:val="20"/>
          <w:szCs w:val="20"/>
        </w:rPr>
        <w:t>:</w:t>
      </w:r>
      <w:r w:rsidR="004521E9" w:rsidRPr="00455695">
        <w:rPr>
          <w:rFonts w:ascii="Times New Roman" w:eastAsia="Times New Roman" w:hAnsi="Times New Roman"/>
          <w:bCs/>
          <w:sz w:val="20"/>
          <w:szCs w:val="20"/>
        </w:rPr>
        <w:t xml:space="preserve">  </w:t>
      </w:r>
      <w:r w:rsidR="0028318C" w:rsidRPr="00455695">
        <w:rPr>
          <w:rFonts w:ascii="Times New Roman" w:eastAsia="Times New Roman" w:hAnsi="Times New Roman"/>
          <w:bCs/>
          <w:sz w:val="20"/>
          <w:szCs w:val="20"/>
        </w:rPr>
        <w:t>If any of the above symptoms are present, seek immediate medical attention.</w:t>
      </w:r>
      <w:r w:rsidR="004021D2" w:rsidRPr="00455695">
        <w:rPr>
          <w:rFonts w:ascii="Times New Roman" w:eastAsia="Times New Roman" w:hAnsi="Times New Roman"/>
          <w:bCs/>
          <w:sz w:val="20"/>
          <w:szCs w:val="20"/>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455695" w14:paraId="7CF5FC45" w14:textId="77777777" w:rsidTr="001D7FE4">
        <w:trPr>
          <w:trHeight w:hRule="exact" w:val="360"/>
        </w:trPr>
        <w:tc>
          <w:tcPr>
            <w:tcW w:w="9576" w:type="dxa"/>
            <w:vAlign w:val="center"/>
          </w:tcPr>
          <w:p w14:paraId="75529A4A" w14:textId="77777777" w:rsidR="001D7FE4" w:rsidRPr="00455695" w:rsidRDefault="001D7FE4" w:rsidP="00A00A2B">
            <w:pPr>
              <w:keepNext/>
              <w:spacing w:after="0" w:line="240" w:lineRule="auto"/>
              <w:rPr>
                <w:rFonts w:ascii="Times New Roman" w:eastAsia="Times New Roman" w:hAnsi="Times New Roman"/>
                <w:b/>
                <w:bCs/>
                <w:sz w:val="20"/>
                <w:szCs w:val="20"/>
              </w:rPr>
            </w:pPr>
            <w:r w:rsidRPr="00455695">
              <w:rPr>
                <w:rFonts w:ascii="Times New Roman" w:eastAsia="Times New Roman" w:hAnsi="Times New Roman"/>
                <w:b/>
                <w:bCs/>
                <w:sz w:val="24"/>
                <w:szCs w:val="24"/>
              </w:rPr>
              <w:t>5.</w:t>
            </w:r>
            <w:r w:rsidRPr="00455695">
              <w:rPr>
                <w:rFonts w:ascii="Times New Roman" w:eastAsia="Times New Roman" w:hAnsi="Times New Roman"/>
                <w:b/>
                <w:bCs/>
                <w:spacing w:val="36"/>
                <w:sz w:val="24"/>
                <w:szCs w:val="24"/>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z w:val="19"/>
                <w:szCs w:val="19"/>
              </w:rPr>
              <w:t>RE</w:t>
            </w:r>
            <w:r w:rsidRPr="00455695">
              <w:rPr>
                <w:rFonts w:ascii="Times New Roman" w:eastAsia="Times New Roman" w:hAnsi="Times New Roman"/>
                <w:b/>
                <w:bCs/>
                <w:spacing w:val="-2"/>
                <w:sz w:val="19"/>
                <w:szCs w:val="19"/>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pacing w:val="-1"/>
                <w:sz w:val="19"/>
                <w:szCs w:val="19"/>
              </w:rPr>
              <w:t>GH</w:t>
            </w:r>
            <w:r w:rsidRPr="00455695">
              <w:rPr>
                <w:rFonts w:ascii="Times New Roman" w:eastAsia="Times New Roman" w:hAnsi="Times New Roman"/>
                <w:b/>
                <w:bCs/>
                <w:spacing w:val="1"/>
                <w:sz w:val="19"/>
                <w:szCs w:val="19"/>
              </w:rPr>
              <w:t>TI</w:t>
            </w:r>
            <w:r w:rsidRPr="00455695">
              <w:rPr>
                <w:rFonts w:ascii="Times New Roman" w:eastAsia="Times New Roman" w:hAnsi="Times New Roman"/>
                <w:b/>
                <w:bCs/>
                <w:sz w:val="19"/>
                <w:szCs w:val="19"/>
              </w:rPr>
              <w:t>NG</w:t>
            </w:r>
            <w:r w:rsidRPr="00455695">
              <w:rPr>
                <w:rFonts w:ascii="Times New Roman" w:eastAsia="Times New Roman" w:hAnsi="Times New Roman"/>
                <w:b/>
                <w:bCs/>
                <w:spacing w:val="-9"/>
                <w:sz w:val="19"/>
                <w:szCs w:val="19"/>
              </w:rPr>
              <w:t xml:space="preserve"> </w:t>
            </w:r>
            <w:r w:rsidRPr="00455695">
              <w:rPr>
                <w:rFonts w:ascii="Times New Roman" w:eastAsia="Times New Roman" w:hAnsi="Times New Roman"/>
                <w:b/>
                <w:bCs/>
                <w:spacing w:val="-1"/>
                <w:sz w:val="24"/>
                <w:szCs w:val="24"/>
              </w:rPr>
              <w:t>M</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ASUR</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S</w:t>
            </w:r>
          </w:p>
        </w:tc>
      </w:tr>
    </w:tbl>
    <w:p w14:paraId="03DBD8C8" w14:textId="7762802A" w:rsidR="001248AA" w:rsidRPr="003E2700" w:rsidRDefault="001248AA" w:rsidP="00783F68">
      <w:pPr>
        <w:spacing w:before="120" w:after="0" w:line="240" w:lineRule="auto"/>
        <w:jc w:val="both"/>
        <w:rPr>
          <w:rFonts w:ascii="Times New Roman" w:eastAsia="Times New Roman" w:hAnsi="Times New Roman"/>
          <w:bCs/>
          <w:spacing w:val="-1"/>
          <w:sz w:val="20"/>
          <w:szCs w:val="20"/>
        </w:rPr>
      </w:pPr>
      <w:r w:rsidRPr="00455695">
        <w:rPr>
          <w:rFonts w:ascii="Times New Roman" w:eastAsia="Times New Roman" w:hAnsi="Times New Roman"/>
          <w:b/>
          <w:bCs/>
          <w:spacing w:val="-1"/>
          <w:sz w:val="20"/>
          <w:szCs w:val="20"/>
        </w:rPr>
        <w:t>Fire and Explosion Hazards:</w:t>
      </w:r>
      <w:r w:rsidR="0028318C" w:rsidRPr="00455695">
        <w:rPr>
          <w:rFonts w:ascii="Times New Roman" w:eastAsia="Times New Roman" w:hAnsi="Times New Roman"/>
          <w:b/>
          <w:bCs/>
          <w:spacing w:val="-1"/>
          <w:sz w:val="20"/>
          <w:szCs w:val="20"/>
        </w:rPr>
        <w:t xml:space="preserve">  </w:t>
      </w:r>
      <w:r w:rsidR="00717B98" w:rsidRPr="00717B98">
        <w:rPr>
          <w:rFonts w:ascii="Times New Roman" w:eastAsia="Times New Roman" w:hAnsi="Times New Roman"/>
          <w:bCs/>
          <w:spacing w:val="-1"/>
          <w:sz w:val="20"/>
          <w:szCs w:val="20"/>
        </w:rPr>
        <w:t xml:space="preserve">Negligible fire hazard.  </w:t>
      </w:r>
      <w:r w:rsidR="00ED5488">
        <w:rPr>
          <w:rFonts w:ascii="Times New Roman" w:eastAsia="Times New Roman" w:hAnsi="Times New Roman"/>
          <w:bCs/>
          <w:spacing w:val="-1"/>
          <w:sz w:val="20"/>
          <w:szCs w:val="20"/>
        </w:rPr>
        <w:t>Oxidizer</w:t>
      </w:r>
      <w:r w:rsidR="000D4CBF">
        <w:rPr>
          <w:rFonts w:ascii="Times New Roman" w:eastAsia="Times New Roman" w:hAnsi="Times New Roman"/>
          <w:bCs/>
          <w:spacing w:val="-1"/>
          <w:sz w:val="20"/>
          <w:szCs w:val="20"/>
        </w:rPr>
        <w:t>, contact with combustible materials may enhance combustion;</w:t>
      </w:r>
      <w:r w:rsidR="00D86A39">
        <w:rPr>
          <w:rFonts w:ascii="Times New Roman" w:eastAsia="Times New Roman" w:hAnsi="Times New Roman"/>
          <w:bCs/>
          <w:spacing w:val="-1"/>
          <w:sz w:val="20"/>
          <w:szCs w:val="20"/>
        </w:rPr>
        <w:t xml:space="preserve"> risk of fire or explosion on contact with reducing agents</w:t>
      </w:r>
      <w:r w:rsidR="00293103">
        <w:rPr>
          <w:rFonts w:ascii="Times New Roman" w:eastAsia="Times New Roman" w:hAnsi="Times New Roman"/>
          <w:bCs/>
          <w:spacing w:val="-1"/>
          <w:sz w:val="20"/>
          <w:szCs w:val="20"/>
        </w:rPr>
        <w:t>.  S</w:t>
      </w:r>
      <w:r w:rsidR="00534548" w:rsidRPr="00455695">
        <w:rPr>
          <w:rFonts w:ascii="Times New Roman" w:eastAsia="Times New Roman" w:hAnsi="Times New Roman"/>
          <w:bCs/>
          <w:spacing w:val="-1"/>
          <w:sz w:val="20"/>
          <w:szCs w:val="20"/>
        </w:rPr>
        <w:t xml:space="preserve">ee Section </w:t>
      </w:r>
      <w:r w:rsidR="00534548" w:rsidRPr="003E2700">
        <w:rPr>
          <w:rFonts w:ascii="Times New Roman" w:eastAsia="Times New Roman" w:hAnsi="Times New Roman"/>
          <w:bCs/>
          <w:spacing w:val="-1"/>
          <w:sz w:val="20"/>
          <w:szCs w:val="20"/>
        </w:rPr>
        <w:t xml:space="preserve">9, “Physical </w:t>
      </w:r>
      <w:r w:rsidR="0073150A" w:rsidRPr="003E2700">
        <w:rPr>
          <w:rFonts w:ascii="Times New Roman" w:eastAsia="Times New Roman" w:hAnsi="Times New Roman"/>
          <w:bCs/>
          <w:spacing w:val="-1"/>
          <w:sz w:val="20"/>
          <w:szCs w:val="20"/>
        </w:rPr>
        <w:t xml:space="preserve">and Chemical </w:t>
      </w:r>
      <w:r w:rsidR="00534548" w:rsidRPr="003E2700">
        <w:rPr>
          <w:rFonts w:ascii="Times New Roman" w:eastAsia="Times New Roman" w:hAnsi="Times New Roman"/>
          <w:bCs/>
          <w:spacing w:val="-1"/>
          <w:sz w:val="20"/>
          <w:szCs w:val="20"/>
        </w:rPr>
        <w:t>Properties” for flammability properties.</w:t>
      </w:r>
    </w:p>
    <w:p w14:paraId="241831EC" w14:textId="77777777" w:rsidR="006251CA" w:rsidRDefault="00676966" w:rsidP="00783F68">
      <w:pPr>
        <w:spacing w:before="120" w:after="0" w:line="240" w:lineRule="auto"/>
        <w:jc w:val="both"/>
        <w:rPr>
          <w:rFonts w:ascii="Times New Roman" w:eastAsia="Times New Roman" w:hAnsi="Times New Roman"/>
          <w:b/>
          <w:bCs/>
          <w:sz w:val="20"/>
          <w:szCs w:val="20"/>
        </w:rPr>
      </w:pPr>
      <w:r>
        <w:rPr>
          <w:rFonts w:ascii="Times New Roman" w:eastAsia="Times New Roman" w:hAnsi="Times New Roman"/>
          <w:b/>
          <w:bCs/>
          <w:spacing w:val="-1"/>
          <w:sz w:val="20"/>
          <w:szCs w:val="20"/>
        </w:rPr>
        <w:t>Extinguishing Media</w:t>
      </w:r>
      <w:r w:rsidR="006251CA" w:rsidRPr="00B0155D">
        <w:rPr>
          <w:rFonts w:ascii="Times New Roman" w:eastAsia="Times New Roman" w:hAnsi="Times New Roman"/>
          <w:b/>
          <w:bCs/>
          <w:sz w:val="20"/>
          <w:szCs w:val="20"/>
        </w:rPr>
        <w:t>:</w:t>
      </w:r>
    </w:p>
    <w:p w14:paraId="4F3FE63A" w14:textId="77777777" w:rsidR="00E93DD1" w:rsidRPr="00623C6E" w:rsidRDefault="00E93DD1" w:rsidP="005F7AEB">
      <w:pPr>
        <w:tabs>
          <w:tab w:val="left" w:pos="360"/>
        </w:tabs>
        <w:spacing w:after="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ab/>
      </w:r>
      <w:r w:rsidR="0028318C" w:rsidRPr="00623C6E">
        <w:rPr>
          <w:rFonts w:ascii="Times New Roman" w:eastAsia="Times New Roman" w:hAnsi="Times New Roman"/>
          <w:bCs/>
          <w:sz w:val="20"/>
          <w:szCs w:val="20"/>
        </w:rPr>
        <w:t>Suitable:</w:t>
      </w:r>
      <w:r w:rsidR="00144ADE">
        <w:rPr>
          <w:rFonts w:ascii="Times New Roman" w:eastAsia="Times New Roman" w:hAnsi="Times New Roman"/>
          <w:bCs/>
          <w:sz w:val="20"/>
          <w:szCs w:val="20"/>
        </w:rPr>
        <w:t xml:space="preserve">  </w:t>
      </w:r>
      <w:r w:rsidR="00ED5488">
        <w:rPr>
          <w:rFonts w:ascii="Times New Roman" w:eastAsia="Times New Roman" w:hAnsi="Times New Roman"/>
          <w:bCs/>
          <w:sz w:val="20"/>
          <w:szCs w:val="20"/>
        </w:rPr>
        <w:t>Water</w:t>
      </w:r>
      <w:r w:rsidR="000D4CBF" w:rsidRPr="000D4CBF">
        <w:rPr>
          <w:rFonts w:ascii="Times New Roman" w:eastAsia="Times New Roman" w:hAnsi="Times New Roman"/>
          <w:bCs/>
          <w:sz w:val="20"/>
          <w:szCs w:val="20"/>
        </w:rPr>
        <w:t xml:space="preserve"> </w:t>
      </w:r>
      <w:r w:rsidR="000D4CBF">
        <w:rPr>
          <w:rFonts w:ascii="Times New Roman" w:eastAsia="Times New Roman" w:hAnsi="Times New Roman"/>
          <w:bCs/>
          <w:sz w:val="20"/>
          <w:szCs w:val="20"/>
        </w:rPr>
        <w:t>or other appropriate media</w:t>
      </w:r>
      <w:r w:rsidR="00EF4006">
        <w:rPr>
          <w:rFonts w:ascii="Times New Roman" w:eastAsia="Times New Roman" w:hAnsi="Times New Roman"/>
          <w:bCs/>
          <w:sz w:val="20"/>
          <w:szCs w:val="20"/>
        </w:rPr>
        <w:t>.</w:t>
      </w:r>
    </w:p>
    <w:p w14:paraId="61702173" w14:textId="77777777" w:rsidR="00E93DD1" w:rsidRPr="00623C6E" w:rsidRDefault="0028318C" w:rsidP="005F7AEB">
      <w:pPr>
        <w:tabs>
          <w:tab w:val="left" w:pos="360"/>
        </w:tabs>
        <w:spacing w:after="0" w:line="240" w:lineRule="auto"/>
        <w:jc w:val="both"/>
        <w:rPr>
          <w:rFonts w:ascii="Times New Roman" w:eastAsia="Times New Roman" w:hAnsi="Times New Roman"/>
          <w:bCs/>
          <w:sz w:val="20"/>
          <w:szCs w:val="20"/>
        </w:rPr>
      </w:pPr>
      <w:r w:rsidRPr="00623C6E">
        <w:rPr>
          <w:rFonts w:ascii="Times New Roman" w:eastAsia="Times New Roman" w:hAnsi="Times New Roman"/>
          <w:bCs/>
          <w:sz w:val="20"/>
          <w:szCs w:val="20"/>
        </w:rPr>
        <w:tab/>
        <w:t>Unsuitable:</w:t>
      </w:r>
      <w:r w:rsidR="00144ADE">
        <w:rPr>
          <w:rFonts w:ascii="Times New Roman" w:eastAsia="Times New Roman" w:hAnsi="Times New Roman"/>
          <w:bCs/>
          <w:sz w:val="20"/>
          <w:szCs w:val="20"/>
        </w:rPr>
        <w:t xml:space="preserve">  None</w:t>
      </w:r>
      <w:r w:rsidR="00EF4006">
        <w:rPr>
          <w:rFonts w:ascii="Times New Roman" w:eastAsia="Times New Roman" w:hAnsi="Times New Roman"/>
          <w:bCs/>
          <w:sz w:val="20"/>
          <w:szCs w:val="20"/>
        </w:rPr>
        <w:t xml:space="preserve"> listed.</w:t>
      </w:r>
    </w:p>
    <w:p w14:paraId="25C02593" w14:textId="77777777" w:rsidR="00E24579" w:rsidRPr="00455695" w:rsidRDefault="00676966" w:rsidP="00783F68">
      <w:pPr>
        <w:spacing w:before="120" w:after="0" w:line="240" w:lineRule="auto"/>
        <w:jc w:val="both"/>
        <w:rPr>
          <w:rFonts w:ascii="Times New Roman" w:eastAsia="Times New Roman" w:hAnsi="Times New Roman"/>
          <w:sz w:val="20"/>
          <w:szCs w:val="20"/>
        </w:rPr>
      </w:pPr>
      <w:r w:rsidRPr="00455695">
        <w:rPr>
          <w:rFonts w:ascii="Times New Roman" w:eastAsia="Times New Roman" w:hAnsi="Times New Roman"/>
          <w:b/>
          <w:bCs/>
          <w:spacing w:val="1"/>
          <w:sz w:val="20"/>
          <w:szCs w:val="20"/>
        </w:rPr>
        <w:t>Specific Hazards Arising from the Chemical:</w:t>
      </w:r>
      <w:r w:rsidR="0028318C" w:rsidRPr="00455695">
        <w:rPr>
          <w:rFonts w:ascii="Times New Roman" w:eastAsia="Times New Roman" w:hAnsi="Times New Roman"/>
          <w:bCs/>
          <w:sz w:val="20"/>
          <w:szCs w:val="20"/>
        </w:rPr>
        <w:t xml:space="preserve">  </w:t>
      </w:r>
      <w:r w:rsidR="00ED5488">
        <w:rPr>
          <w:rFonts w:ascii="Times New Roman" w:eastAsia="Times New Roman" w:hAnsi="Times New Roman"/>
          <w:bCs/>
          <w:sz w:val="20"/>
          <w:szCs w:val="20"/>
        </w:rPr>
        <w:t>None listed</w:t>
      </w:r>
      <w:r w:rsidR="0028318C" w:rsidRPr="00455695">
        <w:rPr>
          <w:rFonts w:ascii="Times New Roman" w:eastAsia="Times New Roman" w:hAnsi="Times New Roman"/>
          <w:bCs/>
          <w:sz w:val="20"/>
          <w:szCs w:val="20"/>
        </w:rPr>
        <w:t>.</w:t>
      </w:r>
    </w:p>
    <w:p w14:paraId="576E485A" w14:textId="77777777" w:rsidR="002B60F0" w:rsidRDefault="00F057E8" w:rsidP="00783F68">
      <w:pPr>
        <w:spacing w:before="120" w:after="120" w:line="240" w:lineRule="auto"/>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 xml:space="preserve">Special Protective Equipment and Precautions for </w:t>
      </w:r>
      <w:r w:rsidR="00BF5DD9" w:rsidRPr="00455695">
        <w:rPr>
          <w:rFonts w:ascii="Times New Roman" w:eastAsia="Times New Roman" w:hAnsi="Times New Roman"/>
          <w:b/>
          <w:bCs/>
          <w:spacing w:val="1"/>
          <w:sz w:val="20"/>
          <w:szCs w:val="20"/>
        </w:rPr>
        <w:t>F</w:t>
      </w:r>
      <w:r w:rsidR="00BF5DD9" w:rsidRPr="00455695">
        <w:rPr>
          <w:rFonts w:ascii="Times New Roman" w:eastAsia="Times New Roman" w:hAnsi="Times New Roman"/>
          <w:b/>
          <w:bCs/>
          <w:sz w:val="20"/>
          <w:szCs w:val="20"/>
        </w:rPr>
        <w:t>ire</w:t>
      </w:r>
      <w:r w:rsidRPr="00455695">
        <w:rPr>
          <w:rFonts w:ascii="Times New Roman" w:eastAsia="Times New Roman" w:hAnsi="Times New Roman"/>
          <w:b/>
          <w:bCs/>
          <w:sz w:val="20"/>
          <w:szCs w:val="20"/>
        </w:rPr>
        <w:t>-Fighters</w:t>
      </w:r>
      <w:r w:rsidR="00BF5DD9" w:rsidRPr="00455695">
        <w:rPr>
          <w:rFonts w:ascii="Times New Roman" w:eastAsia="Times New Roman" w:hAnsi="Times New Roman"/>
          <w:b/>
          <w:bCs/>
          <w:sz w:val="20"/>
          <w:szCs w:val="20"/>
        </w:rPr>
        <w:t>:</w:t>
      </w:r>
      <w:r w:rsidR="000D31BB" w:rsidRPr="00455695">
        <w:rPr>
          <w:rFonts w:ascii="Times New Roman" w:eastAsia="Times New Roman" w:hAnsi="Times New Roman"/>
          <w:b/>
          <w:bCs/>
          <w:sz w:val="20"/>
          <w:szCs w:val="20"/>
        </w:rPr>
        <w:t xml:space="preserve">  </w:t>
      </w:r>
      <w:r w:rsidR="00144ADE" w:rsidRPr="00455695">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3CDA7744" w14:textId="77777777" w:rsidR="00170F65" w:rsidRPr="00455695" w:rsidRDefault="000D31BB" w:rsidP="00783F68">
      <w:pPr>
        <w:spacing w:before="120" w:after="12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FP</w:t>
      </w:r>
      <w:r w:rsidRPr="00455695">
        <w:rPr>
          <w:rFonts w:ascii="Times New Roman" w:eastAsia="Times New Roman" w:hAnsi="Times New Roman"/>
          <w:b/>
          <w:bCs/>
          <w:sz w:val="20"/>
          <w:szCs w:val="20"/>
        </w:rPr>
        <w:t>A</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R</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in</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s</w:t>
      </w:r>
      <w:r w:rsidRPr="00455695">
        <w:rPr>
          <w:rFonts w:ascii="Times New Roman" w:eastAsia="Times New Roman" w:hAnsi="Times New Roman"/>
          <w:b/>
          <w:bCs/>
          <w:spacing w:val="-7"/>
          <w:sz w:val="20"/>
          <w:szCs w:val="20"/>
        </w:rPr>
        <w:t xml:space="preserve"> </w:t>
      </w:r>
      <w:r w:rsidR="00170F65" w:rsidRPr="00455695">
        <w:rPr>
          <w:rFonts w:ascii="Times New Roman" w:hAnsi="Times New Roman"/>
          <w:sz w:val="20"/>
          <w:szCs w:val="20"/>
        </w:rPr>
        <w:t>(0 = Minimal; 1 = Slight; 2 = Moderate; 3 = Serious; 4 = Severe)</w:t>
      </w:r>
      <w:r w:rsidRPr="00455695">
        <w:rPr>
          <w:rFonts w:ascii="Times New Roman" w:eastAsia="Times New Roman" w:hAnsi="Times New Roman"/>
          <w:b/>
          <w:bCs/>
          <w:sz w:val="20"/>
          <w:szCs w:val="20"/>
        </w:rPr>
        <w:tab/>
      </w:r>
    </w:p>
    <w:p w14:paraId="241E4BFD" w14:textId="77777777" w:rsidR="0022776B" w:rsidRPr="00455695" w:rsidRDefault="00170F65" w:rsidP="00170F65">
      <w:pPr>
        <w:tabs>
          <w:tab w:val="left" w:pos="360"/>
          <w:tab w:val="left" w:pos="2160"/>
          <w:tab w:val="left" w:pos="3600"/>
        </w:tabs>
        <w:spacing w:before="120" w:after="120" w:line="240" w:lineRule="auto"/>
        <w:jc w:val="both"/>
        <w:rPr>
          <w:rFonts w:ascii="Times New Roman" w:hAnsi="Times New Roman"/>
          <w:sz w:val="20"/>
          <w:szCs w:val="20"/>
        </w:rPr>
      </w:pPr>
      <w:r w:rsidRPr="00455695">
        <w:rPr>
          <w:rFonts w:ascii="Times New Roman" w:eastAsia="Times New Roman" w:hAnsi="Times New Roman"/>
          <w:sz w:val="20"/>
          <w:szCs w:val="20"/>
        </w:rPr>
        <w:tab/>
      </w:r>
      <w:r w:rsidR="000D31BB" w:rsidRPr="00455695">
        <w:rPr>
          <w:rFonts w:ascii="Times New Roman" w:eastAsia="Times New Roman" w:hAnsi="Times New Roman"/>
          <w:sz w:val="20"/>
          <w:szCs w:val="20"/>
        </w:rPr>
        <w:t xml:space="preserve">Health = </w:t>
      </w:r>
      <w:r w:rsidR="00ED5488">
        <w:rPr>
          <w:rFonts w:ascii="Times New Roman" w:hAnsi="Times New Roman"/>
          <w:sz w:val="20"/>
          <w:szCs w:val="20"/>
        </w:rPr>
        <w:t>1</w:t>
      </w:r>
      <w:r w:rsidR="000D31BB" w:rsidRPr="00455695">
        <w:rPr>
          <w:rFonts w:ascii="Times New Roman" w:eastAsia="Times New Roman" w:hAnsi="Times New Roman"/>
          <w:sz w:val="20"/>
          <w:szCs w:val="20"/>
        </w:rPr>
        <w:tab/>
        <w:t>Fi</w:t>
      </w:r>
      <w:r w:rsidR="000D31BB" w:rsidRPr="00455695">
        <w:rPr>
          <w:rFonts w:ascii="Times New Roman" w:eastAsia="Times New Roman" w:hAnsi="Times New Roman"/>
          <w:spacing w:val="1"/>
          <w:sz w:val="20"/>
          <w:szCs w:val="20"/>
        </w:rPr>
        <w:t>r</w:t>
      </w:r>
      <w:r w:rsidR="000D31BB" w:rsidRPr="00455695">
        <w:rPr>
          <w:rFonts w:ascii="Times New Roman" w:eastAsia="Times New Roman" w:hAnsi="Times New Roman"/>
          <w:sz w:val="20"/>
          <w:szCs w:val="20"/>
        </w:rPr>
        <w:t>e</w:t>
      </w:r>
      <w:r w:rsidR="000D31BB" w:rsidRPr="00455695">
        <w:rPr>
          <w:rFonts w:ascii="Times New Roman" w:eastAsia="Times New Roman" w:hAnsi="Times New Roman"/>
          <w:spacing w:val="-2"/>
          <w:sz w:val="20"/>
          <w:szCs w:val="20"/>
        </w:rPr>
        <w:t xml:space="preserve"> </w:t>
      </w:r>
      <w:r w:rsidR="000D31BB" w:rsidRPr="00455695">
        <w:rPr>
          <w:rFonts w:ascii="Times New Roman" w:eastAsia="Times New Roman" w:hAnsi="Times New Roman"/>
          <w:sz w:val="20"/>
          <w:szCs w:val="20"/>
        </w:rPr>
        <w:t xml:space="preserve">= </w:t>
      </w:r>
      <w:r w:rsidR="000D31BB" w:rsidRPr="00455695">
        <w:rPr>
          <w:rFonts w:ascii="Times New Roman" w:hAnsi="Times New Roman"/>
          <w:sz w:val="20"/>
          <w:szCs w:val="20"/>
        </w:rPr>
        <w:t>0</w:t>
      </w:r>
      <w:r w:rsidR="000D31BB" w:rsidRPr="00455695">
        <w:rPr>
          <w:rFonts w:ascii="Times New Roman" w:eastAsia="Times New Roman" w:hAnsi="Times New Roman"/>
          <w:sz w:val="20"/>
          <w:szCs w:val="20"/>
        </w:rPr>
        <w:tab/>
      </w:r>
      <w:r w:rsidR="000D31BB" w:rsidRPr="00455695">
        <w:rPr>
          <w:rFonts w:ascii="Times New Roman" w:eastAsia="Times New Roman" w:hAnsi="Times New Roman"/>
          <w:spacing w:val="-1"/>
          <w:sz w:val="20"/>
          <w:szCs w:val="20"/>
        </w:rPr>
        <w:t>R</w:t>
      </w:r>
      <w:r w:rsidR="000D31BB" w:rsidRPr="00455695">
        <w:rPr>
          <w:rFonts w:ascii="Times New Roman" w:eastAsia="Times New Roman" w:hAnsi="Times New Roman"/>
          <w:sz w:val="20"/>
          <w:szCs w:val="20"/>
        </w:rPr>
        <w:t>eacti</w:t>
      </w:r>
      <w:r w:rsidR="000D31BB" w:rsidRPr="00455695">
        <w:rPr>
          <w:rFonts w:ascii="Times New Roman" w:eastAsia="Times New Roman" w:hAnsi="Times New Roman"/>
          <w:spacing w:val="-1"/>
          <w:sz w:val="20"/>
          <w:szCs w:val="20"/>
        </w:rPr>
        <w:t>v</w:t>
      </w:r>
      <w:r w:rsidR="000D31BB" w:rsidRPr="00455695">
        <w:rPr>
          <w:rFonts w:ascii="Times New Roman" w:eastAsia="Times New Roman" w:hAnsi="Times New Roman"/>
          <w:sz w:val="20"/>
          <w:szCs w:val="20"/>
        </w:rPr>
        <w:t>ity</w:t>
      </w:r>
      <w:r w:rsidR="000D31BB" w:rsidRPr="00455695">
        <w:rPr>
          <w:rFonts w:ascii="Times New Roman" w:eastAsia="Times New Roman" w:hAnsi="Times New Roman"/>
          <w:spacing w:val="-11"/>
          <w:sz w:val="20"/>
          <w:szCs w:val="20"/>
        </w:rPr>
        <w:t xml:space="preserve"> </w:t>
      </w:r>
      <w:r w:rsidR="000D31BB" w:rsidRPr="00455695">
        <w:rPr>
          <w:rFonts w:ascii="Times New Roman" w:eastAsia="Times New Roman" w:hAnsi="Times New Roman"/>
          <w:sz w:val="20"/>
          <w:szCs w:val="20"/>
        </w:rPr>
        <w:t xml:space="preserve">= </w:t>
      </w:r>
      <w:r w:rsidR="000D31BB" w:rsidRPr="00455695">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455695" w14:paraId="304D589C" w14:textId="77777777" w:rsidTr="001D7FE4">
        <w:trPr>
          <w:trHeight w:hRule="exact" w:val="360"/>
        </w:trPr>
        <w:tc>
          <w:tcPr>
            <w:tcW w:w="9576" w:type="dxa"/>
            <w:vAlign w:val="center"/>
          </w:tcPr>
          <w:p w14:paraId="3955EC0C" w14:textId="77777777" w:rsidR="001D7FE4" w:rsidRPr="00455695" w:rsidRDefault="001D7FE4" w:rsidP="00037460">
            <w:pPr>
              <w:widowControl/>
              <w:spacing w:after="0" w:line="240" w:lineRule="auto"/>
              <w:rPr>
                <w:rFonts w:ascii="Times New Roman" w:eastAsia="Times New Roman" w:hAnsi="Times New Roman"/>
                <w:sz w:val="20"/>
                <w:szCs w:val="20"/>
              </w:rPr>
            </w:pPr>
            <w:r w:rsidRPr="00455695">
              <w:rPr>
                <w:rFonts w:ascii="Times New Roman" w:eastAsia="Times New Roman" w:hAnsi="Times New Roman"/>
                <w:b/>
                <w:bCs/>
                <w:position w:val="-1"/>
                <w:sz w:val="24"/>
                <w:szCs w:val="24"/>
              </w:rPr>
              <w:t>6.</w:t>
            </w:r>
            <w:r w:rsidRPr="00455695">
              <w:rPr>
                <w:rFonts w:ascii="Times New Roman" w:eastAsia="Times New Roman" w:hAnsi="Times New Roman"/>
                <w:b/>
                <w:bCs/>
                <w:spacing w:val="36"/>
                <w:position w:val="-1"/>
                <w:sz w:val="24"/>
                <w:szCs w:val="24"/>
              </w:rPr>
              <w:t xml:space="preserve"> </w:t>
            </w:r>
            <w:r w:rsidRPr="00455695">
              <w:rPr>
                <w:rFonts w:ascii="Times New Roman" w:eastAsia="Times New Roman" w:hAnsi="Times New Roman"/>
                <w:b/>
                <w:bCs/>
                <w:position w:val="-1"/>
                <w:sz w:val="24"/>
                <w:szCs w:val="24"/>
              </w:rPr>
              <w:t>A</w:t>
            </w:r>
            <w:r w:rsidRPr="00455695">
              <w:rPr>
                <w:rFonts w:ascii="Times New Roman" w:eastAsia="Times New Roman" w:hAnsi="Times New Roman"/>
                <w:b/>
                <w:bCs/>
                <w:position w:val="-1"/>
                <w:sz w:val="19"/>
                <w:szCs w:val="19"/>
              </w:rPr>
              <w:t>CC</w:t>
            </w:r>
            <w:r w:rsidRPr="00455695">
              <w:rPr>
                <w:rFonts w:ascii="Times New Roman" w:eastAsia="Times New Roman" w:hAnsi="Times New Roman"/>
                <w:b/>
                <w:bCs/>
                <w:spacing w:val="1"/>
                <w:position w:val="-1"/>
                <w:sz w:val="19"/>
                <w:szCs w:val="19"/>
              </w:rPr>
              <w:t>I</w:t>
            </w:r>
            <w:r w:rsidRPr="00455695">
              <w:rPr>
                <w:rFonts w:ascii="Times New Roman" w:eastAsia="Times New Roman" w:hAnsi="Times New Roman"/>
                <w:b/>
                <w:bCs/>
                <w:position w:val="-1"/>
                <w:sz w:val="19"/>
                <w:szCs w:val="19"/>
              </w:rPr>
              <w:t>D</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N</w:t>
            </w:r>
            <w:r w:rsidRPr="00455695">
              <w:rPr>
                <w:rFonts w:ascii="Times New Roman" w:eastAsia="Times New Roman" w:hAnsi="Times New Roman"/>
                <w:b/>
                <w:bCs/>
                <w:spacing w:val="1"/>
                <w:position w:val="-1"/>
                <w:sz w:val="19"/>
                <w:szCs w:val="19"/>
              </w:rPr>
              <w:t>T</w:t>
            </w:r>
            <w:r w:rsidRPr="00455695">
              <w:rPr>
                <w:rFonts w:ascii="Times New Roman" w:eastAsia="Times New Roman" w:hAnsi="Times New Roman"/>
                <w:b/>
                <w:bCs/>
                <w:position w:val="-1"/>
                <w:sz w:val="19"/>
                <w:szCs w:val="19"/>
              </w:rPr>
              <w:t>AL</w:t>
            </w:r>
            <w:r w:rsidRPr="00455695">
              <w:rPr>
                <w:rFonts w:ascii="Times New Roman" w:eastAsia="Times New Roman" w:hAnsi="Times New Roman"/>
                <w:b/>
                <w:bCs/>
                <w:spacing w:val="-9"/>
                <w:position w:val="-1"/>
                <w:sz w:val="19"/>
                <w:szCs w:val="19"/>
              </w:rPr>
              <w:t xml:space="preserve"> </w:t>
            </w:r>
            <w:r w:rsidRPr="00455695">
              <w:rPr>
                <w:rFonts w:ascii="Times New Roman" w:eastAsia="Times New Roman" w:hAnsi="Times New Roman"/>
                <w:b/>
                <w:bCs/>
                <w:position w:val="-1"/>
                <w:sz w:val="24"/>
                <w:szCs w:val="24"/>
              </w:rPr>
              <w:t>R</w:t>
            </w:r>
            <w:r w:rsidRPr="00455695">
              <w:rPr>
                <w:rFonts w:ascii="Times New Roman" w:eastAsia="Times New Roman" w:hAnsi="Times New Roman"/>
                <w:b/>
                <w:bCs/>
                <w:spacing w:val="1"/>
                <w:position w:val="-1"/>
                <w:sz w:val="19"/>
                <w:szCs w:val="19"/>
              </w:rPr>
              <w:t>ELE</w:t>
            </w:r>
            <w:r w:rsidRPr="00455695">
              <w:rPr>
                <w:rFonts w:ascii="Times New Roman" w:eastAsia="Times New Roman" w:hAnsi="Times New Roman"/>
                <w:b/>
                <w:bCs/>
                <w:position w:val="-1"/>
                <w:sz w:val="19"/>
                <w:szCs w:val="19"/>
              </w:rPr>
              <w:t>ASE</w:t>
            </w:r>
            <w:r w:rsidRPr="00455695">
              <w:rPr>
                <w:rFonts w:ascii="Times New Roman" w:eastAsia="Times New Roman" w:hAnsi="Times New Roman"/>
                <w:b/>
                <w:bCs/>
                <w:spacing w:val="-6"/>
                <w:position w:val="-1"/>
                <w:sz w:val="19"/>
                <w:szCs w:val="19"/>
              </w:rPr>
              <w:t xml:space="preserve"> </w:t>
            </w:r>
            <w:r w:rsidRPr="00455695">
              <w:rPr>
                <w:rFonts w:ascii="Times New Roman" w:eastAsia="Times New Roman" w:hAnsi="Times New Roman"/>
                <w:b/>
                <w:bCs/>
                <w:spacing w:val="-1"/>
                <w:position w:val="-1"/>
                <w:sz w:val="24"/>
                <w:szCs w:val="24"/>
              </w:rPr>
              <w:t>M</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ASUR</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S</w:t>
            </w:r>
          </w:p>
        </w:tc>
      </w:tr>
    </w:tbl>
    <w:p w14:paraId="224D20C1" w14:textId="77777777" w:rsidR="00717B98" w:rsidRPr="00E84BFE" w:rsidRDefault="001D7FE4" w:rsidP="00037460">
      <w:pPr>
        <w:widowControl/>
        <w:spacing w:before="120" w:after="120" w:line="240" w:lineRule="auto"/>
        <w:jc w:val="both"/>
        <w:rPr>
          <w:bCs/>
        </w:rPr>
      </w:pPr>
      <w:r>
        <w:rPr>
          <w:rFonts w:ascii="Times New Roman" w:eastAsia="Times New Roman" w:hAnsi="Times New Roman"/>
          <w:b/>
          <w:bCs/>
          <w:spacing w:val="1"/>
          <w:sz w:val="20"/>
          <w:szCs w:val="20"/>
        </w:rPr>
        <w:t xml:space="preserve">Personal Precautions, Protective Equipment and Emergency </w:t>
      </w:r>
      <w:r w:rsidRPr="00BC5C79">
        <w:rPr>
          <w:rFonts w:ascii="Times New Roman" w:eastAsia="Times New Roman" w:hAnsi="Times New Roman"/>
          <w:b/>
          <w:bCs/>
          <w:spacing w:val="1"/>
          <w:sz w:val="20"/>
          <w:szCs w:val="20"/>
        </w:rPr>
        <w:t>Procedures</w:t>
      </w:r>
      <w:r w:rsidR="00717B98">
        <w:rPr>
          <w:rFonts w:ascii="Times New Roman" w:eastAsia="Times New Roman" w:hAnsi="Times New Roman"/>
          <w:b/>
          <w:bCs/>
          <w:spacing w:val="1"/>
          <w:sz w:val="20"/>
          <w:szCs w:val="20"/>
        </w:rPr>
        <w:t xml:space="preserve">:  </w:t>
      </w:r>
      <w:r w:rsidR="00B824E8" w:rsidRPr="00E84BFE">
        <w:rPr>
          <w:rFonts w:ascii="Times New Roman" w:eastAsia="Times New Roman" w:hAnsi="Times New Roman"/>
          <w:bCs/>
          <w:spacing w:val="1"/>
          <w:sz w:val="20"/>
          <w:szCs w:val="20"/>
        </w:rPr>
        <w:t>Immediately contact emergency personnel.  Keep unnecessary personnel away.  Use suitable protective equipment</w:t>
      </w:r>
      <w:r w:rsidR="00C723CD">
        <w:rPr>
          <w:rFonts w:ascii="Times New Roman" w:eastAsia="Times New Roman" w:hAnsi="Times New Roman"/>
          <w:bCs/>
          <w:spacing w:val="1"/>
          <w:sz w:val="20"/>
          <w:szCs w:val="20"/>
        </w:rPr>
        <w:t>;</w:t>
      </w:r>
      <w:r w:rsidR="00C723CD" w:rsidRPr="003045F2">
        <w:rPr>
          <w:rFonts w:ascii="Times New Roman" w:eastAsia="Times New Roman" w:hAnsi="Times New Roman"/>
          <w:bCs/>
          <w:spacing w:val="1"/>
          <w:sz w:val="20"/>
          <w:szCs w:val="20"/>
        </w:rPr>
        <w:t xml:space="preserve"> </w:t>
      </w:r>
      <w:r w:rsidR="00B824E8" w:rsidRPr="003045F2">
        <w:rPr>
          <w:rFonts w:ascii="Times New Roman" w:eastAsia="Times New Roman" w:hAnsi="Times New Roman"/>
          <w:bCs/>
          <w:spacing w:val="1"/>
          <w:sz w:val="20"/>
          <w:szCs w:val="20"/>
        </w:rPr>
        <w:t>s</w:t>
      </w:r>
      <w:r w:rsidR="00B824E8" w:rsidRPr="00E84BFE">
        <w:rPr>
          <w:rFonts w:ascii="Times New Roman" w:eastAsia="Times New Roman" w:hAnsi="Times New Roman"/>
          <w:bCs/>
          <w:spacing w:val="1"/>
          <w:sz w:val="20"/>
          <w:szCs w:val="20"/>
        </w:rPr>
        <w:t>ee Section 8, “Exposure Controls and Personal Protection”.</w:t>
      </w:r>
      <w:r w:rsidR="00B824E8">
        <w:rPr>
          <w:rFonts w:ascii="Times New Roman" w:eastAsia="Times New Roman" w:hAnsi="Times New Roman"/>
          <w:bCs/>
          <w:spacing w:val="1"/>
          <w:sz w:val="20"/>
          <w:szCs w:val="20"/>
        </w:rPr>
        <w:t xml:space="preserve"> </w:t>
      </w:r>
    </w:p>
    <w:p w14:paraId="03EE5BEA" w14:textId="77777777" w:rsidR="006464DB" w:rsidRPr="00717B98" w:rsidRDefault="00BC5C79" w:rsidP="00037460">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Pr>
          <w:rFonts w:ascii="Times New Roman" w:eastAsia="Times New Roman" w:hAnsi="Times New Roman"/>
          <w:b/>
          <w:bCs/>
          <w:spacing w:val="1"/>
          <w:sz w:val="20"/>
          <w:szCs w:val="20"/>
        </w:rPr>
        <w:lastRenderedPageBreak/>
        <w:t>Methods and Materials for Containment and Clean up</w:t>
      </w:r>
      <w:r w:rsidR="00717B98">
        <w:rPr>
          <w:rFonts w:ascii="Times New Roman" w:eastAsia="Times New Roman" w:hAnsi="Times New Roman"/>
          <w:b/>
          <w:bCs/>
          <w:spacing w:val="1"/>
          <w:sz w:val="20"/>
          <w:szCs w:val="20"/>
        </w:rPr>
        <w:t xml:space="preserve">: </w:t>
      </w:r>
      <w:r w:rsidR="00717B98" w:rsidRPr="00717B98">
        <w:t xml:space="preserve"> </w:t>
      </w:r>
      <w:r w:rsidR="00493484" w:rsidRPr="00493484">
        <w:rPr>
          <w:rFonts w:ascii="Times New Roman" w:eastAsia="Times New Roman" w:hAnsi="Times New Roman"/>
          <w:bCs/>
          <w:spacing w:val="1"/>
          <w:sz w:val="20"/>
          <w:szCs w:val="20"/>
        </w:rPr>
        <w:t xml:space="preserve">Do not touch spilled material.  Notify safety personnel of spills.  Absorb with </w:t>
      </w:r>
      <w:r w:rsidR="00493484">
        <w:rPr>
          <w:rFonts w:ascii="Times New Roman" w:eastAsia="Times New Roman" w:hAnsi="Times New Roman"/>
          <w:bCs/>
          <w:spacing w:val="1"/>
          <w:sz w:val="20"/>
          <w:szCs w:val="20"/>
        </w:rPr>
        <w:t>sand or other non-</w:t>
      </w:r>
      <w:r w:rsidR="00493484" w:rsidRPr="00493484">
        <w:rPr>
          <w:rFonts w:ascii="Times New Roman" w:eastAsia="Times New Roman" w:hAnsi="Times New Roman"/>
          <w:bCs/>
          <w:spacing w:val="1"/>
          <w:sz w:val="20"/>
          <w:szCs w:val="20"/>
        </w:rPr>
        <w:t>combustible material.  Collect spilled material in appropriate container for disposal</w:t>
      </w:r>
      <w:r w:rsidR="00717B98" w:rsidRPr="00E84BFE">
        <w:rPr>
          <w:rFonts w:ascii="Times New Roman" w:eastAsia="Times New Roman" w:hAnsi="Times New Roman"/>
          <w:bCs/>
          <w:spacing w:val="1"/>
          <w:sz w:val="20"/>
          <w:szCs w:val="20"/>
        </w:rPr>
        <w:t>.  Isolate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0978501B" w14:textId="77777777" w:rsidTr="001D7FE4">
        <w:trPr>
          <w:trHeight w:hRule="exact" w:val="360"/>
        </w:trPr>
        <w:tc>
          <w:tcPr>
            <w:tcW w:w="9576" w:type="dxa"/>
            <w:vAlign w:val="center"/>
          </w:tcPr>
          <w:p w14:paraId="6A48E4A4" w14:textId="77777777" w:rsidR="001D7FE4" w:rsidRDefault="001D7FE4" w:rsidP="00037460">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67A5DE31" w14:textId="77777777" w:rsidR="001D7FE4" w:rsidRPr="00902F44" w:rsidRDefault="001D7FE4" w:rsidP="00037460">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9D41AB">
        <w:rPr>
          <w:rFonts w:ascii="Times New Roman" w:eastAsia="Times New Roman" w:hAnsi="Times New Roman"/>
          <w:bCs/>
          <w:spacing w:val="-6"/>
          <w:sz w:val="20"/>
          <w:szCs w:val="20"/>
        </w:rPr>
        <w:t xml:space="preserve">  </w:t>
      </w:r>
      <w:r w:rsidR="000E30C9" w:rsidRPr="009D41AB">
        <w:rPr>
          <w:rFonts w:ascii="Times New Roman" w:eastAsia="Times New Roman" w:hAnsi="Times New Roman"/>
          <w:bCs/>
          <w:spacing w:val="-6"/>
          <w:sz w:val="20"/>
          <w:szCs w:val="20"/>
        </w:rPr>
        <w:t xml:space="preserve">Use methods to minimize dust.  </w:t>
      </w:r>
      <w:r w:rsidR="003045F2" w:rsidRPr="003045F2">
        <w:rPr>
          <w:rFonts w:ascii="Times New Roman" w:hAnsi="Times New Roman"/>
          <w:sz w:val="20"/>
          <w:szCs w:val="20"/>
        </w:rPr>
        <w:t>See Section 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6149FB74" w14:textId="77777777" w:rsidR="00D25DBF" w:rsidRPr="00717B98" w:rsidRDefault="00FD5524" w:rsidP="00037460">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Pr>
          <w:rFonts w:ascii="Times New Roman" w:eastAsia="Times New Roman" w:hAnsi="Times New Roman"/>
          <w:b/>
          <w:bCs/>
          <w:sz w:val="20"/>
          <w:szCs w:val="20"/>
        </w:rPr>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and handling in accordance with all current regulations and standards.  </w:t>
      </w:r>
      <w:r w:rsidRPr="00902F44">
        <w:rPr>
          <w:rFonts w:ascii="Times New Roman" w:hAnsi="Times New Roman"/>
          <w:sz w:val="20"/>
          <w:szCs w:val="20"/>
        </w:rPr>
        <w:t>Keep separated from incompatible substances</w:t>
      </w:r>
      <w:r w:rsidR="000E30C9">
        <w:rPr>
          <w:rFonts w:ascii="Times New Roman" w:hAnsi="Times New Roman"/>
          <w:sz w:val="20"/>
          <w:szCs w:val="20"/>
        </w:rPr>
        <w:t>;</w:t>
      </w:r>
      <w:r w:rsidR="00ED5488">
        <w:rPr>
          <w:rFonts w:ascii="Times New Roman" w:eastAsia="Times New Roman" w:hAnsi="Times New Roman"/>
          <w:bCs/>
          <w:sz w:val="20"/>
          <w:szCs w:val="20"/>
        </w:rPr>
        <w:t xml:space="preserve"> see Section 10 </w:t>
      </w:r>
      <w:r w:rsidR="000E08E6">
        <w:rPr>
          <w:rFonts w:ascii="Times New Roman" w:eastAsia="Times New Roman" w:hAnsi="Times New Roman"/>
          <w:bCs/>
          <w:sz w:val="20"/>
          <w:szCs w:val="20"/>
        </w:rPr>
        <w:t>“</w:t>
      </w:r>
      <w:r w:rsidR="00ED5488">
        <w:rPr>
          <w:rFonts w:ascii="Times New Roman" w:eastAsia="Times New Roman" w:hAnsi="Times New Roman"/>
          <w:bCs/>
          <w:sz w:val="20"/>
          <w:szCs w:val="20"/>
        </w:rPr>
        <w:t>Stability and Reactivity</w:t>
      </w:r>
      <w:r w:rsidR="000E08E6">
        <w:rPr>
          <w:rFonts w:ascii="Times New Roman" w:eastAsia="Times New Roman" w:hAnsi="Times New Roman"/>
          <w:bCs/>
          <w:sz w:val="20"/>
          <w:szCs w:val="20"/>
        </w:rPr>
        <w:t>”</w:t>
      </w:r>
      <w:r w:rsidR="00ED5488">
        <w:rPr>
          <w:rFonts w:ascii="Times New Roman" w:eastAsia="Times New Roman" w:hAnsi="Times New Roman"/>
          <w:bCs/>
          <w:sz w:val="20"/>
          <w:szCs w:val="20"/>
        </w:rPr>
        <w:t xml:space="preserve"> for incompatible substances</w:t>
      </w:r>
      <w:r w:rsidR="00C661E3" w:rsidRPr="00C661E3">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BD8A861" w14:textId="77777777" w:rsidTr="00D25DBF">
        <w:trPr>
          <w:trHeight w:hRule="exact" w:val="360"/>
        </w:trPr>
        <w:tc>
          <w:tcPr>
            <w:tcW w:w="9576" w:type="dxa"/>
            <w:vAlign w:val="center"/>
          </w:tcPr>
          <w:p w14:paraId="6E40826E" w14:textId="77777777" w:rsidR="00D25DBF" w:rsidRDefault="00D25DBF" w:rsidP="00037460">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01C052CE" w14:textId="77777777" w:rsidR="00893F73" w:rsidRDefault="001D7FE4" w:rsidP="00037460">
      <w:pPr>
        <w:keepNext/>
        <w:widowControl/>
        <w:spacing w:before="120" w:after="120" w:line="240" w:lineRule="auto"/>
        <w:jc w:val="both"/>
        <w:rPr>
          <w:rFonts w:ascii="Times New Roman" w:eastAsia="Times New Roman" w:hAnsi="Times New Roman"/>
          <w:sz w:val="19"/>
          <w:szCs w:val="19"/>
        </w:rPr>
      </w:pPr>
      <w:r>
        <w:rPr>
          <w:rFonts w:ascii="Times New Roman" w:eastAsia="Times New Roman" w:hAnsi="Times New Roman"/>
          <w:b/>
          <w:bCs/>
          <w:spacing w:val="-1"/>
          <w:sz w:val="20"/>
          <w:szCs w:val="20"/>
        </w:rPr>
        <w:t>Ex</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z w:val="20"/>
          <w:szCs w:val="20"/>
        </w:rPr>
        <w:t>ure</w:t>
      </w:r>
      <w:r>
        <w:rPr>
          <w:rFonts w:ascii="Times New Roman" w:eastAsia="Times New Roman" w:hAnsi="Times New Roman"/>
          <w:b/>
          <w:bCs/>
          <w:spacing w:val="-7"/>
          <w:sz w:val="20"/>
          <w:szCs w:val="20"/>
        </w:rPr>
        <w:t xml:space="preserve"> </w:t>
      </w:r>
      <w:r>
        <w:rPr>
          <w:rFonts w:ascii="Times New Roman" w:eastAsia="Times New Roman" w:hAnsi="Times New Roman"/>
          <w:b/>
          <w:bCs/>
          <w:spacing w:val="-1"/>
          <w:sz w:val="20"/>
          <w:szCs w:val="20"/>
        </w:rPr>
        <w:t>L</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i</w:t>
      </w:r>
      <w:r>
        <w:rPr>
          <w:rFonts w:ascii="Times New Roman" w:eastAsia="Times New Roman" w:hAnsi="Times New Roman"/>
          <w:b/>
          <w:bCs/>
          <w:spacing w:val="1"/>
          <w:sz w:val="20"/>
          <w:szCs w:val="20"/>
        </w:rPr>
        <w:t>t</w:t>
      </w:r>
      <w:r>
        <w:rPr>
          <w:rFonts w:ascii="Times New Roman" w:eastAsia="Times New Roman" w:hAnsi="Times New Roman"/>
          <w:b/>
          <w:bCs/>
          <w:sz w:val="20"/>
          <w:szCs w:val="20"/>
        </w:rPr>
        <w:t>s</w:t>
      </w:r>
      <w:r w:rsidR="005F656F">
        <w:rPr>
          <w:rFonts w:ascii="Times New Roman" w:eastAsia="Times New Roman" w:hAnsi="Times New Roman"/>
          <w:b/>
          <w:bCs/>
          <w:sz w:val="20"/>
          <w:szCs w:val="20"/>
        </w:rPr>
        <w:t>:</w:t>
      </w:r>
    </w:p>
    <w:p w14:paraId="4A3559D7" w14:textId="77777777" w:rsidR="000E08E6" w:rsidRDefault="006C412A" w:rsidP="00305987">
      <w:pPr>
        <w:widowControl/>
        <w:tabs>
          <w:tab w:val="decimal" w:pos="2160"/>
          <w:tab w:val="right" w:pos="3150"/>
        </w:tabs>
        <w:overflowPunct w:val="0"/>
        <w:autoSpaceDE w:val="0"/>
        <w:autoSpaceDN w:val="0"/>
        <w:adjustRightInd w:val="0"/>
        <w:spacing w:after="0" w:line="240" w:lineRule="auto"/>
        <w:ind w:left="180" w:firstLine="180"/>
        <w:textAlignment w:val="baseline"/>
        <w:rPr>
          <w:rFonts w:ascii="Times New Roman" w:eastAsia="Times New Roman" w:hAnsi="Times New Roman"/>
          <w:sz w:val="20"/>
          <w:szCs w:val="20"/>
        </w:rPr>
      </w:pPr>
      <w:r w:rsidRPr="003045F2">
        <w:rPr>
          <w:rFonts w:ascii="Times New Roman" w:eastAsia="Times New Roman" w:hAnsi="Times New Roman"/>
          <w:sz w:val="20"/>
          <w:szCs w:val="20"/>
        </w:rPr>
        <w:t>NIOSH</w:t>
      </w:r>
      <w:r>
        <w:rPr>
          <w:rFonts w:ascii="Times New Roman" w:eastAsia="Times New Roman" w:hAnsi="Times New Roman"/>
          <w:sz w:val="20"/>
          <w:szCs w:val="20"/>
        </w:rPr>
        <w:t xml:space="preserve"> (REL)</w:t>
      </w:r>
      <w:r w:rsidRPr="003045F2">
        <w:rPr>
          <w:rFonts w:ascii="Times New Roman" w:eastAsia="Times New Roman" w:hAnsi="Times New Roman"/>
          <w:sz w:val="20"/>
          <w:szCs w:val="20"/>
        </w:rPr>
        <w:t>:</w:t>
      </w:r>
      <w:r w:rsidR="000E08E6">
        <w:rPr>
          <w:rFonts w:ascii="Times New Roman" w:eastAsia="Times New Roman" w:hAnsi="Times New Roman"/>
          <w:sz w:val="20"/>
          <w:szCs w:val="20"/>
        </w:rPr>
        <w:tab/>
      </w:r>
      <w:r w:rsidRPr="003045F2">
        <w:rPr>
          <w:rFonts w:ascii="Times New Roman" w:eastAsia="Times New Roman" w:hAnsi="Times New Roman"/>
          <w:sz w:val="20"/>
          <w:szCs w:val="20"/>
        </w:rPr>
        <w:tab/>
      </w:r>
      <w:r w:rsidR="000E08E6">
        <w:rPr>
          <w:rFonts w:ascii="Times New Roman" w:eastAsia="Times New Roman" w:hAnsi="Times New Roman"/>
          <w:sz w:val="20"/>
          <w:szCs w:val="20"/>
        </w:rPr>
        <w:t>No exposure limits established</w:t>
      </w:r>
      <w:r w:rsidR="003E2775">
        <w:rPr>
          <w:rFonts w:ascii="Times New Roman" w:eastAsia="Times New Roman" w:hAnsi="Times New Roman"/>
          <w:sz w:val="20"/>
          <w:szCs w:val="20"/>
        </w:rPr>
        <w:t xml:space="preserve"> for potassium nitrate</w:t>
      </w:r>
      <w:r w:rsidR="000E08E6">
        <w:rPr>
          <w:rFonts w:ascii="Times New Roman" w:eastAsia="Times New Roman" w:hAnsi="Times New Roman"/>
          <w:sz w:val="20"/>
          <w:szCs w:val="20"/>
        </w:rPr>
        <w:t>.</w:t>
      </w:r>
    </w:p>
    <w:p w14:paraId="7BC45F00" w14:textId="77777777" w:rsidR="006C412A" w:rsidRPr="00F00117" w:rsidRDefault="006C412A" w:rsidP="0099140F">
      <w:pPr>
        <w:widowControl/>
        <w:tabs>
          <w:tab w:val="decimal" w:pos="2160"/>
          <w:tab w:val="right" w:pos="3150"/>
        </w:tabs>
        <w:overflowPunct w:val="0"/>
        <w:autoSpaceDE w:val="0"/>
        <w:autoSpaceDN w:val="0"/>
        <w:adjustRightInd w:val="0"/>
        <w:spacing w:after="0" w:line="240" w:lineRule="auto"/>
        <w:ind w:left="180" w:firstLine="180"/>
        <w:textAlignment w:val="baseline"/>
        <w:rPr>
          <w:rFonts w:ascii="Times New Roman" w:eastAsia="Times New Roman" w:hAnsi="Times New Roman"/>
          <w:sz w:val="20"/>
          <w:szCs w:val="20"/>
        </w:rPr>
      </w:pPr>
      <w:r w:rsidRPr="003045F2">
        <w:rPr>
          <w:rFonts w:ascii="Times New Roman" w:eastAsia="Times New Roman" w:hAnsi="Times New Roman"/>
          <w:sz w:val="20"/>
          <w:szCs w:val="20"/>
        </w:rPr>
        <w:t>ACGIH</w:t>
      </w:r>
      <w:r>
        <w:rPr>
          <w:rFonts w:ascii="Times New Roman" w:eastAsia="Times New Roman" w:hAnsi="Times New Roman"/>
          <w:sz w:val="20"/>
          <w:szCs w:val="20"/>
        </w:rPr>
        <w:t> (TLV)</w:t>
      </w:r>
      <w:r w:rsidRPr="003045F2">
        <w:rPr>
          <w:rFonts w:ascii="Times New Roman" w:eastAsia="Times New Roman" w:hAnsi="Times New Roman"/>
          <w:sz w:val="20"/>
          <w:szCs w:val="20"/>
        </w:rPr>
        <w:t>:</w:t>
      </w:r>
      <w:r w:rsidRPr="003045F2">
        <w:rPr>
          <w:rFonts w:ascii="Times New Roman" w:eastAsia="Times New Roman" w:hAnsi="Times New Roman"/>
          <w:sz w:val="20"/>
          <w:szCs w:val="20"/>
        </w:rPr>
        <w:tab/>
      </w:r>
      <w:r w:rsidR="000E08E6">
        <w:rPr>
          <w:rFonts w:ascii="Times New Roman" w:eastAsia="Times New Roman" w:hAnsi="Times New Roman"/>
          <w:sz w:val="20"/>
          <w:szCs w:val="20"/>
        </w:rPr>
        <w:tab/>
      </w:r>
      <w:r w:rsidR="003E2775">
        <w:rPr>
          <w:rFonts w:ascii="Times New Roman" w:eastAsia="Times New Roman" w:hAnsi="Times New Roman"/>
          <w:sz w:val="20"/>
          <w:szCs w:val="20"/>
        </w:rPr>
        <w:t>No exposure limits established for potassium nitrate.</w:t>
      </w:r>
    </w:p>
    <w:p w14:paraId="56E310A6" w14:textId="77777777" w:rsidR="00F915EA" w:rsidRDefault="006C412A" w:rsidP="00E85E49">
      <w:pPr>
        <w:widowControl/>
        <w:tabs>
          <w:tab w:val="decimal" w:pos="2160"/>
          <w:tab w:val="right" w:pos="3150"/>
        </w:tabs>
        <w:overflowPunct w:val="0"/>
        <w:autoSpaceDE w:val="0"/>
        <w:autoSpaceDN w:val="0"/>
        <w:adjustRightInd w:val="0"/>
        <w:spacing w:after="0" w:line="240" w:lineRule="auto"/>
        <w:ind w:left="180" w:firstLine="180"/>
        <w:textAlignment w:val="baseline"/>
        <w:rPr>
          <w:rFonts w:ascii="Times New Roman" w:eastAsia="Times New Roman" w:hAnsi="Times New Roman"/>
          <w:sz w:val="20"/>
          <w:szCs w:val="20"/>
        </w:rPr>
      </w:pPr>
      <w:r w:rsidRPr="003045F2">
        <w:rPr>
          <w:rFonts w:ascii="Times New Roman" w:eastAsia="Times New Roman" w:hAnsi="Times New Roman"/>
          <w:sz w:val="20"/>
          <w:szCs w:val="20"/>
        </w:rPr>
        <w:t>OSHA (</w:t>
      </w:r>
      <w:r>
        <w:rPr>
          <w:rFonts w:ascii="Times New Roman" w:eastAsia="Times New Roman" w:hAnsi="Times New Roman"/>
          <w:sz w:val="20"/>
          <w:szCs w:val="20"/>
        </w:rPr>
        <w:t>PEL</w:t>
      </w:r>
      <w:r w:rsidRPr="003045F2">
        <w:rPr>
          <w:rFonts w:ascii="Times New Roman" w:eastAsia="Times New Roman" w:hAnsi="Times New Roman"/>
          <w:sz w:val="20"/>
          <w:szCs w:val="20"/>
        </w:rPr>
        <w:t>):</w:t>
      </w:r>
      <w:r w:rsidRPr="003045F2">
        <w:rPr>
          <w:rFonts w:ascii="Times New Roman" w:eastAsia="Times New Roman" w:hAnsi="Times New Roman"/>
          <w:sz w:val="20"/>
          <w:szCs w:val="20"/>
        </w:rPr>
        <w:tab/>
      </w:r>
      <w:r w:rsidR="00254F16">
        <w:rPr>
          <w:rFonts w:ascii="Times New Roman" w:eastAsia="Times New Roman" w:hAnsi="Times New Roman"/>
          <w:sz w:val="20"/>
          <w:szCs w:val="20"/>
        </w:rPr>
        <w:tab/>
      </w:r>
      <w:r w:rsidR="003E2775">
        <w:rPr>
          <w:rFonts w:ascii="Times New Roman" w:eastAsia="Times New Roman" w:hAnsi="Times New Roman"/>
          <w:sz w:val="20"/>
          <w:szCs w:val="20"/>
        </w:rPr>
        <w:t>15 mg/m</w:t>
      </w:r>
      <w:r w:rsidR="003E2775">
        <w:rPr>
          <w:rFonts w:ascii="Times New Roman" w:eastAsia="Times New Roman" w:hAnsi="Times New Roman"/>
          <w:sz w:val="20"/>
          <w:szCs w:val="20"/>
          <w:vertAlign w:val="superscript"/>
        </w:rPr>
        <w:t>3</w:t>
      </w:r>
      <w:r w:rsidR="003E2775">
        <w:rPr>
          <w:rFonts w:ascii="Times New Roman" w:eastAsia="Times New Roman" w:hAnsi="Times New Roman"/>
          <w:sz w:val="20"/>
          <w:szCs w:val="20"/>
        </w:rPr>
        <w:t xml:space="preserve"> (</w:t>
      </w:r>
      <w:r w:rsidR="00F915EA">
        <w:rPr>
          <w:rFonts w:ascii="Times New Roman" w:eastAsia="Times New Roman" w:hAnsi="Times New Roman"/>
          <w:sz w:val="20"/>
          <w:szCs w:val="20"/>
        </w:rPr>
        <w:t xml:space="preserve">TWA, </w:t>
      </w:r>
      <w:r w:rsidR="003E2775">
        <w:rPr>
          <w:rFonts w:ascii="Times New Roman" w:eastAsia="Times New Roman" w:hAnsi="Times New Roman"/>
          <w:sz w:val="20"/>
          <w:szCs w:val="20"/>
        </w:rPr>
        <w:t xml:space="preserve">total dust); </w:t>
      </w:r>
      <w:r w:rsidR="00254F16">
        <w:rPr>
          <w:rFonts w:ascii="Times New Roman" w:eastAsia="Times New Roman" w:hAnsi="Times New Roman"/>
          <w:sz w:val="20"/>
          <w:szCs w:val="20"/>
        </w:rPr>
        <w:t>5 mg/m</w:t>
      </w:r>
      <w:r w:rsidR="00254F16">
        <w:rPr>
          <w:rFonts w:ascii="Times New Roman" w:eastAsia="Times New Roman" w:hAnsi="Times New Roman"/>
          <w:sz w:val="20"/>
          <w:szCs w:val="20"/>
          <w:vertAlign w:val="superscript"/>
        </w:rPr>
        <w:t>3</w:t>
      </w:r>
      <w:r w:rsidR="00254F16">
        <w:rPr>
          <w:rFonts w:ascii="Times New Roman" w:eastAsia="Times New Roman" w:hAnsi="Times New Roman"/>
          <w:sz w:val="20"/>
          <w:szCs w:val="20"/>
        </w:rPr>
        <w:t xml:space="preserve"> (</w:t>
      </w:r>
      <w:r w:rsidR="00F915EA">
        <w:rPr>
          <w:rFonts w:ascii="Times New Roman" w:eastAsia="Times New Roman" w:hAnsi="Times New Roman"/>
          <w:sz w:val="20"/>
          <w:szCs w:val="20"/>
        </w:rPr>
        <w:t xml:space="preserve">TWA, </w:t>
      </w:r>
      <w:proofErr w:type="spellStart"/>
      <w:r w:rsidR="00254F16">
        <w:rPr>
          <w:rFonts w:ascii="Times New Roman" w:eastAsia="Times New Roman" w:hAnsi="Times New Roman"/>
          <w:sz w:val="20"/>
          <w:szCs w:val="20"/>
        </w:rPr>
        <w:t>respirable</w:t>
      </w:r>
      <w:proofErr w:type="spellEnd"/>
      <w:r w:rsidR="00254F16">
        <w:rPr>
          <w:rFonts w:ascii="Times New Roman" w:eastAsia="Times New Roman" w:hAnsi="Times New Roman"/>
          <w:sz w:val="20"/>
          <w:szCs w:val="20"/>
        </w:rPr>
        <w:t xml:space="preserve"> fraction); </w:t>
      </w:r>
    </w:p>
    <w:p w14:paraId="377D884C" w14:textId="08039F6D" w:rsidR="003E2775" w:rsidRPr="003E2775" w:rsidRDefault="00F915EA" w:rsidP="00E85E49">
      <w:pPr>
        <w:widowControl/>
        <w:tabs>
          <w:tab w:val="decimal" w:pos="2160"/>
          <w:tab w:val="right" w:pos="3150"/>
        </w:tabs>
        <w:overflowPunct w:val="0"/>
        <w:autoSpaceDE w:val="0"/>
        <w:autoSpaceDN w:val="0"/>
        <w:adjustRightInd w:val="0"/>
        <w:spacing w:after="0" w:line="240" w:lineRule="auto"/>
        <w:ind w:left="180" w:firstLine="180"/>
        <w:textAlignment w:val="baseline"/>
        <w:rPr>
          <w:rFonts w:ascii="Times New Roman" w:eastAsia="Times New Roman" w:hAnsi="Times New Roman"/>
          <w:sz w:val="20"/>
          <w:szCs w:val="20"/>
        </w:rPr>
      </w:pPr>
      <w:r>
        <w:rPr>
          <w:rFonts w:ascii="Times New Roman" w:eastAsia="Times New Roman" w:hAnsi="Times New Roman"/>
          <w:sz w:val="20"/>
          <w:szCs w:val="20"/>
        </w:rPr>
        <w:tab/>
      </w:r>
      <w:r>
        <w:rPr>
          <w:rFonts w:ascii="Times New Roman" w:eastAsia="Times New Roman" w:hAnsi="Times New Roman"/>
          <w:sz w:val="20"/>
          <w:szCs w:val="20"/>
        </w:rPr>
        <w:tab/>
      </w:r>
      <w:r w:rsidR="00254F16">
        <w:rPr>
          <w:rFonts w:ascii="Times New Roman" w:eastAsia="Times New Roman" w:hAnsi="Times New Roman"/>
          <w:sz w:val="20"/>
          <w:szCs w:val="20"/>
        </w:rPr>
        <w:t>Particulates not otherwise regulated.</w:t>
      </w:r>
    </w:p>
    <w:p w14:paraId="65E2AAD7" w14:textId="68C62E7A" w:rsidR="006C412A" w:rsidRPr="003045F2" w:rsidRDefault="003E2775">
      <w:pPr>
        <w:widowControl/>
        <w:tabs>
          <w:tab w:val="left" w:pos="2160"/>
        </w:tabs>
        <w:overflowPunct w:val="0"/>
        <w:autoSpaceDE w:val="0"/>
        <w:autoSpaceDN w:val="0"/>
        <w:adjustRightInd w:val="0"/>
        <w:spacing w:after="0" w:line="240" w:lineRule="auto"/>
        <w:ind w:left="180" w:firstLine="180"/>
        <w:textAlignment w:val="baseline"/>
        <w:rPr>
          <w:rFonts w:ascii="Times New Roman" w:eastAsia="Times New Roman" w:hAnsi="Times New Roman"/>
          <w:sz w:val="20"/>
          <w:szCs w:val="20"/>
        </w:rPr>
      </w:pPr>
      <w:r>
        <w:rPr>
          <w:rFonts w:ascii="Times New Roman" w:eastAsia="Times New Roman" w:hAnsi="Times New Roman"/>
          <w:sz w:val="20"/>
          <w:szCs w:val="20"/>
        </w:rPr>
        <w:tab/>
      </w:r>
    </w:p>
    <w:p w14:paraId="43C0F523" w14:textId="77777777" w:rsidR="0031663D" w:rsidRDefault="0031663D" w:rsidP="00037460">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5C89234B" w14:textId="77777777" w:rsidR="0031663D" w:rsidRDefault="00194A53" w:rsidP="00037460">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1A69D9">
        <w:rPr>
          <w:rFonts w:ascii="Times New Roman" w:eastAsia="Times New Roman" w:hAnsi="Times New Roman"/>
          <w:sz w:val="20"/>
          <w:szCs w:val="20"/>
        </w:rPr>
        <w:t>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771459">
        <w:rPr>
          <w:rFonts w:ascii="Times New Roman" w:eastAsia="Times New Roman" w:hAnsi="Times New Roman"/>
          <w:sz w:val="20"/>
          <w:szCs w:val="20"/>
        </w:rPr>
        <w:t>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EC341C">
        <w:rPr>
          <w:rFonts w:ascii="Times New Roman" w:eastAsia="Times New Roman" w:hAnsi="Times New Roman"/>
          <w:sz w:val="20"/>
          <w:szCs w:val="20"/>
        </w:rPr>
        <w:t>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141BDD73" w14:textId="77777777" w:rsidR="0031663D" w:rsidRDefault="0031663D" w:rsidP="00037460">
      <w:pPr>
        <w:widowControl/>
        <w:spacing w:after="0" w:line="240" w:lineRule="auto"/>
        <w:ind w:left="720"/>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0C0B3928" w14:textId="77777777" w:rsidR="0031663D" w:rsidRPr="00783F68" w:rsidRDefault="0031663D" w:rsidP="00037460">
      <w:pPr>
        <w:widowControl/>
        <w:spacing w:before="120" w:after="120" w:line="240" w:lineRule="auto"/>
        <w:ind w:left="720"/>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 wash station should be readily available near areas of use.</w:t>
      </w:r>
    </w:p>
    <w:p w14:paraId="259C65BC" w14:textId="77777777" w:rsidR="00D25DBF" w:rsidRPr="00D25DBF" w:rsidRDefault="00194A53" w:rsidP="00037460">
      <w:pPr>
        <w:widowControl/>
        <w:spacing w:before="120" w:after="120" w:line="240" w:lineRule="auto"/>
        <w:ind w:left="720"/>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771459">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r w:rsidR="00D25DBF" w:rsidRPr="00D25DBF">
        <w:rPr>
          <w:rFonts w:ascii="Times New Roman" w:eastAsia="Times New Roman" w:hAnsi="Times New Roman"/>
          <w:sz w:val="20"/>
          <w:szCs w:val="20"/>
        </w:rPr>
        <w:t xml:space="preserve"> </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677EDF4D" w14:textId="77777777" w:rsidTr="00D25DBF">
        <w:trPr>
          <w:trHeight w:hRule="exact" w:val="360"/>
        </w:trPr>
        <w:tc>
          <w:tcPr>
            <w:tcW w:w="9576" w:type="dxa"/>
            <w:vAlign w:val="center"/>
          </w:tcPr>
          <w:p w14:paraId="7BF7AB98" w14:textId="77777777" w:rsidR="00D25DBF" w:rsidRPr="00D25DBF" w:rsidRDefault="00D25DBF" w:rsidP="00305987">
            <w:pPr>
              <w:widowControl/>
              <w:overflowPunct w:val="0"/>
              <w:autoSpaceDE w:val="0"/>
              <w:autoSpaceDN w:val="0"/>
              <w:adjustRightInd w:val="0"/>
              <w:spacing w:after="0" w:line="36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09497B32" w14:textId="77777777" w:rsidR="00921852" w:rsidRPr="00D25DBF" w:rsidRDefault="00921852" w:rsidP="00305987">
      <w:pPr>
        <w:widowControl/>
        <w:overflowPunct w:val="0"/>
        <w:autoSpaceDE w:val="0"/>
        <w:autoSpaceDN w:val="0"/>
        <w:adjustRightInd w:val="0"/>
        <w:spacing w:before="120" w:after="120" w:line="240" w:lineRule="auto"/>
        <w:jc w:val="both"/>
        <w:textAlignment w:val="baseline"/>
        <w:rPr>
          <w:rFonts w:ascii="Times New Roman" w:eastAsia="Times New Roman" w:hAnsi="Times New Roman"/>
          <w:sz w:val="20"/>
          <w:szCs w:val="20"/>
        </w:rPr>
      </w:pPr>
    </w:p>
    <w:tbl>
      <w:tblPr>
        <w:tblStyle w:val="TableGrid"/>
        <w:tblW w:w="68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2520"/>
      </w:tblGrid>
      <w:tr w:rsidR="0022776B" w:rsidRPr="00921852" w14:paraId="5B73F4D0" w14:textId="77777777" w:rsidTr="00921852">
        <w:trPr>
          <w:jc w:val="center"/>
        </w:trPr>
        <w:tc>
          <w:tcPr>
            <w:tcW w:w="4338" w:type="dxa"/>
          </w:tcPr>
          <w:p w14:paraId="6307E80E" w14:textId="77777777" w:rsidR="0022776B" w:rsidRPr="00921852" w:rsidRDefault="0022776B" w:rsidP="0099140F">
            <w:pPr>
              <w:pStyle w:val="Default"/>
              <w:rPr>
                <w:b/>
                <w:color w:val="auto"/>
                <w:sz w:val="20"/>
                <w:szCs w:val="20"/>
              </w:rPr>
            </w:pPr>
            <w:r w:rsidRPr="00921852">
              <w:rPr>
                <w:b/>
                <w:color w:val="auto"/>
                <w:sz w:val="20"/>
                <w:szCs w:val="20"/>
              </w:rPr>
              <w:t>Descriptive Properties:</w:t>
            </w:r>
          </w:p>
        </w:tc>
        <w:tc>
          <w:tcPr>
            <w:tcW w:w="2520" w:type="dxa"/>
          </w:tcPr>
          <w:p w14:paraId="415E5872" w14:textId="77777777" w:rsidR="0022776B" w:rsidRPr="00921852" w:rsidRDefault="0022776B" w:rsidP="00E85E49">
            <w:pPr>
              <w:pStyle w:val="Default"/>
              <w:spacing w:after="120"/>
              <w:jc w:val="center"/>
              <w:rPr>
                <w:b/>
                <w:color w:val="auto"/>
                <w:sz w:val="20"/>
                <w:szCs w:val="20"/>
              </w:rPr>
            </w:pPr>
            <w:r w:rsidRPr="00921852">
              <w:rPr>
                <w:b/>
                <w:color w:val="auto"/>
                <w:sz w:val="20"/>
                <w:szCs w:val="20"/>
              </w:rPr>
              <w:t>Potassium Nitrate</w:t>
            </w:r>
          </w:p>
        </w:tc>
      </w:tr>
      <w:tr w:rsidR="0022776B" w:rsidRPr="00921852" w14:paraId="27A33C92" w14:textId="77777777" w:rsidTr="00921852">
        <w:trPr>
          <w:jc w:val="center"/>
        </w:trPr>
        <w:tc>
          <w:tcPr>
            <w:tcW w:w="4338" w:type="dxa"/>
          </w:tcPr>
          <w:p w14:paraId="0A83C2E1" w14:textId="77777777" w:rsidR="0022776B" w:rsidRPr="00921852" w:rsidRDefault="0022776B" w:rsidP="00305987">
            <w:pPr>
              <w:pStyle w:val="Default"/>
              <w:spacing w:before="40"/>
              <w:ind w:left="360"/>
              <w:rPr>
                <w:b/>
                <w:color w:val="auto"/>
                <w:sz w:val="20"/>
                <w:szCs w:val="20"/>
              </w:rPr>
            </w:pPr>
            <w:r w:rsidRPr="00921852">
              <w:rPr>
                <w:b/>
                <w:color w:val="auto"/>
                <w:sz w:val="20"/>
                <w:szCs w:val="20"/>
              </w:rPr>
              <w:t xml:space="preserve">Appearance </w:t>
            </w:r>
            <w:r w:rsidRPr="00921852">
              <w:rPr>
                <w:b/>
                <w:color w:val="auto"/>
                <w:sz w:val="20"/>
                <w:szCs w:val="20"/>
              </w:rPr>
              <w:br/>
              <w:t>(physical state, color, etc.):</w:t>
            </w:r>
          </w:p>
        </w:tc>
        <w:tc>
          <w:tcPr>
            <w:tcW w:w="2520" w:type="dxa"/>
          </w:tcPr>
          <w:p w14:paraId="7BD7FA1E" w14:textId="77777777" w:rsidR="0022776B" w:rsidRPr="00921852" w:rsidRDefault="00FF11FD" w:rsidP="0099140F">
            <w:pPr>
              <w:pStyle w:val="Default"/>
              <w:spacing w:before="40"/>
              <w:jc w:val="center"/>
              <w:rPr>
                <w:color w:val="auto"/>
                <w:sz w:val="20"/>
                <w:szCs w:val="20"/>
              </w:rPr>
            </w:pPr>
            <w:r>
              <w:rPr>
                <w:color w:val="auto"/>
                <w:sz w:val="20"/>
                <w:szCs w:val="20"/>
              </w:rPr>
              <w:t xml:space="preserve">clear </w:t>
            </w:r>
            <w:r w:rsidR="00A83C51">
              <w:rPr>
                <w:color w:val="auto"/>
                <w:sz w:val="20"/>
                <w:szCs w:val="20"/>
              </w:rPr>
              <w:t>to white crystalline powder</w:t>
            </w:r>
          </w:p>
        </w:tc>
      </w:tr>
      <w:tr w:rsidR="0022776B" w:rsidRPr="00921852" w14:paraId="2AC0B371" w14:textId="77777777" w:rsidTr="00921852">
        <w:trPr>
          <w:jc w:val="center"/>
        </w:trPr>
        <w:tc>
          <w:tcPr>
            <w:tcW w:w="4338" w:type="dxa"/>
          </w:tcPr>
          <w:p w14:paraId="3C5787A1" w14:textId="77777777" w:rsidR="0022776B" w:rsidRPr="00921852" w:rsidRDefault="0022776B" w:rsidP="00305987">
            <w:pPr>
              <w:pStyle w:val="Default"/>
              <w:spacing w:before="40"/>
              <w:ind w:left="360"/>
              <w:rPr>
                <w:b/>
                <w:color w:val="auto"/>
                <w:sz w:val="20"/>
                <w:szCs w:val="20"/>
              </w:rPr>
            </w:pPr>
            <w:r w:rsidRPr="00921852">
              <w:rPr>
                <w:b/>
                <w:color w:val="auto"/>
                <w:sz w:val="20"/>
                <w:szCs w:val="20"/>
              </w:rPr>
              <w:t>Molecular Formula:</w:t>
            </w:r>
          </w:p>
        </w:tc>
        <w:tc>
          <w:tcPr>
            <w:tcW w:w="2520" w:type="dxa"/>
          </w:tcPr>
          <w:p w14:paraId="04FAF61F" w14:textId="77777777" w:rsidR="0022776B" w:rsidRPr="00921852" w:rsidRDefault="0022776B" w:rsidP="0099140F">
            <w:pPr>
              <w:pStyle w:val="Default"/>
              <w:spacing w:before="40"/>
              <w:jc w:val="center"/>
              <w:rPr>
                <w:b/>
                <w:color w:val="auto"/>
                <w:sz w:val="20"/>
                <w:szCs w:val="20"/>
              </w:rPr>
            </w:pPr>
            <w:r w:rsidRPr="00921852">
              <w:rPr>
                <w:color w:val="auto"/>
                <w:sz w:val="20"/>
                <w:szCs w:val="20"/>
              </w:rPr>
              <w:t>KNO</w:t>
            </w:r>
            <w:r w:rsidRPr="00921852">
              <w:rPr>
                <w:color w:val="auto"/>
                <w:sz w:val="20"/>
                <w:szCs w:val="20"/>
                <w:vertAlign w:val="subscript"/>
              </w:rPr>
              <w:t>3</w:t>
            </w:r>
          </w:p>
        </w:tc>
      </w:tr>
      <w:tr w:rsidR="0022776B" w:rsidRPr="00921852" w14:paraId="235DAC5F" w14:textId="77777777" w:rsidTr="00921852">
        <w:trPr>
          <w:jc w:val="center"/>
        </w:trPr>
        <w:tc>
          <w:tcPr>
            <w:tcW w:w="4338" w:type="dxa"/>
          </w:tcPr>
          <w:p w14:paraId="3DB0C806" w14:textId="77777777" w:rsidR="0022776B" w:rsidRPr="00921852" w:rsidRDefault="0022776B" w:rsidP="00305987">
            <w:pPr>
              <w:pStyle w:val="Default"/>
              <w:spacing w:before="40"/>
              <w:ind w:left="360"/>
              <w:rPr>
                <w:b/>
                <w:color w:val="auto"/>
                <w:sz w:val="20"/>
                <w:szCs w:val="20"/>
              </w:rPr>
            </w:pPr>
            <w:r w:rsidRPr="00921852">
              <w:rPr>
                <w:b/>
                <w:sz w:val="20"/>
                <w:szCs w:val="20"/>
              </w:rPr>
              <w:t>Molar Mass (g/</w:t>
            </w:r>
            <w:proofErr w:type="spellStart"/>
            <w:r w:rsidRPr="00921852">
              <w:rPr>
                <w:b/>
                <w:sz w:val="20"/>
                <w:szCs w:val="20"/>
              </w:rPr>
              <w:t>mol</w:t>
            </w:r>
            <w:proofErr w:type="spellEnd"/>
            <w:r w:rsidRPr="00921852">
              <w:rPr>
                <w:b/>
                <w:sz w:val="20"/>
                <w:szCs w:val="20"/>
              </w:rPr>
              <w:t>):</w:t>
            </w:r>
          </w:p>
        </w:tc>
        <w:tc>
          <w:tcPr>
            <w:tcW w:w="2520" w:type="dxa"/>
          </w:tcPr>
          <w:p w14:paraId="41F65D14" w14:textId="77777777" w:rsidR="0022776B" w:rsidRPr="00921852" w:rsidRDefault="00A83C51" w:rsidP="0099140F">
            <w:pPr>
              <w:pStyle w:val="Default"/>
              <w:spacing w:before="40"/>
              <w:jc w:val="center"/>
              <w:rPr>
                <w:color w:val="auto"/>
                <w:sz w:val="20"/>
                <w:szCs w:val="20"/>
              </w:rPr>
            </w:pPr>
            <w:r>
              <w:rPr>
                <w:color w:val="auto"/>
                <w:sz w:val="20"/>
                <w:szCs w:val="20"/>
              </w:rPr>
              <w:t>101.11</w:t>
            </w:r>
          </w:p>
        </w:tc>
      </w:tr>
      <w:tr w:rsidR="0022776B" w:rsidRPr="00921852" w14:paraId="51BE69E8" w14:textId="77777777" w:rsidTr="00921852">
        <w:trPr>
          <w:jc w:val="center"/>
        </w:trPr>
        <w:tc>
          <w:tcPr>
            <w:tcW w:w="4338" w:type="dxa"/>
          </w:tcPr>
          <w:p w14:paraId="5BAA85C3" w14:textId="77777777" w:rsidR="0022776B" w:rsidRPr="00921852" w:rsidRDefault="0022776B" w:rsidP="00305987">
            <w:pPr>
              <w:pStyle w:val="Default"/>
              <w:spacing w:before="40"/>
              <w:ind w:left="360"/>
              <w:rPr>
                <w:b/>
                <w:color w:val="auto"/>
                <w:sz w:val="20"/>
                <w:szCs w:val="20"/>
              </w:rPr>
            </w:pPr>
            <w:r w:rsidRPr="00921852">
              <w:rPr>
                <w:b/>
                <w:color w:val="auto"/>
                <w:sz w:val="20"/>
                <w:szCs w:val="20"/>
              </w:rPr>
              <w:t>Odor:</w:t>
            </w:r>
          </w:p>
        </w:tc>
        <w:tc>
          <w:tcPr>
            <w:tcW w:w="2520" w:type="dxa"/>
          </w:tcPr>
          <w:p w14:paraId="37DA6E18"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A83C51" w:rsidRPr="00921852">
              <w:rPr>
                <w:color w:val="auto"/>
                <w:sz w:val="20"/>
                <w:szCs w:val="20"/>
              </w:rPr>
              <w:t>available</w:t>
            </w:r>
          </w:p>
        </w:tc>
      </w:tr>
      <w:tr w:rsidR="0022776B" w:rsidRPr="00921852" w14:paraId="4DCFA20B" w14:textId="77777777" w:rsidTr="00921852">
        <w:trPr>
          <w:jc w:val="center"/>
        </w:trPr>
        <w:tc>
          <w:tcPr>
            <w:tcW w:w="4338" w:type="dxa"/>
          </w:tcPr>
          <w:p w14:paraId="10F1C54C" w14:textId="77777777" w:rsidR="0022776B" w:rsidRPr="00921852" w:rsidRDefault="0022776B" w:rsidP="00305987">
            <w:pPr>
              <w:pStyle w:val="Default"/>
              <w:spacing w:before="40"/>
              <w:ind w:left="360"/>
              <w:rPr>
                <w:b/>
                <w:color w:val="auto"/>
                <w:sz w:val="20"/>
                <w:szCs w:val="20"/>
              </w:rPr>
            </w:pPr>
            <w:r w:rsidRPr="00921852">
              <w:rPr>
                <w:b/>
                <w:color w:val="auto"/>
                <w:sz w:val="20"/>
                <w:szCs w:val="20"/>
              </w:rPr>
              <w:t>Odor threshold:</w:t>
            </w:r>
          </w:p>
        </w:tc>
        <w:tc>
          <w:tcPr>
            <w:tcW w:w="2520" w:type="dxa"/>
          </w:tcPr>
          <w:p w14:paraId="262AAA2F"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22776B" w:rsidRPr="00921852">
              <w:rPr>
                <w:color w:val="auto"/>
                <w:sz w:val="20"/>
                <w:szCs w:val="20"/>
              </w:rPr>
              <w:t>available</w:t>
            </w:r>
          </w:p>
        </w:tc>
      </w:tr>
      <w:tr w:rsidR="0022776B" w:rsidRPr="00921852" w14:paraId="4A1FF0FE" w14:textId="77777777" w:rsidTr="00921852">
        <w:trPr>
          <w:jc w:val="center"/>
        </w:trPr>
        <w:tc>
          <w:tcPr>
            <w:tcW w:w="4338" w:type="dxa"/>
          </w:tcPr>
          <w:p w14:paraId="31885916" w14:textId="77777777" w:rsidR="0022776B" w:rsidRPr="00921852" w:rsidRDefault="0022776B" w:rsidP="00305987">
            <w:pPr>
              <w:pStyle w:val="Default"/>
              <w:spacing w:before="40"/>
              <w:ind w:left="360"/>
              <w:rPr>
                <w:b/>
                <w:color w:val="auto"/>
                <w:sz w:val="20"/>
                <w:szCs w:val="20"/>
              </w:rPr>
            </w:pPr>
            <w:r w:rsidRPr="00921852">
              <w:rPr>
                <w:b/>
                <w:color w:val="auto"/>
                <w:sz w:val="20"/>
                <w:szCs w:val="20"/>
              </w:rPr>
              <w:t>pH:</w:t>
            </w:r>
          </w:p>
        </w:tc>
        <w:tc>
          <w:tcPr>
            <w:tcW w:w="2520" w:type="dxa"/>
          </w:tcPr>
          <w:p w14:paraId="56CE79B5" w14:textId="77777777" w:rsidR="0022776B" w:rsidRPr="00921852" w:rsidRDefault="00A83C51" w:rsidP="0099140F">
            <w:pPr>
              <w:pStyle w:val="Default"/>
              <w:spacing w:before="40"/>
              <w:jc w:val="center"/>
              <w:rPr>
                <w:b/>
                <w:color w:val="auto"/>
                <w:sz w:val="20"/>
                <w:szCs w:val="20"/>
              </w:rPr>
            </w:pPr>
            <w:r w:rsidRPr="005975CD">
              <w:rPr>
                <w:color w:val="auto"/>
                <w:sz w:val="20"/>
                <w:szCs w:val="20"/>
              </w:rPr>
              <w:t>7 (</w:t>
            </w:r>
            <w:r w:rsidRPr="00A83C51">
              <w:rPr>
                <w:color w:val="auto"/>
                <w:sz w:val="20"/>
                <w:szCs w:val="20"/>
              </w:rPr>
              <w:t>approximate</w:t>
            </w:r>
            <w:r>
              <w:rPr>
                <w:color w:val="auto"/>
                <w:sz w:val="20"/>
                <w:szCs w:val="20"/>
              </w:rPr>
              <w:t>)</w:t>
            </w:r>
          </w:p>
        </w:tc>
      </w:tr>
      <w:tr w:rsidR="0022776B" w:rsidRPr="00921852" w14:paraId="6C05AB0E" w14:textId="77777777" w:rsidTr="00921852">
        <w:trPr>
          <w:jc w:val="center"/>
        </w:trPr>
        <w:tc>
          <w:tcPr>
            <w:tcW w:w="4338" w:type="dxa"/>
          </w:tcPr>
          <w:p w14:paraId="466D0AC1" w14:textId="77777777" w:rsidR="0022776B" w:rsidRPr="00921852" w:rsidRDefault="0022776B" w:rsidP="00305987">
            <w:pPr>
              <w:pStyle w:val="Default"/>
              <w:spacing w:before="40"/>
              <w:ind w:left="360"/>
              <w:rPr>
                <w:b/>
                <w:color w:val="auto"/>
                <w:sz w:val="20"/>
                <w:szCs w:val="20"/>
              </w:rPr>
            </w:pPr>
            <w:r w:rsidRPr="00921852">
              <w:rPr>
                <w:b/>
                <w:color w:val="auto"/>
                <w:sz w:val="20"/>
                <w:szCs w:val="20"/>
              </w:rPr>
              <w:t>Evaporation rate (ether = 1):</w:t>
            </w:r>
          </w:p>
        </w:tc>
        <w:tc>
          <w:tcPr>
            <w:tcW w:w="2520" w:type="dxa"/>
          </w:tcPr>
          <w:p w14:paraId="604256B8"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A83C51" w:rsidRPr="00921852">
              <w:rPr>
                <w:color w:val="auto"/>
                <w:sz w:val="20"/>
                <w:szCs w:val="20"/>
              </w:rPr>
              <w:t>available</w:t>
            </w:r>
          </w:p>
        </w:tc>
      </w:tr>
      <w:tr w:rsidR="0022776B" w:rsidRPr="00921852" w14:paraId="525FB9E7" w14:textId="77777777" w:rsidTr="00921852">
        <w:trPr>
          <w:jc w:val="center"/>
        </w:trPr>
        <w:tc>
          <w:tcPr>
            <w:tcW w:w="4338" w:type="dxa"/>
          </w:tcPr>
          <w:p w14:paraId="30802C9A" w14:textId="77777777" w:rsidR="0022776B" w:rsidRPr="00921852" w:rsidRDefault="0022776B" w:rsidP="00305987">
            <w:pPr>
              <w:pStyle w:val="Default"/>
              <w:spacing w:before="40"/>
              <w:ind w:left="360"/>
              <w:rPr>
                <w:b/>
                <w:color w:val="auto"/>
                <w:sz w:val="20"/>
                <w:szCs w:val="20"/>
              </w:rPr>
            </w:pPr>
            <w:r w:rsidRPr="00921852">
              <w:rPr>
                <w:b/>
                <w:color w:val="auto"/>
                <w:sz w:val="20"/>
                <w:szCs w:val="20"/>
              </w:rPr>
              <w:t>Melting point/freezing point (ºC):</w:t>
            </w:r>
          </w:p>
        </w:tc>
        <w:tc>
          <w:tcPr>
            <w:tcW w:w="2520" w:type="dxa"/>
          </w:tcPr>
          <w:p w14:paraId="403BD4CE" w14:textId="77777777" w:rsidR="0022776B" w:rsidRPr="00A83C51" w:rsidRDefault="00A83C51" w:rsidP="0099140F">
            <w:pPr>
              <w:pStyle w:val="Default"/>
              <w:spacing w:before="40"/>
              <w:jc w:val="center"/>
              <w:rPr>
                <w:color w:val="auto"/>
                <w:sz w:val="20"/>
                <w:szCs w:val="20"/>
              </w:rPr>
            </w:pPr>
            <w:r w:rsidRPr="00A83C51">
              <w:rPr>
                <w:color w:val="auto"/>
                <w:sz w:val="20"/>
                <w:szCs w:val="20"/>
              </w:rPr>
              <w:t>334</w:t>
            </w:r>
            <w:r w:rsidR="00B00FB9">
              <w:rPr>
                <w:color w:val="auto"/>
                <w:sz w:val="20"/>
                <w:szCs w:val="20"/>
              </w:rPr>
              <w:t xml:space="preserve"> (633 </w:t>
            </w:r>
            <w:r w:rsidR="00B00FB9" w:rsidRPr="005975CD">
              <w:rPr>
                <w:color w:val="auto"/>
                <w:sz w:val="20"/>
                <w:szCs w:val="20"/>
              </w:rPr>
              <w:t>º</w:t>
            </w:r>
            <w:r w:rsidR="00B00FB9">
              <w:rPr>
                <w:color w:val="auto"/>
                <w:sz w:val="20"/>
                <w:szCs w:val="20"/>
              </w:rPr>
              <w:t>F)</w:t>
            </w:r>
          </w:p>
        </w:tc>
      </w:tr>
      <w:tr w:rsidR="0022776B" w:rsidRPr="00921852" w14:paraId="62027B7A" w14:textId="77777777" w:rsidTr="00921852">
        <w:trPr>
          <w:jc w:val="center"/>
        </w:trPr>
        <w:tc>
          <w:tcPr>
            <w:tcW w:w="4338" w:type="dxa"/>
          </w:tcPr>
          <w:p w14:paraId="3D6BAF4E" w14:textId="77777777" w:rsidR="0022776B" w:rsidRPr="00921852" w:rsidRDefault="0022776B" w:rsidP="00305987">
            <w:pPr>
              <w:pStyle w:val="Default"/>
              <w:spacing w:before="40"/>
              <w:ind w:left="360"/>
              <w:rPr>
                <w:b/>
                <w:color w:val="auto"/>
                <w:sz w:val="20"/>
                <w:szCs w:val="20"/>
              </w:rPr>
            </w:pPr>
            <w:r w:rsidRPr="00921852">
              <w:rPr>
                <w:b/>
                <w:color w:val="auto"/>
                <w:sz w:val="20"/>
                <w:szCs w:val="20"/>
              </w:rPr>
              <w:t>Relative Density (g/L):</w:t>
            </w:r>
          </w:p>
        </w:tc>
        <w:tc>
          <w:tcPr>
            <w:tcW w:w="2520" w:type="dxa"/>
          </w:tcPr>
          <w:p w14:paraId="67311BC0" w14:textId="77777777" w:rsidR="0022776B" w:rsidRPr="00A83C51" w:rsidRDefault="00FF11FD" w:rsidP="0099140F">
            <w:pPr>
              <w:pStyle w:val="Default"/>
              <w:spacing w:before="40"/>
              <w:jc w:val="center"/>
              <w:rPr>
                <w:color w:val="auto"/>
                <w:sz w:val="20"/>
                <w:szCs w:val="20"/>
              </w:rPr>
            </w:pPr>
            <w:r>
              <w:rPr>
                <w:color w:val="auto"/>
                <w:sz w:val="20"/>
                <w:szCs w:val="20"/>
              </w:rPr>
              <w:t>2.109 at 16 </w:t>
            </w:r>
            <w:r w:rsidRPr="00921852">
              <w:rPr>
                <w:color w:val="auto"/>
                <w:sz w:val="20"/>
                <w:szCs w:val="20"/>
              </w:rPr>
              <w:t>ºC</w:t>
            </w:r>
            <w:r w:rsidRPr="00A83C51">
              <w:rPr>
                <w:color w:val="auto"/>
                <w:sz w:val="20"/>
                <w:szCs w:val="20"/>
              </w:rPr>
              <w:t xml:space="preserve"> </w:t>
            </w:r>
          </w:p>
        </w:tc>
      </w:tr>
      <w:tr w:rsidR="0022776B" w:rsidRPr="00921852" w14:paraId="185A3F6E" w14:textId="77777777" w:rsidTr="00921852">
        <w:trPr>
          <w:jc w:val="center"/>
        </w:trPr>
        <w:tc>
          <w:tcPr>
            <w:tcW w:w="4338" w:type="dxa"/>
          </w:tcPr>
          <w:p w14:paraId="1447D249" w14:textId="77777777" w:rsidR="0022776B" w:rsidRPr="00921852" w:rsidRDefault="0022776B" w:rsidP="00305987">
            <w:pPr>
              <w:pStyle w:val="Default"/>
              <w:spacing w:before="40"/>
              <w:ind w:left="360"/>
              <w:rPr>
                <w:b/>
                <w:color w:val="auto"/>
                <w:sz w:val="20"/>
                <w:szCs w:val="20"/>
              </w:rPr>
            </w:pPr>
            <w:r w:rsidRPr="00921852">
              <w:rPr>
                <w:b/>
                <w:color w:val="auto"/>
                <w:sz w:val="20"/>
                <w:szCs w:val="20"/>
              </w:rPr>
              <w:t>Vapor Pressure (mmHg):</w:t>
            </w:r>
          </w:p>
        </w:tc>
        <w:tc>
          <w:tcPr>
            <w:tcW w:w="2520" w:type="dxa"/>
          </w:tcPr>
          <w:p w14:paraId="225B01A1"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0E30C9">
              <w:rPr>
                <w:color w:val="auto"/>
                <w:sz w:val="20"/>
                <w:szCs w:val="20"/>
              </w:rPr>
              <w:t>applicable</w:t>
            </w:r>
          </w:p>
        </w:tc>
      </w:tr>
      <w:tr w:rsidR="0022776B" w:rsidRPr="00921852" w14:paraId="324E9F8F" w14:textId="77777777" w:rsidTr="00921852">
        <w:trPr>
          <w:jc w:val="center"/>
        </w:trPr>
        <w:tc>
          <w:tcPr>
            <w:tcW w:w="4338" w:type="dxa"/>
          </w:tcPr>
          <w:p w14:paraId="59400C71" w14:textId="77777777" w:rsidR="0022776B" w:rsidRPr="00921852" w:rsidRDefault="0022776B" w:rsidP="00305987">
            <w:pPr>
              <w:pStyle w:val="Default"/>
              <w:spacing w:before="40"/>
              <w:ind w:left="360"/>
              <w:rPr>
                <w:b/>
                <w:color w:val="auto"/>
                <w:sz w:val="20"/>
                <w:szCs w:val="20"/>
              </w:rPr>
            </w:pPr>
            <w:r w:rsidRPr="00921852">
              <w:rPr>
                <w:b/>
                <w:color w:val="auto"/>
                <w:sz w:val="20"/>
                <w:szCs w:val="20"/>
              </w:rPr>
              <w:t>Vapor Density (air = 1):</w:t>
            </w:r>
          </w:p>
        </w:tc>
        <w:tc>
          <w:tcPr>
            <w:tcW w:w="2520" w:type="dxa"/>
          </w:tcPr>
          <w:p w14:paraId="092A2EB6"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A83C51">
              <w:rPr>
                <w:color w:val="auto"/>
                <w:sz w:val="20"/>
                <w:szCs w:val="20"/>
              </w:rPr>
              <w:t>applicable</w:t>
            </w:r>
          </w:p>
        </w:tc>
      </w:tr>
      <w:tr w:rsidR="0022776B" w:rsidRPr="00921852" w14:paraId="63625E2D" w14:textId="77777777" w:rsidTr="00921852">
        <w:trPr>
          <w:jc w:val="center"/>
        </w:trPr>
        <w:tc>
          <w:tcPr>
            <w:tcW w:w="4338" w:type="dxa"/>
          </w:tcPr>
          <w:p w14:paraId="0D4C0792" w14:textId="77777777" w:rsidR="0022776B" w:rsidRPr="00921852" w:rsidRDefault="0022776B" w:rsidP="00305987">
            <w:pPr>
              <w:pStyle w:val="Default"/>
              <w:spacing w:before="40"/>
              <w:ind w:left="360"/>
              <w:rPr>
                <w:b/>
                <w:color w:val="auto"/>
                <w:sz w:val="20"/>
                <w:szCs w:val="20"/>
              </w:rPr>
            </w:pPr>
            <w:r w:rsidRPr="00921852">
              <w:rPr>
                <w:b/>
                <w:color w:val="auto"/>
                <w:sz w:val="20"/>
                <w:szCs w:val="20"/>
              </w:rPr>
              <w:t>Viscosity (</w:t>
            </w:r>
            <w:proofErr w:type="spellStart"/>
            <w:r w:rsidRPr="00921852">
              <w:rPr>
                <w:b/>
                <w:color w:val="auto"/>
                <w:sz w:val="20"/>
                <w:szCs w:val="20"/>
              </w:rPr>
              <w:t>cP</w:t>
            </w:r>
            <w:proofErr w:type="spellEnd"/>
            <w:r w:rsidRPr="00921852">
              <w:rPr>
                <w:b/>
                <w:color w:val="auto"/>
                <w:sz w:val="20"/>
                <w:szCs w:val="20"/>
              </w:rPr>
              <w:t>):</w:t>
            </w:r>
          </w:p>
        </w:tc>
        <w:tc>
          <w:tcPr>
            <w:tcW w:w="2520" w:type="dxa"/>
          </w:tcPr>
          <w:p w14:paraId="38CB1E9E"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A83C51">
              <w:rPr>
                <w:color w:val="auto"/>
                <w:sz w:val="20"/>
                <w:szCs w:val="20"/>
              </w:rPr>
              <w:t>applicable</w:t>
            </w:r>
          </w:p>
        </w:tc>
      </w:tr>
      <w:tr w:rsidR="0022776B" w:rsidRPr="00921852" w14:paraId="2779EF55" w14:textId="77777777" w:rsidTr="00921852">
        <w:trPr>
          <w:jc w:val="center"/>
        </w:trPr>
        <w:tc>
          <w:tcPr>
            <w:tcW w:w="4338" w:type="dxa"/>
          </w:tcPr>
          <w:p w14:paraId="4FC3C8D3" w14:textId="77777777" w:rsidR="0022776B" w:rsidRPr="00921852" w:rsidRDefault="0022776B" w:rsidP="00305987">
            <w:pPr>
              <w:pStyle w:val="Default"/>
              <w:spacing w:before="40"/>
              <w:ind w:left="360"/>
              <w:rPr>
                <w:b/>
                <w:color w:val="auto"/>
                <w:sz w:val="20"/>
                <w:szCs w:val="20"/>
              </w:rPr>
            </w:pPr>
            <w:r w:rsidRPr="00921852">
              <w:rPr>
                <w:b/>
                <w:color w:val="auto"/>
                <w:sz w:val="20"/>
                <w:szCs w:val="20"/>
              </w:rPr>
              <w:t>Solubility(</w:t>
            </w:r>
            <w:proofErr w:type="spellStart"/>
            <w:r w:rsidRPr="00921852">
              <w:rPr>
                <w:b/>
                <w:color w:val="auto"/>
                <w:sz w:val="20"/>
                <w:szCs w:val="20"/>
              </w:rPr>
              <w:t>ies</w:t>
            </w:r>
            <w:proofErr w:type="spellEnd"/>
            <w:r w:rsidRPr="00921852">
              <w:rPr>
                <w:b/>
                <w:color w:val="auto"/>
                <w:sz w:val="20"/>
                <w:szCs w:val="20"/>
              </w:rPr>
              <w:t>):</w:t>
            </w:r>
          </w:p>
        </w:tc>
        <w:tc>
          <w:tcPr>
            <w:tcW w:w="2520" w:type="dxa"/>
          </w:tcPr>
          <w:p w14:paraId="24FC36BF" w14:textId="77777777" w:rsidR="0022776B" w:rsidRDefault="008F0CE1" w:rsidP="0099140F">
            <w:pPr>
              <w:pStyle w:val="Default"/>
              <w:spacing w:before="40"/>
              <w:jc w:val="center"/>
              <w:rPr>
                <w:color w:val="auto"/>
                <w:sz w:val="20"/>
                <w:szCs w:val="20"/>
              </w:rPr>
            </w:pPr>
            <w:r>
              <w:rPr>
                <w:color w:val="auto"/>
                <w:sz w:val="20"/>
                <w:szCs w:val="20"/>
              </w:rPr>
              <w:t>water</w:t>
            </w:r>
            <w:r w:rsidR="000E30C9">
              <w:rPr>
                <w:color w:val="auto"/>
                <w:sz w:val="20"/>
                <w:szCs w:val="20"/>
              </w:rPr>
              <w:t xml:space="preserve">: </w:t>
            </w:r>
            <w:r w:rsidR="00A83C51">
              <w:rPr>
                <w:color w:val="auto"/>
                <w:sz w:val="20"/>
                <w:szCs w:val="20"/>
              </w:rPr>
              <w:t xml:space="preserve"> 13</w:t>
            </w:r>
            <w:r w:rsidR="000E30C9">
              <w:rPr>
                <w:color w:val="auto"/>
                <w:sz w:val="20"/>
                <w:szCs w:val="20"/>
              </w:rPr>
              <w:t>.</w:t>
            </w:r>
            <w:r w:rsidR="00A83C51">
              <w:rPr>
                <w:color w:val="auto"/>
                <w:sz w:val="20"/>
                <w:szCs w:val="20"/>
              </w:rPr>
              <w:t>3 % 0 </w:t>
            </w:r>
            <w:r w:rsidR="00A83C51" w:rsidRPr="00921852">
              <w:rPr>
                <w:color w:val="auto"/>
                <w:sz w:val="20"/>
                <w:szCs w:val="20"/>
              </w:rPr>
              <w:t>ºC</w:t>
            </w:r>
          </w:p>
          <w:p w14:paraId="7ACD0D08" w14:textId="77777777" w:rsidR="008C318D" w:rsidRPr="00A83C51" w:rsidRDefault="008F0CE1" w:rsidP="00E85E49">
            <w:pPr>
              <w:pStyle w:val="Default"/>
              <w:spacing w:before="40"/>
              <w:jc w:val="center"/>
              <w:rPr>
                <w:color w:val="auto"/>
                <w:sz w:val="20"/>
                <w:szCs w:val="20"/>
              </w:rPr>
            </w:pPr>
            <w:r>
              <w:rPr>
                <w:color w:val="auto"/>
                <w:sz w:val="20"/>
                <w:szCs w:val="20"/>
              </w:rPr>
              <w:t xml:space="preserve">soluble </w:t>
            </w:r>
            <w:r w:rsidR="00365F00">
              <w:rPr>
                <w:color w:val="auto"/>
                <w:sz w:val="20"/>
                <w:szCs w:val="20"/>
              </w:rPr>
              <w:t xml:space="preserve">in </w:t>
            </w:r>
            <w:r w:rsidR="008C318D">
              <w:rPr>
                <w:color w:val="auto"/>
                <w:sz w:val="20"/>
                <w:szCs w:val="20"/>
              </w:rPr>
              <w:t>liquid ammonia, glycerol</w:t>
            </w:r>
          </w:p>
        </w:tc>
      </w:tr>
      <w:tr w:rsidR="0022776B" w:rsidRPr="00921852" w14:paraId="317704A6" w14:textId="77777777" w:rsidTr="00921852">
        <w:trPr>
          <w:jc w:val="center"/>
        </w:trPr>
        <w:tc>
          <w:tcPr>
            <w:tcW w:w="4338" w:type="dxa"/>
          </w:tcPr>
          <w:p w14:paraId="0BDF5A70" w14:textId="77777777" w:rsidR="0022776B" w:rsidRPr="00921852" w:rsidRDefault="0022776B" w:rsidP="00305987">
            <w:pPr>
              <w:pStyle w:val="Default"/>
              <w:spacing w:before="40"/>
              <w:ind w:left="360"/>
              <w:rPr>
                <w:b/>
                <w:color w:val="auto"/>
                <w:sz w:val="20"/>
                <w:szCs w:val="20"/>
              </w:rPr>
            </w:pPr>
            <w:r w:rsidRPr="00921852">
              <w:rPr>
                <w:b/>
                <w:color w:val="auto"/>
                <w:sz w:val="20"/>
                <w:szCs w:val="20"/>
              </w:rPr>
              <w:t xml:space="preserve">Partition coefficient </w:t>
            </w:r>
            <w:r w:rsidRPr="00921852">
              <w:rPr>
                <w:b/>
                <w:color w:val="auto"/>
                <w:sz w:val="20"/>
                <w:szCs w:val="20"/>
              </w:rPr>
              <w:br/>
              <w:t>(n-</w:t>
            </w:r>
            <w:proofErr w:type="spellStart"/>
            <w:r w:rsidRPr="00921852">
              <w:rPr>
                <w:b/>
                <w:color w:val="auto"/>
                <w:sz w:val="20"/>
                <w:szCs w:val="20"/>
              </w:rPr>
              <w:t>octanol</w:t>
            </w:r>
            <w:proofErr w:type="spellEnd"/>
            <w:r w:rsidRPr="00921852">
              <w:rPr>
                <w:b/>
                <w:color w:val="auto"/>
                <w:sz w:val="20"/>
                <w:szCs w:val="20"/>
              </w:rPr>
              <w:t>/water):</w:t>
            </w:r>
          </w:p>
        </w:tc>
        <w:tc>
          <w:tcPr>
            <w:tcW w:w="2520" w:type="dxa"/>
          </w:tcPr>
          <w:p w14:paraId="129D23E7"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22776B" w:rsidRPr="00921852">
              <w:rPr>
                <w:color w:val="auto"/>
                <w:sz w:val="20"/>
                <w:szCs w:val="20"/>
              </w:rPr>
              <w:t>available</w:t>
            </w:r>
          </w:p>
        </w:tc>
      </w:tr>
      <w:tr w:rsidR="0022776B" w:rsidRPr="00921852" w14:paraId="4E66A36F" w14:textId="77777777" w:rsidTr="00921852">
        <w:trPr>
          <w:jc w:val="center"/>
        </w:trPr>
        <w:tc>
          <w:tcPr>
            <w:tcW w:w="4338" w:type="dxa"/>
          </w:tcPr>
          <w:p w14:paraId="3DFA22D4" w14:textId="4AF80E62" w:rsidR="0022776B" w:rsidRPr="00921852" w:rsidRDefault="0022776B" w:rsidP="00305987">
            <w:pPr>
              <w:pStyle w:val="Default"/>
              <w:spacing w:before="40"/>
              <w:ind w:left="360"/>
              <w:rPr>
                <w:b/>
                <w:color w:val="auto"/>
                <w:sz w:val="20"/>
                <w:szCs w:val="20"/>
              </w:rPr>
            </w:pPr>
            <w:r w:rsidRPr="00921852">
              <w:rPr>
                <w:b/>
                <w:color w:val="auto"/>
                <w:sz w:val="20"/>
                <w:szCs w:val="20"/>
              </w:rPr>
              <w:t>Particle Size</w:t>
            </w:r>
            <w:r w:rsidR="00293103">
              <w:rPr>
                <w:b/>
                <w:color w:val="auto"/>
                <w:sz w:val="20"/>
                <w:szCs w:val="20"/>
              </w:rPr>
              <w:t>:</w:t>
            </w:r>
          </w:p>
        </w:tc>
        <w:tc>
          <w:tcPr>
            <w:tcW w:w="2520" w:type="dxa"/>
          </w:tcPr>
          <w:p w14:paraId="401706A4" w14:textId="658EE61F" w:rsidR="0022776B" w:rsidRPr="00921852" w:rsidRDefault="009D2422" w:rsidP="0099140F">
            <w:pPr>
              <w:pStyle w:val="Default"/>
              <w:spacing w:before="40"/>
              <w:jc w:val="center"/>
              <w:rPr>
                <w:color w:val="auto"/>
                <w:sz w:val="20"/>
                <w:szCs w:val="20"/>
              </w:rPr>
            </w:pPr>
            <w:r>
              <w:rPr>
                <w:color w:val="auto"/>
                <w:sz w:val="20"/>
                <w:szCs w:val="20"/>
              </w:rPr>
              <w:t>&gt;0.177 mm</w:t>
            </w:r>
          </w:p>
        </w:tc>
      </w:tr>
      <w:tr w:rsidR="0022776B" w:rsidRPr="00921852" w14:paraId="05B06264" w14:textId="77777777" w:rsidTr="00921852">
        <w:trPr>
          <w:jc w:val="center"/>
        </w:trPr>
        <w:tc>
          <w:tcPr>
            <w:tcW w:w="4338" w:type="dxa"/>
          </w:tcPr>
          <w:p w14:paraId="5298BBB4" w14:textId="77777777" w:rsidR="0022776B" w:rsidRPr="00921852" w:rsidRDefault="0022776B" w:rsidP="00305987">
            <w:pPr>
              <w:pStyle w:val="Default"/>
              <w:keepNext/>
              <w:spacing w:before="120"/>
              <w:rPr>
                <w:b/>
                <w:color w:val="auto"/>
                <w:sz w:val="20"/>
                <w:szCs w:val="20"/>
              </w:rPr>
            </w:pPr>
            <w:r w:rsidRPr="00921852">
              <w:rPr>
                <w:b/>
                <w:color w:val="auto"/>
                <w:sz w:val="20"/>
                <w:szCs w:val="20"/>
              </w:rPr>
              <w:lastRenderedPageBreak/>
              <w:t>Thermal Stability Properties:</w:t>
            </w:r>
          </w:p>
        </w:tc>
        <w:tc>
          <w:tcPr>
            <w:tcW w:w="2520" w:type="dxa"/>
          </w:tcPr>
          <w:p w14:paraId="4865D530" w14:textId="77777777" w:rsidR="0022776B" w:rsidRPr="00921852" w:rsidRDefault="0022776B" w:rsidP="0099140F">
            <w:pPr>
              <w:pStyle w:val="Default"/>
              <w:spacing w:before="40"/>
              <w:jc w:val="center"/>
              <w:rPr>
                <w:b/>
                <w:color w:val="auto"/>
                <w:sz w:val="20"/>
                <w:szCs w:val="20"/>
              </w:rPr>
            </w:pPr>
          </w:p>
        </w:tc>
      </w:tr>
      <w:tr w:rsidR="0022776B" w:rsidRPr="00921852" w14:paraId="26627639" w14:textId="77777777" w:rsidTr="00921852">
        <w:trPr>
          <w:trHeight w:val="332"/>
          <w:jc w:val="center"/>
        </w:trPr>
        <w:tc>
          <w:tcPr>
            <w:tcW w:w="4338" w:type="dxa"/>
          </w:tcPr>
          <w:p w14:paraId="5ABB4289" w14:textId="77777777" w:rsidR="0022776B" w:rsidRPr="00921852" w:rsidRDefault="0022776B" w:rsidP="00305987">
            <w:pPr>
              <w:pStyle w:val="Default"/>
              <w:keepNext/>
              <w:spacing w:before="40"/>
              <w:ind w:left="360"/>
              <w:rPr>
                <w:b/>
                <w:color w:val="auto"/>
                <w:sz w:val="20"/>
                <w:szCs w:val="20"/>
              </w:rPr>
            </w:pPr>
            <w:proofErr w:type="spellStart"/>
            <w:r w:rsidRPr="00921852">
              <w:rPr>
                <w:b/>
                <w:color w:val="auto"/>
                <w:sz w:val="20"/>
                <w:szCs w:val="20"/>
              </w:rPr>
              <w:t>Autoignition</w:t>
            </w:r>
            <w:proofErr w:type="spellEnd"/>
            <w:r w:rsidRPr="00921852">
              <w:rPr>
                <w:b/>
                <w:color w:val="auto"/>
                <w:sz w:val="20"/>
                <w:szCs w:val="20"/>
              </w:rPr>
              <w:t xml:space="preserve"> Temperature (ºC):</w:t>
            </w:r>
          </w:p>
        </w:tc>
        <w:tc>
          <w:tcPr>
            <w:tcW w:w="2520" w:type="dxa"/>
          </w:tcPr>
          <w:p w14:paraId="5CF4620D"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22776B" w:rsidRPr="00921852">
              <w:rPr>
                <w:color w:val="auto"/>
                <w:sz w:val="20"/>
                <w:szCs w:val="20"/>
              </w:rPr>
              <w:t>applicable</w:t>
            </w:r>
          </w:p>
        </w:tc>
      </w:tr>
      <w:tr w:rsidR="0022776B" w:rsidRPr="00921852" w14:paraId="703736CA" w14:textId="77777777" w:rsidTr="00921852">
        <w:trPr>
          <w:trHeight w:val="350"/>
          <w:jc w:val="center"/>
        </w:trPr>
        <w:tc>
          <w:tcPr>
            <w:tcW w:w="4338" w:type="dxa"/>
          </w:tcPr>
          <w:p w14:paraId="2A5E38F5" w14:textId="77777777" w:rsidR="0022776B" w:rsidRPr="00921852" w:rsidRDefault="0022776B" w:rsidP="00305987">
            <w:pPr>
              <w:pStyle w:val="Default"/>
              <w:keepNext/>
              <w:spacing w:before="40"/>
              <w:ind w:left="360"/>
              <w:rPr>
                <w:b/>
                <w:color w:val="auto"/>
                <w:sz w:val="20"/>
                <w:szCs w:val="20"/>
              </w:rPr>
            </w:pPr>
            <w:r w:rsidRPr="00921852">
              <w:rPr>
                <w:b/>
                <w:color w:val="auto"/>
                <w:sz w:val="20"/>
                <w:szCs w:val="20"/>
              </w:rPr>
              <w:t>Thermal Decomposition (ºC):</w:t>
            </w:r>
          </w:p>
        </w:tc>
        <w:tc>
          <w:tcPr>
            <w:tcW w:w="2520" w:type="dxa"/>
          </w:tcPr>
          <w:p w14:paraId="7BBBD715" w14:textId="77777777" w:rsidR="0022776B" w:rsidRPr="00921852" w:rsidRDefault="00033B44" w:rsidP="0099140F">
            <w:pPr>
              <w:pStyle w:val="Default"/>
              <w:spacing w:before="40"/>
              <w:jc w:val="center"/>
              <w:rPr>
                <w:b/>
                <w:color w:val="auto"/>
                <w:sz w:val="20"/>
                <w:szCs w:val="20"/>
              </w:rPr>
            </w:pPr>
            <w:r>
              <w:rPr>
                <w:color w:val="auto"/>
                <w:sz w:val="20"/>
                <w:szCs w:val="20"/>
              </w:rPr>
              <w:t>400</w:t>
            </w:r>
            <w:r w:rsidR="00365F00">
              <w:rPr>
                <w:color w:val="auto"/>
                <w:sz w:val="20"/>
                <w:szCs w:val="20"/>
              </w:rPr>
              <w:t xml:space="preserve"> (752 </w:t>
            </w:r>
            <w:r w:rsidR="00365F00" w:rsidRPr="005975CD">
              <w:rPr>
                <w:color w:val="auto"/>
                <w:sz w:val="20"/>
                <w:szCs w:val="20"/>
              </w:rPr>
              <w:t>º</w:t>
            </w:r>
            <w:r w:rsidR="00365F00">
              <w:rPr>
                <w:color w:val="auto"/>
                <w:sz w:val="20"/>
                <w:szCs w:val="20"/>
              </w:rPr>
              <w:t>F)</w:t>
            </w:r>
          </w:p>
        </w:tc>
      </w:tr>
      <w:tr w:rsidR="0022776B" w:rsidRPr="00921852" w14:paraId="51CE365A" w14:textId="77777777" w:rsidTr="00921852">
        <w:trPr>
          <w:jc w:val="center"/>
        </w:trPr>
        <w:tc>
          <w:tcPr>
            <w:tcW w:w="4338" w:type="dxa"/>
          </w:tcPr>
          <w:p w14:paraId="113DCE75" w14:textId="77777777" w:rsidR="0022776B" w:rsidRPr="00921852" w:rsidRDefault="0022776B" w:rsidP="00305987">
            <w:pPr>
              <w:pStyle w:val="Default"/>
              <w:keepNext/>
              <w:spacing w:before="40"/>
              <w:ind w:left="360"/>
              <w:rPr>
                <w:b/>
                <w:color w:val="auto"/>
                <w:sz w:val="20"/>
                <w:szCs w:val="20"/>
              </w:rPr>
            </w:pPr>
            <w:r w:rsidRPr="00921852">
              <w:rPr>
                <w:b/>
                <w:color w:val="auto"/>
                <w:sz w:val="20"/>
                <w:szCs w:val="20"/>
              </w:rPr>
              <w:t>Initial boiling point and boiling range (ºC):</w:t>
            </w:r>
          </w:p>
        </w:tc>
        <w:tc>
          <w:tcPr>
            <w:tcW w:w="2520" w:type="dxa"/>
          </w:tcPr>
          <w:p w14:paraId="0B2627B6"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A83C51" w:rsidRPr="00921852">
              <w:rPr>
                <w:color w:val="auto"/>
                <w:sz w:val="20"/>
                <w:szCs w:val="20"/>
              </w:rPr>
              <w:t>applicable</w:t>
            </w:r>
          </w:p>
        </w:tc>
      </w:tr>
      <w:tr w:rsidR="0022776B" w:rsidRPr="00921852" w14:paraId="52B8F2C6" w14:textId="77777777" w:rsidTr="00921852">
        <w:trPr>
          <w:jc w:val="center"/>
        </w:trPr>
        <w:tc>
          <w:tcPr>
            <w:tcW w:w="4338" w:type="dxa"/>
          </w:tcPr>
          <w:p w14:paraId="6F07EE3D" w14:textId="77777777" w:rsidR="0022776B" w:rsidRPr="00921852" w:rsidRDefault="0022776B" w:rsidP="00305987">
            <w:pPr>
              <w:pStyle w:val="Default"/>
              <w:keepNext/>
              <w:spacing w:before="40"/>
              <w:ind w:left="360"/>
              <w:rPr>
                <w:b/>
                <w:color w:val="auto"/>
                <w:sz w:val="20"/>
                <w:szCs w:val="20"/>
              </w:rPr>
            </w:pPr>
            <w:r w:rsidRPr="00921852">
              <w:rPr>
                <w:b/>
                <w:color w:val="auto"/>
                <w:sz w:val="20"/>
                <w:szCs w:val="20"/>
              </w:rPr>
              <w:t>Explosive Limits, LEL (Volume %):</w:t>
            </w:r>
          </w:p>
        </w:tc>
        <w:tc>
          <w:tcPr>
            <w:tcW w:w="2520" w:type="dxa"/>
          </w:tcPr>
          <w:p w14:paraId="1E4B884F"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22776B" w:rsidRPr="00921852">
              <w:rPr>
                <w:color w:val="auto"/>
                <w:sz w:val="20"/>
                <w:szCs w:val="20"/>
              </w:rPr>
              <w:t>applicable</w:t>
            </w:r>
          </w:p>
        </w:tc>
      </w:tr>
      <w:tr w:rsidR="0022776B" w:rsidRPr="00921852" w14:paraId="4276A01A" w14:textId="77777777" w:rsidTr="00921852">
        <w:trPr>
          <w:jc w:val="center"/>
        </w:trPr>
        <w:tc>
          <w:tcPr>
            <w:tcW w:w="4338" w:type="dxa"/>
          </w:tcPr>
          <w:p w14:paraId="1C4678FD" w14:textId="77777777" w:rsidR="0022776B" w:rsidRPr="00921852" w:rsidRDefault="0022776B" w:rsidP="00305987">
            <w:pPr>
              <w:pStyle w:val="Default"/>
              <w:keepNext/>
              <w:spacing w:before="40"/>
              <w:ind w:left="360"/>
              <w:rPr>
                <w:b/>
                <w:color w:val="auto"/>
                <w:sz w:val="20"/>
                <w:szCs w:val="20"/>
              </w:rPr>
            </w:pPr>
            <w:r w:rsidRPr="00921852">
              <w:rPr>
                <w:b/>
                <w:color w:val="auto"/>
                <w:sz w:val="20"/>
                <w:szCs w:val="20"/>
              </w:rPr>
              <w:t>Explosive Limits, UEL (Volume %):</w:t>
            </w:r>
          </w:p>
        </w:tc>
        <w:tc>
          <w:tcPr>
            <w:tcW w:w="2520" w:type="dxa"/>
          </w:tcPr>
          <w:p w14:paraId="569C3A55"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22776B" w:rsidRPr="00921852">
              <w:rPr>
                <w:color w:val="auto"/>
                <w:sz w:val="20"/>
                <w:szCs w:val="20"/>
              </w:rPr>
              <w:t>applicable</w:t>
            </w:r>
          </w:p>
        </w:tc>
      </w:tr>
      <w:tr w:rsidR="0022776B" w:rsidRPr="00921852" w14:paraId="0AAE3FE1" w14:textId="77777777" w:rsidTr="00921852">
        <w:trPr>
          <w:trHeight w:val="332"/>
          <w:jc w:val="center"/>
        </w:trPr>
        <w:tc>
          <w:tcPr>
            <w:tcW w:w="4338" w:type="dxa"/>
          </w:tcPr>
          <w:p w14:paraId="5BE8DB63" w14:textId="77777777" w:rsidR="0022776B" w:rsidRPr="00921852" w:rsidRDefault="0022776B" w:rsidP="00305987">
            <w:pPr>
              <w:pStyle w:val="Default"/>
              <w:keepNext/>
              <w:spacing w:before="40"/>
              <w:ind w:left="360"/>
              <w:rPr>
                <w:b/>
                <w:color w:val="auto"/>
                <w:sz w:val="20"/>
                <w:szCs w:val="20"/>
              </w:rPr>
            </w:pPr>
            <w:r w:rsidRPr="00921852">
              <w:rPr>
                <w:b/>
                <w:color w:val="auto"/>
                <w:sz w:val="20"/>
                <w:szCs w:val="20"/>
              </w:rPr>
              <w:t>Flash Point (ºC)</w:t>
            </w:r>
            <w:r w:rsidR="00293103">
              <w:rPr>
                <w:b/>
                <w:color w:val="auto"/>
                <w:sz w:val="20"/>
                <w:szCs w:val="20"/>
              </w:rPr>
              <w:t>:</w:t>
            </w:r>
          </w:p>
        </w:tc>
        <w:tc>
          <w:tcPr>
            <w:tcW w:w="2520" w:type="dxa"/>
          </w:tcPr>
          <w:p w14:paraId="0F354BEB" w14:textId="77777777" w:rsidR="0022776B" w:rsidRPr="00921852" w:rsidRDefault="00AF43ED" w:rsidP="0099140F">
            <w:pPr>
              <w:pStyle w:val="Default"/>
              <w:spacing w:before="40"/>
              <w:jc w:val="center"/>
              <w:rPr>
                <w:b/>
                <w:color w:val="auto"/>
                <w:sz w:val="20"/>
                <w:szCs w:val="20"/>
              </w:rPr>
            </w:pPr>
            <w:r>
              <w:rPr>
                <w:color w:val="auto"/>
                <w:sz w:val="20"/>
                <w:szCs w:val="20"/>
              </w:rPr>
              <w:t>n</w:t>
            </w:r>
            <w:r w:rsidRPr="00921852">
              <w:rPr>
                <w:color w:val="auto"/>
                <w:sz w:val="20"/>
                <w:szCs w:val="20"/>
              </w:rPr>
              <w:t xml:space="preserve">ot </w:t>
            </w:r>
            <w:r w:rsidR="0022776B" w:rsidRPr="00921852">
              <w:rPr>
                <w:color w:val="auto"/>
                <w:sz w:val="20"/>
                <w:szCs w:val="20"/>
              </w:rPr>
              <w:t>applicable</w:t>
            </w:r>
          </w:p>
        </w:tc>
      </w:tr>
      <w:tr w:rsidR="0022776B" w:rsidRPr="00921852" w14:paraId="0FC4B074" w14:textId="77777777" w:rsidTr="00921852">
        <w:trPr>
          <w:trHeight w:val="269"/>
          <w:jc w:val="center"/>
        </w:trPr>
        <w:tc>
          <w:tcPr>
            <w:tcW w:w="4338" w:type="dxa"/>
          </w:tcPr>
          <w:p w14:paraId="59D5557B" w14:textId="77777777" w:rsidR="0022776B" w:rsidRPr="00921852" w:rsidRDefault="0022776B" w:rsidP="00305987">
            <w:pPr>
              <w:pStyle w:val="Default"/>
              <w:spacing w:before="40"/>
              <w:ind w:left="360"/>
              <w:rPr>
                <w:b/>
                <w:color w:val="auto"/>
                <w:sz w:val="20"/>
                <w:szCs w:val="20"/>
              </w:rPr>
            </w:pPr>
            <w:r w:rsidRPr="00921852">
              <w:rPr>
                <w:b/>
                <w:color w:val="auto"/>
                <w:sz w:val="20"/>
                <w:szCs w:val="20"/>
              </w:rPr>
              <w:t>Flammability (solid, gas):</w:t>
            </w:r>
          </w:p>
        </w:tc>
        <w:tc>
          <w:tcPr>
            <w:tcW w:w="2520" w:type="dxa"/>
          </w:tcPr>
          <w:p w14:paraId="683D391B" w14:textId="77777777" w:rsidR="0022776B" w:rsidRPr="00921852" w:rsidRDefault="00AF43ED" w:rsidP="0099140F">
            <w:pPr>
              <w:pStyle w:val="Default"/>
              <w:spacing w:before="40" w:after="120"/>
              <w:jc w:val="center"/>
              <w:rPr>
                <w:b/>
                <w:color w:val="auto"/>
                <w:sz w:val="20"/>
                <w:szCs w:val="20"/>
              </w:rPr>
            </w:pPr>
            <w:r>
              <w:rPr>
                <w:color w:val="auto"/>
                <w:sz w:val="20"/>
                <w:szCs w:val="20"/>
              </w:rPr>
              <w:t>n</w:t>
            </w:r>
            <w:r w:rsidRPr="00921852">
              <w:rPr>
                <w:color w:val="auto"/>
                <w:sz w:val="20"/>
                <w:szCs w:val="20"/>
              </w:rPr>
              <w:t xml:space="preserve">ot </w:t>
            </w:r>
            <w:r w:rsidR="0022776B" w:rsidRPr="00921852">
              <w:rPr>
                <w:color w:val="auto"/>
                <w:sz w:val="20"/>
                <w:szCs w:val="20"/>
              </w:rPr>
              <w:t>applicable</w:t>
            </w:r>
          </w:p>
        </w:tc>
      </w:tr>
    </w:tbl>
    <w:p w14:paraId="07B21E59" w14:textId="77777777" w:rsidR="00D86539" w:rsidRDefault="00D86539" w:rsidP="00305987">
      <w:pPr>
        <w:widowControl/>
        <w:spacing w:after="0" w:line="240" w:lineRule="auto"/>
        <w:rPr>
          <w:rFonts w:ascii="Times New Roman" w:eastAsia="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3C671BD9" w14:textId="77777777" w:rsidTr="00D25DBF">
        <w:trPr>
          <w:trHeight w:hRule="exact" w:val="360"/>
        </w:trPr>
        <w:tc>
          <w:tcPr>
            <w:tcW w:w="9576" w:type="dxa"/>
            <w:tcBorders>
              <w:left w:val="nil"/>
              <w:right w:val="nil"/>
            </w:tcBorders>
            <w:vAlign w:val="center"/>
          </w:tcPr>
          <w:p w14:paraId="5742E564" w14:textId="77777777" w:rsidR="003045F2" w:rsidRPr="003045F2" w:rsidRDefault="003045F2" w:rsidP="0099140F">
            <w:pPr>
              <w:keepNext/>
              <w:widowControl/>
              <w:overflowPunct w:val="0"/>
              <w:autoSpaceDE w:val="0"/>
              <w:autoSpaceDN w:val="0"/>
              <w:adjustRightInd w:val="0"/>
              <w:spacing w:after="0" w:line="18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t>10.  Stability and Reactivity</w:t>
            </w:r>
          </w:p>
        </w:tc>
      </w:tr>
    </w:tbl>
    <w:p w14:paraId="5AA42A99" w14:textId="77777777" w:rsidR="00F4046F" w:rsidRPr="004A6E3F" w:rsidRDefault="00F4046F" w:rsidP="00037460">
      <w:pPr>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E30C9" w:rsidRPr="000E30C9">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6D46E199" w14:textId="77777777" w:rsidTr="00EB5E4A">
        <w:tc>
          <w:tcPr>
            <w:tcW w:w="1440" w:type="dxa"/>
            <w:vAlign w:val="center"/>
          </w:tcPr>
          <w:p w14:paraId="67031675" w14:textId="77777777" w:rsidR="00F4046F" w:rsidRPr="00F4046F" w:rsidRDefault="00F4046F" w:rsidP="00037460">
            <w:pPr>
              <w:widowControl/>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7C816F66" w14:textId="77777777" w:rsidR="00F4046F" w:rsidRDefault="00A14B09" w:rsidP="00037460">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0C9BA7A6" w14:textId="77777777" w:rsidR="00F4046F" w:rsidRDefault="00F4046F" w:rsidP="00037460">
            <w:pPr>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4A7B4E11" w14:textId="77777777" w:rsidR="00F4046F" w:rsidRDefault="00F4046F" w:rsidP="00037460">
            <w:pPr>
              <w:widowControl/>
              <w:spacing w:after="0" w:line="240" w:lineRule="auto"/>
              <w:jc w:val="center"/>
              <w:rPr>
                <w:rFonts w:ascii="Times New Roman" w:hAnsi="Times New Roman"/>
                <w:sz w:val="20"/>
                <w:szCs w:val="20"/>
              </w:rPr>
            </w:pPr>
          </w:p>
        </w:tc>
        <w:tc>
          <w:tcPr>
            <w:tcW w:w="1296" w:type="dxa"/>
            <w:vAlign w:val="center"/>
          </w:tcPr>
          <w:p w14:paraId="776EB5F1" w14:textId="77777777" w:rsidR="00F4046F" w:rsidRDefault="00F4046F" w:rsidP="00037460">
            <w:pPr>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53499EF2" w14:textId="77777777" w:rsidR="00D2295A" w:rsidRPr="00A00A2B" w:rsidRDefault="00D2295A" w:rsidP="00037460">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B3644A">
        <w:rPr>
          <w:rFonts w:ascii="Times New Roman" w:eastAsia="Times New Roman" w:hAnsi="Times New Roman"/>
          <w:bCs/>
          <w:sz w:val="20"/>
          <w:szCs w:val="20"/>
        </w:rPr>
        <w:t>May ignite or explode on contact with reducing agents</w:t>
      </w:r>
      <w:r w:rsidR="00373352">
        <w:rPr>
          <w:rFonts w:ascii="Times New Roman" w:eastAsia="Times New Roman" w:hAnsi="Times New Roman"/>
          <w:bCs/>
          <w:sz w:val="20"/>
          <w:szCs w:val="20"/>
        </w:rPr>
        <w:t>.</w:t>
      </w:r>
    </w:p>
    <w:p w14:paraId="4A638733" w14:textId="77777777" w:rsidR="006821C7" w:rsidRPr="006821C7" w:rsidRDefault="006821C7" w:rsidP="0030598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2B177E">
        <w:rPr>
          <w:rFonts w:ascii="Times New Roman" w:eastAsia="Times New Roman" w:hAnsi="Times New Roman"/>
          <w:bCs/>
          <w:sz w:val="20"/>
          <w:szCs w:val="20"/>
        </w:rPr>
        <w:t>Avoid contact with combustible materials</w:t>
      </w:r>
      <w:r w:rsidR="00D1365D">
        <w:rPr>
          <w:rFonts w:ascii="Times New Roman" w:eastAsia="Times New Roman" w:hAnsi="Times New Roman"/>
          <w:bCs/>
          <w:sz w:val="20"/>
          <w:szCs w:val="20"/>
        </w:rPr>
        <w:t>.</w:t>
      </w:r>
    </w:p>
    <w:p w14:paraId="67468ED6" w14:textId="77777777" w:rsidR="006821C7" w:rsidRPr="006821C7" w:rsidRDefault="006821C7" w:rsidP="0099140F">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B1513E">
        <w:rPr>
          <w:rFonts w:ascii="Times New Roman" w:eastAsia="Times New Roman" w:hAnsi="Times New Roman"/>
          <w:bCs/>
          <w:sz w:val="20"/>
          <w:szCs w:val="20"/>
        </w:rPr>
        <w:t>A</w:t>
      </w:r>
      <w:r w:rsidR="00450AD0" w:rsidRPr="00450AD0">
        <w:rPr>
          <w:rFonts w:ascii="Times New Roman" w:eastAsia="Times New Roman" w:hAnsi="Times New Roman"/>
          <w:bCs/>
          <w:sz w:val="20"/>
          <w:szCs w:val="20"/>
        </w:rPr>
        <w:t>cids, combustible materials, halogens, metal salts, metal</w:t>
      </w:r>
      <w:r w:rsidR="007D2D50">
        <w:rPr>
          <w:rFonts w:ascii="Times New Roman" w:eastAsia="Times New Roman" w:hAnsi="Times New Roman"/>
          <w:bCs/>
          <w:sz w:val="20"/>
          <w:szCs w:val="20"/>
        </w:rPr>
        <w:t>s, reducing agents</w:t>
      </w:r>
      <w:r w:rsidR="004F1C1D" w:rsidRPr="004F1C1D">
        <w:rPr>
          <w:rFonts w:ascii="Times New Roman" w:eastAsia="Times New Roman" w:hAnsi="Times New Roman"/>
          <w:bCs/>
          <w:sz w:val="20"/>
          <w:szCs w:val="20"/>
        </w:rPr>
        <w:t>.</w:t>
      </w:r>
    </w:p>
    <w:p w14:paraId="18E28362" w14:textId="77777777" w:rsidR="006821C7" w:rsidRPr="006821C7" w:rsidRDefault="006821C7" w:rsidP="00E85E49">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 xml:space="preserve">Fire/Explosion Information:  </w:t>
      </w:r>
      <w:r w:rsidRPr="006821C7">
        <w:rPr>
          <w:rFonts w:ascii="Times New Roman" w:eastAsia="Times New Roman" w:hAnsi="Times New Roman"/>
          <w:sz w:val="20"/>
          <w:szCs w:val="20"/>
        </w:rPr>
        <w:t>See Section 5, “Fire Fighting Measures”.</w:t>
      </w:r>
    </w:p>
    <w:p w14:paraId="44D6FFB2" w14:textId="77777777" w:rsidR="006821C7" w:rsidRDefault="006821C7" w:rsidP="00E85E49">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Hazardous Decomposition:</w:t>
      </w:r>
      <w:r w:rsidRPr="006821C7">
        <w:rPr>
          <w:rFonts w:ascii="Times New Roman" w:eastAsia="Times New Roman" w:hAnsi="Times New Roman"/>
          <w:bCs/>
          <w:sz w:val="20"/>
          <w:szCs w:val="20"/>
        </w:rPr>
        <w:t xml:space="preserve">  </w:t>
      </w:r>
      <w:r w:rsidR="00D25DBF" w:rsidRPr="00D25DBF">
        <w:rPr>
          <w:rFonts w:ascii="Times New Roman" w:eastAsia="Times New Roman" w:hAnsi="Times New Roman"/>
          <w:bCs/>
          <w:sz w:val="20"/>
          <w:szCs w:val="20"/>
        </w:rPr>
        <w:t xml:space="preserve">Thermal decomposition will produce </w:t>
      </w:r>
      <w:r w:rsidR="007D2D50">
        <w:rPr>
          <w:rFonts w:ascii="Times New Roman" w:eastAsia="Times New Roman" w:hAnsi="Times New Roman"/>
          <w:bCs/>
          <w:sz w:val="20"/>
          <w:szCs w:val="20"/>
        </w:rPr>
        <w:t>oxides of nitrogen, oxides of potassium</w:t>
      </w:r>
      <w:r w:rsidRPr="006821C7">
        <w:rPr>
          <w:rFonts w:ascii="Times New Roman" w:eastAsia="Times New Roman" w:hAnsi="Times New Roman"/>
          <w:bCs/>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14:paraId="7B79FFDB" w14:textId="77777777" w:rsidTr="004A6E3F">
        <w:tc>
          <w:tcPr>
            <w:tcW w:w="2592" w:type="dxa"/>
            <w:vAlign w:val="center"/>
          </w:tcPr>
          <w:p w14:paraId="071C393E" w14:textId="77777777" w:rsidR="00881C3C" w:rsidRPr="00F4046F" w:rsidRDefault="00881C3C" w:rsidP="00037460">
            <w:pPr>
              <w:widowControl/>
              <w:spacing w:after="0" w:line="240" w:lineRule="auto"/>
              <w:ind w:left="-108" w:right="-187"/>
              <w:rPr>
                <w:rFonts w:ascii="Times New Roman" w:hAnsi="Times New Roman"/>
                <w:b/>
                <w:sz w:val="20"/>
                <w:szCs w:val="20"/>
              </w:rPr>
            </w:pPr>
            <w:r>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60CCB060" w14:textId="77777777" w:rsidR="00881C3C" w:rsidRDefault="00881C3C" w:rsidP="00037460">
            <w:pPr>
              <w:widowControl/>
              <w:spacing w:after="0" w:line="240" w:lineRule="auto"/>
              <w:jc w:val="center"/>
              <w:rPr>
                <w:rFonts w:ascii="Times New Roman" w:hAnsi="Times New Roman"/>
                <w:sz w:val="20"/>
                <w:szCs w:val="20"/>
              </w:rPr>
            </w:pPr>
          </w:p>
        </w:tc>
        <w:tc>
          <w:tcPr>
            <w:tcW w:w="1440" w:type="dxa"/>
            <w:vAlign w:val="bottom"/>
          </w:tcPr>
          <w:p w14:paraId="27973D33" w14:textId="77777777" w:rsidR="00881C3C" w:rsidRDefault="00881C3C" w:rsidP="00037460">
            <w:pPr>
              <w:widowControl/>
              <w:spacing w:after="0" w:line="240" w:lineRule="auto"/>
              <w:rPr>
                <w:rFonts w:ascii="Times New Roman" w:hAnsi="Times New Roman"/>
                <w:sz w:val="20"/>
                <w:szCs w:val="20"/>
              </w:rPr>
            </w:pPr>
            <w:r>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70139DB3" w14:textId="77777777" w:rsidR="00881C3C" w:rsidRDefault="00881C3C" w:rsidP="00037460">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764" w:type="dxa"/>
            <w:vAlign w:val="bottom"/>
          </w:tcPr>
          <w:p w14:paraId="3B95C381" w14:textId="77777777" w:rsidR="00881C3C" w:rsidRDefault="00881C3C" w:rsidP="00037460">
            <w:pPr>
              <w:widowControl/>
              <w:spacing w:after="0" w:line="240" w:lineRule="auto"/>
              <w:rPr>
                <w:rFonts w:ascii="Times New Roman" w:hAnsi="Times New Roman"/>
                <w:sz w:val="20"/>
                <w:szCs w:val="20"/>
              </w:rPr>
            </w:pPr>
            <w:r>
              <w:rPr>
                <w:rFonts w:ascii="Times New Roman" w:eastAsia="Times New Roman" w:hAnsi="Times New Roman"/>
                <w:sz w:val="20"/>
                <w:szCs w:val="20"/>
              </w:rPr>
              <w:t>Will Not Occur</w:t>
            </w:r>
          </w:p>
        </w:tc>
      </w:tr>
    </w:tbl>
    <w:p w14:paraId="12596627" w14:textId="77777777" w:rsidR="009E6D6C" w:rsidRDefault="009E6D6C" w:rsidP="00305987">
      <w:pPr>
        <w:widowControl/>
        <w:spacing w:after="0" w:line="240" w:lineRule="auto"/>
        <w:rPr>
          <w:rFonts w:ascii="Times New Roman" w:eastAsia="Times New Roman" w:hAnsi="Times New Roman"/>
          <w:bCs/>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14:paraId="361F884D" w14:textId="77777777" w:rsidTr="00783F68">
        <w:trPr>
          <w:trHeight w:hRule="exact" w:val="360"/>
        </w:trPr>
        <w:tc>
          <w:tcPr>
            <w:tcW w:w="9576" w:type="dxa"/>
            <w:vAlign w:val="center"/>
          </w:tcPr>
          <w:p w14:paraId="0AB0A7BC" w14:textId="77777777" w:rsidR="00783F68" w:rsidRDefault="00783F68" w:rsidP="00037460">
            <w:pPr>
              <w:keepNext/>
              <w:widowControl/>
              <w:spacing w:after="0" w:line="240" w:lineRule="auto"/>
              <w:rPr>
                <w:rFonts w:ascii="Times New Roman" w:eastAsia="Times New Roman" w:hAnsi="Times New Roman"/>
                <w:bCs/>
                <w:sz w:val="20"/>
                <w:szCs w:val="20"/>
              </w:rPr>
            </w:pPr>
            <w:r>
              <w:rPr>
                <w:rFonts w:ascii="Times New Roman" w:eastAsia="Times New Roman" w:hAnsi="Times New Roman"/>
                <w:b/>
                <w:bCs/>
                <w:position w:val="-1"/>
                <w:sz w:val="24"/>
                <w:szCs w:val="24"/>
              </w:rPr>
              <w:t>11.</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spacing w:val="1"/>
                <w:position w:val="-1"/>
                <w:sz w:val="24"/>
                <w:szCs w:val="24"/>
              </w:rPr>
              <w:t>T</w:t>
            </w:r>
            <w:r>
              <w:rPr>
                <w:rFonts w:ascii="Times New Roman" w:eastAsia="Times New Roman" w:hAnsi="Times New Roman"/>
                <w:b/>
                <w:bCs/>
                <w:spacing w:val="-1"/>
                <w:position w:val="-1"/>
                <w:sz w:val="19"/>
                <w:szCs w:val="19"/>
              </w:rPr>
              <w:t>O</w:t>
            </w:r>
            <w:r>
              <w:rPr>
                <w:rFonts w:ascii="Times New Roman" w:eastAsia="Times New Roman" w:hAnsi="Times New Roman"/>
                <w:b/>
                <w:bCs/>
                <w:spacing w:val="-2"/>
                <w:position w:val="-1"/>
                <w:sz w:val="19"/>
                <w:szCs w:val="19"/>
              </w:rPr>
              <w:t>X</w:t>
            </w:r>
            <w:r>
              <w:rPr>
                <w:rFonts w:ascii="Times New Roman" w:eastAsia="Times New Roman" w:hAnsi="Times New Roman"/>
                <w:b/>
                <w:bCs/>
                <w:spacing w:val="1"/>
                <w:position w:val="-1"/>
                <w:sz w:val="19"/>
                <w:szCs w:val="19"/>
              </w:rPr>
              <w:t>I</w:t>
            </w:r>
            <w:r>
              <w:rPr>
                <w:rFonts w:ascii="Times New Roman" w:eastAsia="Times New Roman" w:hAnsi="Times New Roman"/>
                <w:b/>
                <w:bCs/>
                <w:position w:val="-1"/>
                <w:sz w:val="19"/>
                <w:szCs w:val="19"/>
              </w:rPr>
              <w:t>C</w:t>
            </w:r>
            <w:r>
              <w:rPr>
                <w:rFonts w:ascii="Times New Roman" w:eastAsia="Times New Roman" w:hAnsi="Times New Roman"/>
                <w:b/>
                <w:bCs/>
                <w:spacing w:val="-1"/>
                <w:position w:val="-1"/>
                <w:sz w:val="19"/>
                <w:szCs w:val="19"/>
              </w:rPr>
              <w:t>O</w:t>
            </w:r>
            <w:r>
              <w:rPr>
                <w:rFonts w:ascii="Times New Roman" w:eastAsia="Times New Roman" w:hAnsi="Times New Roman"/>
                <w:b/>
                <w:bCs/>
                <w:spacing w:val="1"/>
                <w:position w:val="-1"/>
                <w:sz w:val="19"/>
                <w:szCs w:val="19"/>
              </w:rPr>
              <w:t>L</w:t>
            </w:r>
            <w:r>
              <w:rPr>
                <w:rFonts w:ascii="Times New Roman" w:eastAsia="Times New Roman" w:hAnsi="Times New Roman"/>
                <w:b/>
                <w:bCs/>
                <w:spacing w:val="-1"/>
                <w:position w:val="-1"/>
                <w:sz w:val="19"/>
                <w:szCs w:val="19"/>
              </w:rPr>
              <w:t>OG</w:t>
            </w:r>
            <w:r>
              <w:rPr>
                <w:rFonts w:ascii="Times New Roman" w:eastAsia="Times New Roman" w:hAnsi="Times New Roman"/>
                <w:b/>
                <w:bCs/>
                <w:spacing w:val="1"/>
                <w:position w:val="-1"/>
                <w:sz w:val="19"/>
                <w:szCs w:val="19"/>
              </w:rPr>
              <w:t>I</w:t>
            </w:r>
            <w:r>
              <w:rPr>
                <w:rFonts w:ascii="Times New Roman" w:eastAsia="Times New Roman" w:hAnsi="Times New Roman"/>
                <w:b/>
                <w:bCs/>
                <w:position w:val="-1"/>
                <w:sz w:val="19"/>
                <w:szCs w:val="19"/>
              </w:rPr>
              <w:t>CAL</w:t>
            </w:r>
            <w:r>
              <w:rPr>
                <w:rFonts w:ascii="Times New Roman" w:eastAsia="Times New Roman" w:hAnsi="Times New Roman"/>
                <w:b/>
                <w:bCs/>
                <w:spacing w:val="-13"/>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position w:val="-1"/>
                <w:sz w:val="19"/>
                <w:szCs w:val="19"/>
              </w:rPr>
              <w:t>N</w:t>
            </w:r>
            <w:r>
              <w:rPr>
                <w:rFonts w:ascii="Times New Roman" w:eastAsia="Times New Roman" w:hAnsi="Times New Roman"/>
                <w:b/>
                <w:bCs/>
                <w:spacing w:val="-1"/>
                <w:position w:val="-1"/>
                <w:sz w:val="19"/>
                <w:szCs w:val="19"/>
              </w:rPr>
              <w:t>FO</w:t>
            </w:r>
            <w:r>
              <w:rPr>
                <w:rFonts w:ascii="Times New Roman" w:eastAsia="Times New Roman" w:hAnsi="Times New Roman"/>
                <w:b/>
                <w:bCs/>
                <w:position w:val="-1"/>
                <w:sz w:val="19"/>
                <w:szCs w:val="19"/>
              </w:rPr>
              <w:t>R</w:t>
            </w:r>
            <w:r>
              <w:rPr>
                <w:rFonts w:ascii="Times New Roman" w:eastAsia="Times New Roman" w:hAnsi="Times New Roman"/>
                <w:b/>
                <w:bCs/>
                <w:spacing w:val="1"/>
                <w:position w:val="-1"/>
                <w:sz w:val="19"/>
                <w:szCs w:val="19"/>
              </w:rPr>
              <w:t>M</w:t>
            </w:r>
            <w:r>
              <w:rPr>
                <w:rFonts w:ascii="Times New Roman" w:eastAsia="Times New Roman" w:hAnsi="Times New Roman"/>
                <w:b/>
                <w:bCs/>
                <w:position w:val="-1"/>
                <w:sz w:val="19"/>
                <w:szCs w:val="19"/>
              </w:rPr>
              <w:t>A</w:t>
            </w:r>
            <w:r>
              <w:rPr>
                <w:rFonts w:ascii="Times New Roman" w:eastAsia="Times New Roman" w:hAnsi="Times New Roman"/>
                <w:b/>
                <w:bCs/>
                <w:spacing w:val="1"/>
                <w:position w:val="-1"/>
                <w:sz w:val="19"/>
                <w:szCs w:val="19"/>
              </w:rPr>
              <w:t>TI</w:t>
            </w:r>
            <w:r>
              <w:rPr>
                <w:rFonts w:ascii="Times New Roman" w:eastAsia="Times New Roman" w:hAnsi="Times New Roman"/>
                <w:b/>
                <w:bCs/>
                <w:spacing w:val="-1"/>
                <w:position w:val="-1"/>
                <w:sz w:val="19"/>
                <w:szCs w:val="19"/>
              </w:rPr>
              <w:t>O</w:t>
            </w:r>
            <w:r>
              <w:rPr>
                <w:rFonts w:ascii="Times New Roman" w:eastAsia="Times New Roman" w:hAnsi="Times New Roman"/>
                <w:b/>
                <w:bCs/>
                <w:position w:val="-1"/>
                <w:sz w:val="19"/>
                <w:szCs w:val="19"/>
              </w:rPr>
              <w:t>N</w:t>
            </w:r>
          </w:p>
        </w:tc>
      </w:tr>
    </w:tbl>
    <w:p w14:paraId="72BCC3DE" w14:textId="77777777" w:rsidR="000062AB" w:rsidRPr="003142CE" w:rsidRDefault="000062AB" w:rsidP="00037460">
      <w:pPr>
        <w:widowControl/>
        <w:spacing w:after="0"/>
        <w:rPr>
          <w:rFonts w:ascii="Times New Roman" w:hAnsi="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14:paraId="5AE39BF1" w14:textId="77777777" w:rsidTr="004E7C12">
        <w:tc>
          <w:tcPr>
            <w:tcW w:w="2016" w:type="dxa"/>
            <w:vAlign w:val="center"/>
          </w:tcPr>
          <w:p w14:paraId="4EB309F1" w14:textId="77777777" w:rsidR="00EB5E4A" w:rsidRPr="00F4046F" w:rsidRDefault="00EB5E4A" w:rsidP="00037460">
            <w:pPr>
              <w:widowControl/>
              <w:spacing w:before="120" w:after="0" w:line="240" w:lineRule="auto"/>
              <w:rPr>
                <w:rFonts w:ascii="Times New Roman" w:hAnsi="Times New Roman"/>
                <w:b/>
                <w:sz w:val="20"/>
                <w:szCs w:val="20"/>
              </w:rPr>
            </w:pPr>
            <w:r>
              <w:rPr>
                <w:rFonts w:ascii="Times New Roman" w:eastAsia="Times New Roman" w:hAnsi="Times New Roman"/>
                <w:b/>
                <w:bCs/>
                <w:position w:val="-1"/>
                <w:sz w:val="20"/>
                <w:szCs w:val="20"/>
              </w:rPr>
              <w:t>R</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e</w:t>
            </w:r>
            <w:r>
              <w:rPr>
                <w:rFonts w:ascii="Times New Roman" w:eastAsia="Times New Roman" w:hAnsi="Times New Roman"/>
                <w:b/>
                <w:bCs/>
                <w:spacing w:val="-4"/>
                <w:position w:val="-1"/>
                <w:sz w:val="20"/>
                <w:szCs w:val="20"/>
              </w:rPr>
              <w:t xml:space="preserve"> </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f</w:t>
            </w:r>
            <w:r>
              <w:rPr>
                <w:rFonts w:ascii="Times New Roman" w:eastAsia="Times New Roman" w:hAnsi="Times New Roman"/>
                <w:b/>
                <w:bCs/>
                <w:spacing w:val="-1"/>
                <w:position w:val="-1"/>
                <w:sz w:val="20"/>
                <w:szCs w:val="20"/>
              </w:rPr>
              <w:t xml:space="preserve"> </w:t>
            </w:r>
            <w:r w:rsidR="00957B26">
              <w:rPr>
                <w:rFonts w:ascii="Times New Roman" w:eastAsia="Times New Roman" w:hAnsi="Times New Roman"/>
                <w:b/>
                <w:bCs/>
                <w:spacing w:val="-1"/>
                <w:position w:val="-1"/>
                <w:sz w:val="20"/>
                <w:szCs w:val="20"/>
              </w:rPr>
              <w:t>Exposure</w:t>
            </w:r>
            <w:r>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45914AC7" w14:textId="77777777" w:rsidR="00EB5E4A" w:rsidRDefault="006C412A" w:rsidP="00037460">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71EE812B" w14:textId="77777777" w:rsidR="00EB5E4A" w:rsidRDefault="00EB5E4A" w:rsidP="00037460">
            <w:pPr>
              <w:widowControl/>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nh</w:t>
            </w:r>
            <w:r>
              <w:rPr>
                <w:rFonts w:ascii="Times New Roman" w:eastAsia="Times New Roman" w:hAnsi="Times New Roman"/>
                <w:sz w:val="20"/>
                <w:szCs w:val="20"/>
              </w:rPr>
              <w:t>alati</w:t>
            </w:r>
            <w:r>
              <w:rPr>
                <w:rFonts w:ascii="Times New Roman" w:eastAsia="Times New Roman" w:hAnsi="Times New Roman"/>
                <w:spacing w:val="1"/>
                <w:sz w:val="20"/>
                <w:szCs w:val="20"/>
              </w:rPr>
              <w:t>o</w:t>
            </w:r>
            <w:r>
              <w:rPr>
                <w:rFonts w:ascii="Times New Roman" w:eastAsia="Times New Roman" w:hAnsi="Times New Roman"/>
                <w:sz w:val="20"/>
                <w:szCs w:val="20"/>
              </w:rPr>
              <w:t>n</w:t>
            </w:r>
          </w:p>
        </w:tc>
        <w:tc>
          <w:tcPr>
            <w:tcW w:w="576" w:type="dxa"/>
            <w:tcBorders>
              <w:bottom w:val="single" w:sz="6" w:space="0" w:color="auto"/>
            </w:tcBorders>
            <w:vAlign w:val="bottom"/>
          </w:tcPr>
          <w:p w14:paraId="65DE3665" w14:textId="77777777" w:rsidR="00EB5E4A" w:rsidRDefault="00D25DBF" w:rsidP="00037460">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18D9B090" w14:textId="77777777" w:rsidR="00EB5E4A" w:rsidRDefault="00EB5E4A" w:rsidP="00037460">
            <w:pPr>
              <w:widowControl/>
              <w:spacing w:after="0" w:line="240" w:lineRule="auto"/>
              <w:rPr>
                <w:rFonts w:ascii="Times New Roman" w:hAnsi="Times New Roman"/>
                <w:sz w:val="20"/>
                <w:szCs w:val="20"/>
              </w:rPr>
            </w:pPr>
            <w:r>
              <w:rPr>
                <w:rFonts w:ascii="Times New Roman" w:eastAsia="Times New Roman" w:hAnsi="Times New Roman"/>
                <w:sz w:val="20"/>
                <w:szCs w:val="20"/>
              </w:rPr>
              <w:t>S</w:t>
            </w:r>
            <w:r>
              <w:rPr>
                <w:rFonts w:ascii="Times New Roman" w:eastAsia="Times New Roman" w:hAnsi="Times New Roman"/>
                <w:spacing w:val="-1"/>
                <w:sz w:val="20"/>
                <w:szCs w:val="20"/>
              </w:rPr>
              <w:t>k</w:t>
            </w:r>
            <w:r>
              <w:rPr>
                <w:rFonts w:ascii="Times New Roman" w:eastAsia="Times New Roman" w:hAnsi="Times New Roman"/>
                <w:sz w:val="20"/>
                <w:szCs w:val="20"/>
              </w:rPr>
              <w:t>in</w:t>
            </w:r>
          </w:p>
        </w:tc>
        <w:tc>
          <w:tcPr>
            <w:tcW w:w="576" w:type="dxa"/>
            <w:tcBorders>
              <w:bottom w:val="single" w:sz="6" w:space="0" w:color="auto"/>
            </w:tcBorders>
            <w:vAlign w:val="bottom"/>
          </w:tcPr>
          <w:p w14:paraId="72573F0E" w14:textId="77777777" w:rsidR="00EB5E4A" w:rsidRDefault="00D25DBF" w:rsidP="00037460">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181AE583" w14:textId="77777777" w:rsidR="00EB5E4A" w:rsidRDefault="00EB5E4A" w:rsidP="00037460">
            <w:pPr>
              <w:widowControl/>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ng</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z w:val="20"/>
                <w:szCs w:val="20"/>
              </w:rPr>
              <w:t>ti</w:t>
            </w:r>
            <w:r>
              <w:rPr>
                <w:rFonts w:ascii="Times New Roman" w:eastAsia="Times New Roman" w:hAnsi="Times New Roman"/>
                <w:spacing w:val="1"/>
                <w:sz w:val="20"/>
                <w:szCs w:val="20"/>
              </w:rPr>
              <w:t>o</w:t>
            </w:r>
            <w:r>
              <w:rPr>
                <w:rFonts w:ascii="Times New Roman" w:eastAsia="Times New Roman" w:hAnsi="Times New Roman"/>
                <w:sz w:val="20"/>
                <w:szCs w:val="20"/>
              </w:rPr>
              <w:t>n</w:t>
            </w:r>
          </w:p>
        </w:tc>
      </w:tr>
    </w:tbl>
    <w:p w14:paraId="68E26615" w14:textId="65E489F5" w:rsidR="00E014A4" w:rsidRPr="005A73FE" w:rsidRDefault="00E014A4" w:rsidP="0099140F">
      <w:pPr>
        <w:keepLines/>
        <w:spacing w:before="120" w:after="0" w:line="240" w:lineRule="auto"/>
        <w:jc w:val="both"/>
        <w:rPr>
          <w:rFonts w:ascii="Times New Roman" w:eastAsia="Times New Roman" w:hAnsi="Times New Roman"/>
          <w:bCs/>
          <w:sz w:val="20"/>
          <w:szCs w:val="20"/>
        </w:rPr>
      </w:pPr>
      <w:r w:rsidRPr="006545B0">
        <w:rPr>
          <w:rFonts w:ascii="Times New Roman" w:eastAsia="Times New Roman" w:hAnsi="Times New Roman"/>
          <w:b/>
          <w:bCs/>
          <w:sz w:val="20"/>
          <w:szCs w:val="20"/>
        </w:rPr>
        <w:t>Symptoms Related to the Physical, Chemical and Toxicological Characteristics</w:t>
      </w:r>
      <w:r>
        <w:rPr>
          <w:rFonts w:ascii="Times New Roman" w:eastAsia="Times New Roman" w:hAnsi="Times New Roman"/>
          <w:b/>
          <w:bCs/>
          <w:sz w:val="20"/>
          <w:szCs w:val="20"/>
        </w:rPr>
        <w:t>:</w:t>
      </w:r>
      <w:r>
        <w:rPr>
          <w:rFonts w:ascii="Times New Roman" w:eastAsia="Times New Roman" w:hAnsi="Times New Roman"/>
          <w:bCs/>
          <w:sz w:val="20"/>
          <w:szCs w:val="20"/>
        </w:rPr>
        <w:t xml:space="preserve">  </w:t>
      </w:r>
      <w:r w:rsidR="00F34988">
        <w:rPr>
          <w:rFonts w:ascii="Times New Roman" w:eastAsia="Times New Roman" w:hAnsi="Times New Roman"/>
          <w:bCs/>
          <w:sz w:val="20"/>
          <w:szCs w:val="20"/>
        </w:rPr>
        <w:t>Eye, skin</w:t>
      </w:r>
      <w:r w:rsidR="0099140F">
        <w:rPr>
          <w:rFonts w:ascii="Times New Roman" w:eastAsia="Times New Roman" w:hAnsi="Times New Roman"/>
          <w:bCs/>
          <w:sz w:val="20"/>
          <w:szCs w:val="20"/>
        </w:rPr>
        <w:t>,</w:t>
      </w:r>
      <w:r w:rsidR="00F34988">
        <w:rPr>
          <w:rFonts w:ascii="Times New Roman" w:eastAsia="Times New Roman" w:hAnsi="Times New Roman"/>
          <w:bCs/>
          <w:sz w:val="20"/>
          <w:szCs w:val="20"/>
        </w:rPr>
        <w:t xml:space="preserve"> and respiratory</w:t>
      </w:r>
      <w:r w:rsidR="003375EA">
        <w:rPr>
          <w:rFonts w:ascii="Times New Roman" w:eastAsia="Times New Roman" w:hAnsi="Times New Roman"/>
          <w:bCs/>
          <w:sz w:val="20"/>
          <w:szCs w:val="20"/>
        </w:rPr>
        <w:t xml:space="preserve"> </w:t>
      </w:r>
      <w:r w:rsidR="00017808">
        <w:rPr>
          <w:rFonts w:ascii="Times New Roman" w:eastAsia="Times New Roman" w:hAnsi="Times New Roman"/>
          <w:bCs/>
          <w:sz w:val="20"/>
          <w:szCs w:val="20"/>
        </w:rPr>
        <w:t>irritation</w:t>
      </w:r>
      <w:r w:rsidR="00F34988">
        <w:rPr>
          <w:rFonts w:ascii="Times New Roman" w:eastAsia="Times New Roman" w:hAnsi="Times New Roman"/>
          <w:bCs/>
          <w:sz w:val="20"/>
          <w:szCs w:val="20"/>
        </w:rPr>
        <w:t xml:space="preserve">, </w:t>
      </w:r>
      <w:r w:rsidR="0039664D">
        <w:rPr>
          <w:rFonts w:ascii="Times New Roman" w:eastAsia="Times New Roman" w:hAnsi="Times New Roman"/>
          <w:bCs/>
          <w:sz w:val="20"/>
          <w:szCs w:val="20"/>
        </w:rPr>
        <w:t>cyanosis</w:t>
      </w:r>
      <w:r w:rsidR="005A73FE">
        <w:rPr>
          <w:rFonts w:ascii="Times New Roman" w:eastAsia="Times New Roman" w:hAnsi="Times New Roman"/>
          <w:bCs/>
          <w:sz w:val="20"/>
          <w:szCs w:val="20"/>
        </w:rPr>
        <w:t>.</w:t>
      </w:r>
    </w:p>
    <w:p w14:paraId="5073254B" w14:textId="77777777" w:rsidR="00A00A2B" w:rsidRPr="00EB5E4A" w:rsidRDefault="00EB5E4A" w:rsidP="00037460">
      <w:pPr>
        <w:widowControl/>
        <w:spacing w:before="120"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Potential Health Effects (Acute</w:t>
      </w:r>
      <w:r w:rsidR="00957B26">
        <w:rPr>
          <w:rFonts w:ascii="Times New Roman" w:eastAsia="Times New Roman" w:hAnsi="Times New Roman"/>
          <w:b/>
          <w:bCs/>
          <w:sz w:val="20"/>
          <w:szCs w:val="20"/>
        </w:rPr>
        <w:t>,</w:t>
      </w:r>
      <w:r>
        <w:rPr>
          <w:rFonts w:ascii="Times New Roman" w:eastAsia="Times New Roman" w:hAnsi="Times New Roman"/>
          <w:b/>
          <w:bCs/>
          <w:sz w:val="20"/>
          <w:szCs w:val="20"/>
        </w:rPr>
        <w:t xml:space="preserve"> </w:t>
      </w:r>
      <w:r w:rsidR="00957B26">
        <w:rPr>
          <w:rFonts w:ascii="Times New Roman" w:eastAsia="Times New Roman" w:hAnsi="Times New Roman"/>
          <w:b/>
          <w:bCs/>
          <w:sz w:val="20"/>
          <w:szCs w:val="20"/>
        </w:rPr>
        <w:t>C</w:t>
      </w:r>
      <w:r>
        <w:rPr>
          <w:rFonts w:ascii="Times New Roman" w:eastAsia="Times New Roman" w:hAnsi="Times New Roman"/>
          <w:b/>
          <w:bCs/>
          <w:sz w:val="20"/>
          <w:szCs w:val="20"/>
        </w:rPr>
        <w:t>hronic</w:t>
      </w:r>
      <w:r w:rsidR="00957B26">
        <w:rPr>
          <w:rFonts w:ascii="Times New Roman" w:eastAsia="Times New Roman" w:hAnsi="Times New Roman"/>
          <w:b/>
          <w:bCs/>
          <w:sz w:val="20"/>
          <w:szCs w:val="20"/>
        </w:rPr>
        <w:t xml:space="preserve"> and Delayed</w:t>
      </w:r>
      <w:r>
        <w:rPr>
          <w:rFonts w:ascii="Times New Roman" w:eastAsia="Times New Roman" w:hAnsi="Times New Roman"/>
          <w:b/>
          <w:bCs/>
          <w:sz w:val="20"/>
          <w:szCs w:val="20"/>
        </w:rPr>
        <w:t>)</w:t>
      </w:r>
      <w:r w:rsidR="004E7C12">
        <w:rPr>
          <w:rFonts w:ascii="Times New Roman" w:eastAsia="Times New Roman" w:hAnsi="Times New Roman"/>
          <w:b/>
          <w:bCs/>
          <w:sz w:val="20"/>
          <w:szCs w:val="20"/>
        </w:rPr>
        <w:t>:</w:t>
      </w:r>
    </w:p>
    <w:p w14:paraId="6C6A9D23" w14:textId="77777777" w:rsidR="00A00A2B" w:rsidRPr="00EB5E4A" w:rsidRDefault="00EB5E4A" w:rsidP="00037460">
      <w:pPr>
        <w:widowControl/>
        <w:spacing w:before="120" w:after="0" w:line="240" w:lineRule="auto"/>
        <w:ind w:left="360"/>
        <w:jc w:val="both"/>
        <w:rPr>
          <w:rFonts w:ascii="Times New Roman" w:eastAsia="Times New Roman" w:hAnsi="Times New Roman"/>
          <w:bCs/>
          <w:sz w:val="20"/>
          <w:szCs w:val="20"/>
        </w:rPr>
      </w:pPr>
      <w:r>
        <w:rPr>
          <w:rFonts w:ascii="Times New Roman" w:eastAsia="Times New Roman" w:hAnsi="Times New Roman"/>
          <w:b/>
          <w:bCs/>
          <w:sz w:val="20"/>
          <w:szCs w:val="20"/>
        </w:rPr>
        <w:t>Inhalation:</w:t>
      </w:r>
      <w:r>
        <w:rPr>
          <w:rFonts w:ascii="Times New Roman" w:eastAsia="Times New Roman" w:hAnsi="Times New Roman"/>
          <w:bCs/>
          <w:sz w:val="20"/>
          <w:szCs w:val="20"/>
        </w:rPr>
        <w:t xml:space="preserve">  </w:t>
      </w:r>
      <w:r w:rsidR="00E11166">
        <w:rPr>
          <w:rFonts w:ascii="Times New Roman" w:eastAsia="Times New Roman" w:hAnsi="Times New Roman"/>
          <w:bCs/>
          <w:sz w:val="20"/>
          <w:szCs w:val="20"/>
        </w:rPr>
        <w:t>Acute exposure</w:t>
      </w:r>
      <w:r w:rsidR="00D25DBF" w:rsidRPr="00D25DBF">
        <w:rPr>
          <w:rFonts w:ascii="Times New Roman" w:eastAsia="Times New Roman" w:hAnsi="Times New Roman"/>
          <w:bCs/>
          <w:sz w:val="20"/>
          <w:szCs w:val="20"/>
        </w:rPr>
        <w:t xml:space="preserve"> </w:t>
      </w:r>
      <w:r w:rsidR="00F34988">
        <w:rPr>
          <w:rFonts w:ascii="Times New Roman" w:eastAsia="Times New Roman" w:hAnsi="Times New Roman"/>
          <w:bCs/>
          <w:sz w:val="20"/>
          <w:szCs w:val="20"/>
        </w:rPr>
        <w:t>may result in cough, sore throat</w:t>
      </w:r>
      <w:r w:rsidR="00BB2A87">
        <w:rPr>
          <w:rFonts w:ascii="Times New Roman" w:eastAsia="Times New Roman" w:hAnsi="Times New Roman"/>
          <w:bCs/>
          <w:sz w:val="20"/>
          <w:szCs w:val="20"/>
        </w:rPr>
        <w:t xml:space="preserve">, </w:t>
      </w:r>
      <w:r w:rsidR="00D25DBF" w:rsidRPr="00D25DBF">
        <w:rPr>
          <w:rFonts w:ascii="Times New Roman" w:eastAsia="Times New Roman" w:hAnsi="Times New Roman"/>
          <w:bCs/>
          <w:sz w:val="20"/>
          <w:szCs w:val="20"/>
        </w:rPr>
        <w:t>respiratory tract</w:t>
      </w:r>
      <w:r w:rsidR="00F34988">
        <w:rPr>
          <w:rFonts w:ascii="Times New Roman" w:eastAsia="Times New Roman" w:hAnsi="Times New Roman"/>
          <w:bCs/>
          <w:sz w:val="20"/>
          <w:szCs w:val="20"/>
        </w:rPr>
        <w:t xml:space="preserve"> irritation</w:t>
      </w:r>
      <w:r w:rsidR="00BB2A87">
        <w:rPr>
          <w:rFonts w:ascii="Times New Roman" w:eastAsia="Times New Roman" w:hAnsi="Times New Roman"/>
          <w:bCs/>
          <w:sz w:val="20"/>
          <w:szCs w:val="20"/>
        </w:rPr>
        <w:t>, and shortness of breath</w:t>
      </w:r>
      <w:r w:rsidR="00D25DBF" w:rsidRPr="00D25DBF">
        <w:rPr>
          <w:rFonts w:ascii="Times New Roman" w:eastAsia="Times New Roman" w:hAnsi="Times New Roman"/>
          <w:bCs/>
          <w:sz w:val="20"/>
          <w:szCs w:val="20"/>
        </w:rPr>
        <w:t>.</w:t>
      </w:r>
      <w:r w:rsidR="00BB2A87">
        <w:rPr>
          <w:rFonts w:ascii="Times New Roman" w:eastAsia="Times New Roman" w:hAnsi="Times New Roman"/>
          <w:bCs/>
          <w:sz w:val="20"/>
          <w:szCs w:val="20"/>
        </w:rPr>
        <w:t xml:space="preserve">  No data listed for chronic exposure.</w:t>
      </w:r>
    </w:p>
    <w:p w14:paraId="511B4153" w14:textId="77777777" w:rsidR="00EB5E4A" w:rsidRPr="00EB5E4A" w:rsidRDefault="00EB5E4A" w:rsidP="00037460">
      <w:pPr>
        <w:widowControl/>
        <w:spacing w:before="120" w:after="0" w:line="240" w:lineRule="auto"/>
        <w:ind w:left="360"/>
        <w:jc w:val="both"/>
        <w:rPr>
          <w:rFonts w:ascii="Times New Roman" w:eastAsia="Times New Roman" w:hAnsi="Times New Roman"/>
          <w:bCs/>
          <w:sz w:val="20"/>
          <w:szCs w:val="20"/>
        </w:rPr>
      </w:pPr>
      <w:r>
        <w:rPr>
          <w:rFonts w:ascii="Times New Roman" w:eastAsia="Times New Roman" w:hAnsi="Times New Roman"/>
          <w:b/>
          <w:bCs/>
          <w:sz w:val="20"/>
          <w:szCs w:val="20"/>
        </w:rPr>
        <w:t>Skin Contact:</w:t>
      </w:r>
      <w:r>
        <w:rPr>
          <w:rFonts w:ascii="Times New Roman" w:eastAsia="Times New Roman" w:hAnsi="Times New Roman"/>
          <w:bCs/>
          <w:sz w:val="20"/>
          <w:szCs w:val="20"/>
        </w:rPr>
        <w:t xml:space="preserve">  </w:t>
      </w:r>
      <w:r w:rsidR="0044122E">
        <w:rPr>
          <w:rFonts w:ascii="Times New Roman" w:eastAsia="Times New Roman" w:hAnsi="Times New Roman"/>
          <w:bCs/>
          <w:sz w:val="20"/>
          <w:szCs w:val="20"/>
        </w:rPr>
        <w:t xml:space="preserve">Contact </w:t>
      </w:r>
      <w:r w:rsidR="0044122E">
        <w:rPr>
          <w:rFonts w:ascii="Times New Roman" w:eastAsia="Times New Roman" w:hAnsi="Times New Roman"/>
          <w:sz w:val="20"/>
          <w:szCs w:val="20"/>
        </w:rPr>
        <w:t>may</w:t>
      </w:r>
      <w:r w:rsidR="00D25DBF" w:rsidRPr="00D25DBF">
        <w:rPr>
          <w:rFonts w:ascii="Times New Roman" w:eastAsia="Times New Roman" w:hAnsi="Times New Roman"/>
          <w:sz w:val="20"/>
          <w:szCs w:val="20"/>
        </w:rPr>
        <w:t xml:space="preserve"> cause </w:t>
      </w:r>
      <w:r w:rsidR="0044122E">
        <w:rPr>
          <w:rFonts w:ascii="Times New Roman" w:eastAsia="Times New Roman" w:hAnsi="Times New Roman"/>
          <w:sz w:val="20"/>
          <w:szCs w:val="20"/>
        </w:rPr>
        <w:t>irritation</w:t>
      </w:r>
      <w:r w:rsidR="00D25DBF" w:rsidRPr="00D25DBF">
        <w:rPr>
          <w:rFonts w:ascii="Times New Roman" w:eastAsia="Times New Roman" w:hAnsi="Times New Roman"/>
          <w:sz w:val="20"/>
          <w:szCs w:val="20"/>
        </w:rPr>
        <w:t xml:space="preserve">.  Severity of the </w:t>
      </w:r>
      <w:r w:rsidR="0044122E">
        <w:rPr>
          <w:rFonts w:ascii="Times New Roman" w:eastAsia="Times New Roman" w:hAnsi="Times New Roman"/>
          <w:sz w:val="20"/>
          <w:szCs w:val="20"/>
        </w:rPr>
        <w:t>irritation</w:t>
      </w:r>
      <w:r w:rsidR="0044122E" w:rsidRPr="00D25DBF">
        <w:rPr>
          <w:rFonts w:ascii="Times New Roman" w:eastAsia="Times New Roman" w:hAnsi="Times New Roman"/>
          <w:sz w:val="20"/>
          <w:szCs w:val="20"/>
        </w:rPr>
        <w:t xml:space="preserve"> </w:t>
      </w:r>
      <w:r w:rsidR="00D25DBF" w:rsidRPr="00D25DBF">
        <w:rPr>
          <w:rFonts w:ascii="Times New Roman" w:eastAsia="Times New Roman" w:hAnsi="Times New Roman"/>
          <w:sz w:val="20"/>
          <w:szCs w:val="20"/>
        </w:rPr>
        <w:t>depends on the duration of exposure.</w:t>
      </w:r>
      <w:r w:rsidR="00BB2A87">
        <w:rPr>
          <w:rFonts w:ascii="Times New Roman" w:eastAsia="Times New Roman" w:hAnsi="Times New Roman"/>
          <w:sz w:val="20"/>
          <w:szCs w:val="20"/>
        </w:rPr>
        <w:t xml:space="preserve">  No </w:t>
      </w:r>
      <w:r w:rsidR="00BB2A87" w:rsidRPr="00365F00">
        <w:rPr>
          <w:rFonts w:ascii="Times New Roman" w:eastAsia="Times New Roman" w:hAnsi="Times New Roman"/>
          <w:sz w:val="20"/>
          <w:szCs w:val="20"/>
        </w:rPr>
        <w:t>data listed for chronic exposure.</w:t>
      </w:r>
    </w:p>
    <w:p w14:paraId="1DA5DF80" w14:textId="77777777" w:rsidR="00383F47" w:rsidRDefault="00EB5E4A" w:rsidP="00037460">
      <w:pPr>
        <w:widowControl/>
        <w:spacing w:before="120" w:after="0" w:line="240" w:lineRule="auto"/>
        <w:ind w:left="360"/>
        <w:jc w:val="both"/>
        <w:rPr>
          <w:rFonts w:ascii="Times New Roman" w:eastAsia="Times New Roman" w:hAnsi="Times New Roman"/>
          <w:b/>
          <w:bCs/>
          <w:sz w:val="20"/>
          <w:szCs w:val="20"/>
        </w:rPr>
      </w:pPr>
      <w:r>
        <w:rPr>
          <w:rFonts w:ascii="Times New Roman" w:eastAsia="Times New Roman" w:hAnsi="Times New Roman"/>
          <w:b/>
          <w:bCs/>
          <w:sz w:val="20"/>
          <w:szCs w:val="20"/>
        </w:rPr>
        <w:t>Eye Contact:</w:t>
      </w:r>
      <w:r>
        <w:rPr>
          <w:rFonts w:ascii="Times New Roman" w:eastAsia="Times New Roman" w:hAnsi="Times New Roman"/>
          <w:bCs/>
          <w:sz w:val="20"/>
          <w:szCs w:val="20"/>
        </w:rPr>
        <w:t xml:space="preserve">  </w:t>
      </w:r>
      <w:r w:rsidR="00371C2D">
        <w:rPr>
          <w:rFonts w:ascii="Times New Roman" w:eastAsia="Times New Roman" w:hAnsi="Times New Roman"/>
          <w:bCs/>
          <w:sz w:val="20"/>
          <w:szCs w:val="20"/>
        </w:rPr>
        <w:t xml:space="preserve">Contact </w:t>
      </w:r>
      <w:r w:rsidR="00BB2A87">
        <w:rPr>
          <w:rFonts w:ascii="Times New Roman" w:eastAsia="Times New Roman" w:hAnsi="Times New Roman"/>
          <w:bCs/>
          <w:sz w:val="20"/>
          <w:szCs w:val="20"/>
        </w:rPr>
        <w:t>may</w:t>
      </w:r>
      <w:r w:rsidR="00BB2A87" w:rsidRPr="00D25DBF">
        <w:rPr>
          <w:rFonts w:ascii="Times New Roman" w:eastAsia="Times New Roman" w:hAnsi="Times New Roman"/>
          <w:bCs/>
          <w:sz w:val="20"/>
          <w:szCs w:val="20"/>
        </w:rPr>
        <w:t xml:space="preserve"> </w:t>
      </w:r>
      <w:r w:rsidR="00D25DBF" w:rsidRPr="00D25DBF">
        <w:rPr>
          <w:rFonts w:ascii="Times New Roman" w:eastAsia="Times New Roman" w:hAnsi="Times New Roman"/>
          <w:bCs/>
          <w:sz w:val="20"/>
          <w:szCs w:val="20"/>
        </w:rPr>
        <w:t>cause irritation</w:t>
      </w:r>
      <w:r w:rsidR="00371C2D">
        <w:rPr>
          <w:rFonts w:ascii="Times New Roman" w:eastAsia="Times New Roman" w:hAnsi="Times New Roman"/>
          <w:bCs/>
          <w:sz w:val="20"/>
          <w:szCs w:val="20"/>
        </w:rPr>
        <w:t xml:space="preserve"> with redness and pain.</w:t>
      </w:r>
      <w:r w:rsidR="00D25DBF" w:rsidRPr="00D25DBF">
        <w:rPr>
          <w:rFonts w:ascii="Times New Roman" w:eastAsia="Times New Roman" w:hAnsi="Times New Roman"/>
          <w:bCs/>
          <w:sz w:val="20"/>
          <w:szCs w:val="20"/>
        </w:rPr>
        <w:t xml:space="preserve">  Severity of the damage depends on the duration of exposure.</w:t>
      </w:r>
    </w:p>
    <w:p w14:paraId="7F7BFCE0" w14:textId="53E2D457" w:rsidR="00F656A2" w:rsidRDefault="00EB5E4A" w:rsidP="00037460">
      <w:pPr>
        <w:widowControl/>
        <w:spacing w:before="120" w:after="120" w:line="240" w:lineRule="auto"/>
        <w:ind w:left="360"/>
        <w:jc w:val="both"/>
        <w:rPr>
          <w:rFonts w:ascii="Times New Roman" w:eastAsia="Times New Roman" w:hAnsi="Times New Roman"/>
          <w:b/>
          <w:bCs/>
          <w:sz w:val="20"/>
          <w:szCs w:val="20"/>
        </w:rPr>
      </w:pPr>
      <w:r>
        <w:rPr>
          <w:rFonts w:ascii="Times New Roman" w:eastAsia="Times New Roman" w:hAnsi="Times New Roman"/>
          <w:b/>
          <w:bCs/>
          <w:sz w:val="20"/>
          <w:szCs w:val="20"/>
        </w:rPr>
        <w:t>Ingestion:</w:t>
      </w:r>
      <w:r>
        <w:rPr>
          <w:rFonts w:ascii="Times New Roman" w:eastAsia="Times New Roman" w:hAnsi="Times New Roman"/>
          <w:bCs/>
          <w:sz w:val="20"/>
          <w:szCs w:val="20"/>
        </w:rPr>
        <w:t xml:space="preserve">  </w:t>
      </w:r>
      <w:r w:rsidR="001F5A72">
        <w:rPr>
          <w:rFonts w:ascii="Times New Roman" w:eastAsia="Times New Roman" w:hAnsi="Times New Roman"/>
          <w:sz w:val="20"/>
          <w:szCs w:val="20"/>
        </w:rPr>
        <w:t>Ingestion of large doses of potassium nitrate (15</w:t>
      </w:r>
      <w:r w:rsidR="000E30C9" w:rsidRPr="000E30C9">
        <w:rPr>
          <w:rFonts w:ascii="Times New Roman" w:eastAsia="Times New Roman" w:hAnsi="Times New Roman"/>
          <w:sz w:val="20"/>
          <w:szCs w:val="20"/>
        </w:rPr>
        <w:t xml:space="preserve"> g </w:t>
      </w:r>
      <w:r w:rsidR="000E30C9">
        <w:rPr>
          <w:rFonts w:ascii="Times New Roman" w:eastAsia="Times New Roman" w:hAnsi="Times New Roman"/>
          <w:sz w:val="20"/>
          <w:szCs w:val="20"/>
        </w:rPr>
        <w:t xml:space="preserve">to </w:t>
      </w:r>
      <w:r w:rsidR="001F5A72">
        <w:rPr>
          <w:rFonts w:ascii="Times New Roman" w:eastAsia="Times New Roman" w:hAnsi="Times New Roman"/>
          <w:sz w:val="20"/>
          <w:szCs w:val="20"/>
        </w:rPr>
        <w:t>30 g) may be fatal</w:t>
      </w:r>
      <w:r w:rsidR="00371C2D">
        <w:rPr>
          <w:rFonts w:ascii="Times New Roman" w:eastAsia="Times New Roman" w:hAnsi="Times New Roman"/>
          <w:sz w:val="20"/>
          <w:szCs w:val="20"/>
        </w:rPr>
        <w:t xml:space="preserve"> due to </w:t>
      </w:r>
      <w:proofErr w:type="spellStart"/>
      <w:r w:rsidR="00371C2D">
        <w:rPr>
          <w:rFonts w:ascii="Times New Roman" w:eastAsia="Times New Roman" w:hAnsi="Times New Roman"/>
          <w:sz w:val="20"/>
          <w:szCs w:val="20"/>
        </w:rPr>
        <w:t>methemoglobine</w:t>
      </w:r>
      <w:r w:rsidR="00AE2445">
        <w:rPr>
          <w:rFonts w:ascii="Times New Roman" w:eastAsia="Times New Roman" w:hAnsi="Times New Roman"/>
          <w:sz w:val="20"/>
          <w:szCs w:val="20"/>
        </w:rPr>
        <w:t>m</w:t>
      </w:r>
      <w:r w:rsidR="00371C2D">
        <w:rPr>
          <w:rFonts w:ascii="Times New Roman" w:eastAsia="Times New Roman" w:hAnsi="Times New Roman"/>
          <w:sz w:val="20"/>
          <w:szCs w:val="20"/>
        </w:rPr>
        <w:t>ia</w:t>
      </w:r>
      <w:proofErr w:type="spellEnd"/>
      <w:r w:rsidR="00D25DBF" w:rsidRPr="00D25DBF">
        <w:rPr>
          <w:rFonts w:ascii="Times New Roman" w:eastAsia="Times New Roman" w:hAnsi="Times New Roman"/>
          <w:sz w:val="20"/>
          <w:szCs w:val="20"/>
        </w:rPr>
        <w:t xml:space="preserve">.  </w:t>
      </w:r>
      <w:r w:rsidR="00371C2D">
        <w:rPr>
          <w:rFonts w:ascii="Times New Roman" w:eastAsia="Times New Roman" w:hAnsi="Times New Roman"/>
          <w:sz w:val="20"/>
          <w:szCs w:val="20"/>
        </w:rPr>
        <w:t>Symp</w:t>
      </w:r>
      <w:r w:rsidR="00AE2445">
        <w:rPr>
          <w:rFonts w:ascii="Times New Roman" w:eastAsia="Times New Roman" w:hAnsi="Times New Roman"/>
          <w:sz w:val="20"/>
          <w:szCs w:val="20"/>
        </w:rPr>
        <w:t>t</w:t>
      </w:r>
      <w:r w:rsidR="00371C2D">
        <w:rPr>
          <w:rFonts w:ascii="Times New Roman" w:eastAsia="Times New Roman" w:hAnsi="Times New Roman"/>
          <w:sz w:val="20"/>
          <w:szCs w:val="20"/>
        </w:rPr>
        <w:t xml:space="preserve">oms of </w:t>
      </w:r>
      <w:proofErr w:type="spellStart"/>
      <w:r w:rsidR="00371C2D">
        <w:rPr>
          <w:rFonts w:ascii="Times New Roman" w:eastAsia="Times New Roman" w:hAnsi="Times New Roman"/>
          <w:sz w:val="20"/>
          <w:szCs w:val="20"/>
        </w:rPr>
        <w:t>methemoglo</w:t>
      </w:r>
      <w:r w:rsidR="00AE2445">
        <w:rPr>
          <w:rFonts w:ascii="Times New Roman" w:eastAsia="Times New Roman" w:hAnsi="Times New Roman"/>
          <w:sz w:val="20"/>
          <w:szCs w:val="20"/>
        </w:rPr>
        <w:t>b</w:t>
      </w:r>
      <w:r w:rsidR="00371C2D">
        <w:rPr>
          <w:rFonts w:ascii="Times New Roman" w:eastAsia="Times New Roman" w:hAnsi="Times New Roman"/>
          <w:sz w:val="20"/>
          <w:szCs w:val="20"/>
        </w:rPr>
        <w:t>in</w:t>
      </w:r>
      <w:r w:rsidR="00AE2445">
        <w:rPr>
          <w:rFonts w:ascii="Times New Roman" w:eastAsia="Times New Roman" w:hAnsi="Times New Roman"/>
          <w:sz w:val="20"/>
          <w:szCs w:val="20"/>
        </w:rPr>
        <w:t>emia</w:t>
      </w:r>
      <w:proofErr w:type="spellEnd"/>
      <w:r w:rsidR="00AE2445">
        <w:rPr>
          <w:rFonts w:ascii="Times New Roman" w:eastAsia="Times New Roman" w:hAnsi="Times New Roman"/>
          <w:sz w:val="20"/>
          <w:szCs w:val="20"/>
        </w:rPr>
        <w:t xml:space="preserve"> are cyanosis, stupor, and cerebral anoxia; effects may be delayed.  </w:t>
      </w:r>
      <w:r w:rsidR="00371C2D">
        <w:rPr>
          <w:rFonts w:ascii="Times New Roman" w:eastAsia="Times New Roman" w:hAnsi="Times New Roman"/>
          <w:sz w:val="20"/>
          <w:szCs w:val="20"/>
        </w:rPr>
        <w:t xml:space="preserve">Ingestion of large quantities may </w:t>
      </w:r>
      <w:r w:rsidR="0099140F">
        <w:rPr>
          <w:rFonts w:ascii="Times New Roman" w:eastAsia="Times New Roman" w:hAnsi="Times New Roman"/>
          <w:sz w:val="20"/>
          <w:szCs w:val="20"/>
        </w:rPr>
        <w:t xml:space="preserve">also </w:t>
      </w:r>
      <w:r w:rsidR="00371C2D">
        <w:rPr>
          <w:rFonts w:ascii="Times New Roman" w:eastAsia="Times New Roman" w:hAnsi="Times New Roman"/>
          <w:sz w:val="20"/>
          <w:szCs w:val="20"/>
        </w:rPr>
        <w:t xml:space="preserve">cause violent gastroenteritis accompanied by severe abdominal pain, vomiting, vertigo, muscular weakness, irregular pulse, cyanosis, convulsions and collapse may occur.  The effects of repeated exposure to small amounts may cause anemia, </w:t>
      </w:r>
      <w:r w:rsidR="00BB2A87">
        <w:rPr>
          <w:rFonts w:ascii="Times New Roman" w:eastAsia="Times New Roman" w:hAnsi="Times New Roman"/>
          <w:sz w:val="20"/>
          <w:szCs w:val="20"/>
        </w:rPr>
        <w:t xml:space="preserve">nephritis, and possible </w:t>
      </w:r>
      <w:proofErr w:type="spellStart"/>
      <w:r w:rsidR="00371C2D">
        <w:rPr>
          <w:rFonts w:ascii="Times New Roman" w:eastAsia="Times New Roman" w:hAnsi="Times New Roman"/>
          <w:sz w:val="20"/>
          <w:szCs w:val="20"/>
        </w:rPr>
        <w:t>methemoglobinemia</w:t>
      </w:r>
      <w:proofErr w:type="spellEnd"/>
      <w:r w:rsidR="00371C2D">
        <w:rPr>
          <w:rFonts w:ascii="Times New Roman" w:eastAsia="Times New Roman" w:hAnsi="Times New Roman"/>
          <w:sz w:val="20"/>
          <w:szCs w:val="20"/>
        </w:rPr>
        <w:t>.</w:t>
      </w:r>
    </w:p>
    <w:p w14:paraId="52A1133D" w14:textId="77777777" w:rsidR="006D24D9" w:rsidRPr="006E61C7" w:rsidRDefault="00EB5E4A" w:rsidP="00037460">
      <w:pPr>
        <w:widowControl/>
        <w:spacing w:after="120" w:line="240" w:lineRule="auto"/>
        <w:jc w:val="both"/>
        <w:rPr>
          <w:rFonts w:ascii="Times New Roman" w:eastAsia="Times New Roman" w:hAnsi="Times New Roman"/>
          <w:bCs/>
          <w:sz w:val="20"/>
          <w:szCs w:val="20"/>
        </w:rPr>
      </w:pPr>
      <w:r w:rsidRPr="006E61C7">
        <w:rPr>
          <w:rFonts w:ascii="Times New Roman" w:eastAsia="Times New Roman" w:hAnsi="Times New Roman"/>
          <w:b/>
          <w:bCs/>
          <w:sz w:val="20"/>
          <w:szCs w:val="20"/>
        </w:rPr>
        <w:t>Numerical Measures of Toxicity:</w:t>
      </w:r>
      <w:r w:rsidR="00193FA9" w:rsidRPr="00455695">
        <w:rPr>
          <w:rFonts w:ascii="Times New Roman" w:eastAsia="Times New Roman" w:hAnsi="Times New Roman"/>
          <w:bCs/>
          <w:sz w:val="20"/>
          <w:szCs w:val="20"/>
        </w:rPr>
        <w:t xml:space="preserve"> </w:t>
      </w:r>
    </w:p>
    <w:p w14:paraId="086BDA5D" w14:textId="77777777" w:rsidR="00743478" w:rsidRPr="00015F8E" w:rsidRDefault="008E1A8B" w:rsidP="00037460">
      <w:pPr>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Acute Toxicity:</w:t>
      </w:r>
      <w:r w:rsidR="00942D37" w:rsidRPr="00015F8E">
        <w:rPr>
          <w:rFonts w:ascii="Times New Roman" w:eastAsia="Times New Roman" w:hAnsi="Times New Roman"/>
          <w:b/>
          <w:bCs/>
          <w:sz w:val="20"/>
          <w:szCs w:val="20"/>
        </w:rPr>
        <w:t xml:space="preserve">  </w:t>
      </w:r>
      <w:r w:rsidR="006B6FE9">
        <w:rPr>
          <w:rFonts w:ascii="Times New Roman" w:eastAsia="Times New Roman" w:hAnsi="Times New Roman"/>
          <w:bCs/>
          <w:sz w:val="20"/>
          <w:szCs w:val="20"/>
        </w:rPr>
        <w:t>Not classified.</w:t>
      </w:r>
    </w:p>
    <w:p w14:paraId="2CA4D50A" w14:textId="77777777" w:rsidR="00014F56" w:rsidRDefault="00014F56" w:rsidP="00037460">
      <w:pPr>
        <w:widowControl/>
        <w:spacing w:after="120" w:line="240" w:lineRule="auto"/>
        <w:ind w:left="720"/>
        <w:jc w:val="both"/>
        <w:rPr>
          <w:rFonts w:ascii="Times New Roman" w:eastAsia="Times New Roman" w:hAnsi="Times New Roman"/>
          <w:bCs/>
          <w:sz w:val="20"/>
          <w:szCs w:val="20"/>
        </w:rPr>
      </w:pPr>
      <w:r w:rsidRPr="00015F8E">
        <w:rPr>
          <w:rFonts w:ascii="Times New Roman" w:eastAsia="Times New Roman" w:hAnsi="Times New Roman"/>
          <w:bCs/>
          <w:sz w:val="20"/>
          <w:szCs w:val="20"/>
        </w:rPr>
        <w:t xml:space="preserve">Rat, </w:t>
      </w:r>
      <w:r>
        <w:rPr>
          <w:rFonts w:ascii="Times New Roman" w:eastAsia="Times New Roman" w:hAnsi="Times New Roman"/>
          <w:bCs/>
          <w:sz w:val="20"/>
          <w:szCs w:val="20"/>
        </w:rPr>
        <w:t>Oral</w:t>
      </w:r>
      <w:r w:rsidRPr="00015F8E">
        <w:rPr>
          <w:rFonts w:ascii="Times New Roman" w:eastAsia="Times New Roman" w:hAnsi="Times New Roman"/>
          <w:bCs/>
          <w:sz w:val="20"/>
          <w:szCs w:val="20"/>
        </w:rPr>
        <w:t xml:space="preserve"> L</w:t>
      </w:r>
      <w:r>
        <w:rPr>
          <w:rFonts w:ascii="Times New Roman" w:eastAsia="Times New Roman" w:hAnsi="Times New Roman"/>
          <w:bCs/>
          <w:sz w:val="20"/>
          <w:szCs w:val="20"/>
        </w:rPr>
        <w:t>D</w:t>
      </w:r>
      <w:r w:rsidRPr="00015F8E">
        <w:rPr>
          <w:rFonts w:ascii="Times New Roman" w:eastAsia="Times New Roman" w:hAnsi="Times New Roman"/>
          <w:bCs/>
          <w:sz w:val="20"/>
          <w:szCs w:val="20"/>
        </w:rPr>
        <w:t>50</w:t>
      </w:r>
      <w:r>
        <w:rPr>
          <w:rFonts w:ascii="Times New Roman" w:eastAsia="Times New Roman" w:hAnsi="Times New Roman"/>
          <w:bCs/>
          <w:sz w:val="20"/>
          <w:szCs w:val="20"/>
        </w:rPr>
        <w:t xml:space="preserve">:  </w:t>
      </w:r>
      <w:r w:rsidR="00031E7B">
        <w:rPr>
          <w:rFonts w:ascii="Times New Roman" w:eastAsia="Times New Roman" w:hAnsi="Times New Roman"/>
          <w:bCs/>
          <w:sz w:val="20"/>
          <w:szCs w:val="20"/>
        </w:rPr>
        <w:t>3015 </w:t>
      </w:r>
      <w:r>
        <w:rPr>
          <w:rFonts w:ascii="Times New Roman" w:eastAsia="Times New Roman" w:hAnsi="Times New Roman"/>
          <w:bCs/>
          <w:sz w:val="20"/>
          <w:szCs w:val="20"/>
        </w:rPr>
        <w:t>mg/kg</w:t>
      </w:r>
    </w:p>
    <w:p w14:paraId="35DC37CF" w14:textId="7EFE6F0A" w:rsidR="00EE1F37" w:rsidRDefault="00EE1F37" w:rsidP="00037460">
      <w:pPr>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Skin </w:t>
      </w:r>
      <w:r w:rsidR="005A73FE" w:rsidRPr="00015F8E">
        <w:rPr>
          <w:rFonts w:ascii="Times New Roman" w:eastAsia="Times New Roman" w:hAnsi="Times New Roman"/>
          <w:b/>
          <w:bCs/>
          <w:sz w:val="20"/>
          <w:szCs w:val="20"/>
        </w:rPr>
        <w:t>C</w:t>
      </w:r>
      <w:r w:rsidRPr="00015F8E">
        <w:rPr>
          <w:rFonts w:ascii="Times New Roman" w:eastAsia="Times New Roman" w:hAnsi="Times New Roman"/>
          <w:b/>
          <w:bCs/>
          <w:sz w:val="20"/>
          <w:szCs w:val="20"/>
        </w:rPr>
        <w:t>orrosion/</w:t>
      </w:r>
      <w:r w:rsidR="005A73FE" w:rsidRPr="00015F8E">
        <w:rPr>
          <w:rFonts w:ascii="Times New Roman" w:eastAsia="Times New Roman" w:hAnsi="Times New Roman"/>
          <w:b/>
          <w:bCs/>
          <w:sz w:val="20"/>
          <w:szCs w:val="20"/>
        </w:rPr>
        <w:t>I</w:t>
      </w:r>
      <w:r w:rsidRPr="00015F8E">
        <w:rPr>
          <w:rFonts w:ascii="Times New Roman" w:eastAsia="Times New Roman" w:hAnsi="Times New Roman"/>
          <w:b/>
          <w:bCs/>
          <w:sz w:val="20"/>
          <w:szCs w:val="20"/>
        </w:rPr>
        <w:t>rritation</w:t>
      </w:r>
      <w:r w:rsidR="00405269" w:rsidRPr="00015F8E">
        <w:rPr>
          <w:rFonts w:ascii="Times New Roman" w:eastAsia="Times New Roman" w:hAnsi="Times New Roman"/>
          <w:b/>
          <w:bCs/>
          <w:sz w:val="20"/>
          <w:szCs w:val="20"/>
        </w:rPr>
        <w:t>:</w:t>
      </w:r>
      <w:r w:rsidR="00BB2A87" w:rsidRPr="00BB2A87">
        <w:rPr>
          <w:rFonts w:ascii="Times New Roman" w:eastAsia="Times New Roman" w:hAnsi="Times New Roman"/>
          <w:bCs/>
          <w:sz w:val="20"/>
          <w:szCs w:val="20"/>
        </w:rPr>
        <w:t xml:space="preserve">  </w:t>
      </w:r>
      <w:r w:rsidR="005E4FDC">
        <w:rPr>
          <w:rFonts w:ascii="Times New Roman" w:eastAsia="Times New Roman" w:hAnsi="Times New Roman"/>
          <w:bCs/>
          <w:sz w:val="20"/>
          <w:szCs w:val="20"/>
        </w:rPr>
        <w:t xml:space="preserve">Classified: </w:t>
      </w:r>
      <w:r w:rsidR="00EA588A">
        <w:rPr>
          <w:rFonts w:ascii="Times New Roman" w:eastAsia="Times New Roman" w:hAnsi="Times New Roman"/>
          <w:bCs/>
          <w:sz w:val="20"/>
          <w:szCs w:val="20"/>
        </w:rPr>
        <w:t>Not classified; no</w:t>
      </w:r>
      <w:r w:rsidR="005E4FDC">
        <w:rPr>
          <w:rFonts w:ascii="Times New Roman" w:eastAsia="Times New Roman" w:hAnsi="Times New Roman"/>
          <w:bCs/>
          <w:sz w:val="20"/>
          <w:szCs w:val="20"/>
        </w:rPr>
        <w:t xml:space="preserve"> </w:t>
      </w:r>
      <w:r w:rsidR="00031E7B">
        <w:rPr>
          <w:rFonts w:ascii="Times New Roman" w:eastAsia="Times New Roman" w:hAnsi="Times New Roman"/>
          <w:bCs/>
          <w:sz w:val="20"/>
          <w:szCs w:val="20"/>
        </w:rPr>
        <w:t xml:space="preserve">data </w:t>
      </w:r>
      <w:r w:rsidR="00EA588A">
        <w:rPr>
          <w:rFonts w:ascii="Times New Roman" w:eastAsia="Times New Roman" w:hAnsi="Times New Roman"/>
          <w:bCs/>
          <w:sz w:val="20"/>
          <w:szCs w:val="20"/>
        </w:rPr>
        <w:t>available</w:t>
      </w:r>
      <w:r w:rsidR="00031E7B">
        <w:rPr>
          <w:rFonts w:ascii="Times New Roman" w:eastAsia="Times New Roman" w:hAnsi="Times New Roman"/>
          <w:bCs/>
          <w:sz w:val="20"/>
          <w:szCs w:val="20"/>
        </w:rPr>
        <w:t>.</w:t>
      </w:r>
    </w:p>
    <w:p w14:paraId="5C55CD4D" w14:textId="77777777" w:rsidR="005E4FDC" w:rsidRDefault="00EE1F37" w:rsidP="00037460">
      <w:pPr>
        <w:keepNext/>
        <w:widowControl/>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Serious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 xml:space="preserve">ye damage/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ye irritation</w:t>
      </w:r>
      <w:r w:rsidR="00405269" w:rsidRPr="00015F8E">
        <w:rPr>
          <w:rFonts w:ascii="Times New Roman" w:eastAsia="Times New Roman" w:hAnsi="Times New Roman"/>
          <w:b/>
          <w:bCs/>
          <w:sz w:val="20"/>
          <w:szCs w:val="20"/>
        </w:rPr>
        <w:t>:</w:t>
      </w:r>
      <w:r w:rsidR="00BB2A87" w:rsidRPr="00BB2A87">
        <w:rPr>
          <w:rFonts w:ascii="Times New Roman" w:eastAsia="Times New Roman" w:hAnsi="Times New Roman"/>
          <w:bCs/>
          <w:sz w:val="20"/>
          <w:szCs w:val="20"/>
        </w:rPr>
        <w:t xml:space="preserve">  </w:t>
      </w:r>
      <w:r w:rsidR="005E4FDC">
        <w:rPr>
          <w:rFonts w:ascii="Times New Roman" w:eastAsia="Times New Roman" w:hAnsi="Times New Roman"/>
          <w:bCs/>
          <w:sz w:val="20"/>
          <w:szCs w:val="20"/>
        </w:rPr>
        <w:t>Classified: Category 2B</w:t>
      </w:r>
    </w:p>
    <w:p w14:paraId="62B1D94A" w14:textId="25844994" w:rsidR="00710FAA" w:rsidRDefault="002F224A" w:rsidP="00037460">
      <w:pPr>
        <w:keepNext/>
        <w:widowControl/>
        <w:spacing w:after="0" w:line="240" w:lineRule="auto"/>
        <w:ind w:left="360" w:firstLine="360"/>
        <w:jc w:val="both"/>
        <w:rPr>
          <w:rFonts w:ascii="Times New Roman" w:eastAsia="Times New Roman" w:hAnsi="Times New Roman"/>
          <w:bCs/>
          <w:sz w:val="20"/>
          <w:szCs w:val="20"/>
        </w:rPr>
      </w:pPr>
      <w:r>
        <w:rPr>
          <w:rFonts w:ascii="Times New Roman" w:eastAsia="Times New Roman" w:hAnsi="Times New Roman"/>
          <w:bCs/>
          <w:sz w:val="20"/>
          <w:szCs w:val="20"/>
        </w:rPr>
        <w:t>Rabbit, conjunctiva score (redness):  1.7 (fully reversible within seven days)</w:t>
      </w:r>
    </w:p>
    <w:p w14:paraId="184866A4" w14:textId="5F07753A" w:rsidR="002F224A" w:rsidRPr="00015F8E" w:rsidRDefault="002F224A" w:rsidP="00037460">
      <w:pPr>
        <w:keepNext/>
        <w:widowControl/>
        <w:spacing w:after="120" w:line="240" w:lineRule="auto"/>
        <w:ind w:left="360" w:firstLine="360"/>
        <w:jc w:val="both"/>
        <w:rPr>
          <w:rFonts w:ascii="Times New Roman" w:eastAsia="Times New Roman" w:hAnsi="Times New Roman"/>
          <w:bCs/>
          <w:sz w:val="20"/>
          <w:szCs w:val="20"/>
        </w:rPr>
      </w:pPr>
      <w:r>
        <w:rPr>
          <w:rFonts w:ascii="Times New Roman" w:eastAsia="Times New Roman" w:hAnsi="Times New Roman"/>
          <w:bCs/>
          <w:sz w:val="20"/>
          <w:szCs w:val="20"/>
        </w:rPr>
        <w:t>Rabbit, conjunctiva score (</w:t>
      </w:r>
      <w:proofErr w:type="spellStart"/>
      <w:r>
        <w:rPr>
          <w:rFonts w:ascii="Times New Roman" w:eastAsia="Times New Roman" w:hAnsi="Times New Roman"/>
          <w:bCs/>
          <w:sz w:val="20"/>
          <w:szCs w:val="20"/>
        </w:rPr>
        <w:t>chemosis</w:t>
      </w:r>
      <w:proofErr w:type="spellEnd"/>
      <w:r>
        <w:rPr>
          <w:rFonts w:ascii="Times New Roman" w:eastAsia="Times New Roman" w:hAnsi="Times New Roman"/>
          <w:bCs/>
          <w:sz w:val="20"/>
          <w:szCs w:val="20"/>
        </w:rPr>
        <w:t>):  1 (fully reversible within seven days)</w:t>
      </w:r>
    </w:p>
    <w:p w14:paraId="5BE9CF50" w14:textId="00B6B9F4" w:rsidR="00EE1F37" w:rsidRPr="00015F8E" w:rsidRDefault="00EE1F37" w:rsidP="00037460">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Respiratory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ensitization</w:t>
      </w:r>
      <w:r w:rsidR="00405269" w:rsidRPr="00015F8E">
        <w:rPr>
          <w:rFonts w:ascii="Times New Roman" w:eastAsia="Times New Roman" w:hAnsi="Times New Roman"/>
          <w:b/>
          <w:bCs/>
          <w:sz w:val="20"/>
          <w:szCs w:val="20"/>
        </w:rPr>
        <w:t>:</w:t>
      </w:r>
      <w:r w:rsidR="00BB2A87" w:rsidRPr="00BB2A87">
        <w:rPr>
          <w:rFonts w:ascii="Times New Roman" w:eastAsia="Times New Roman" w:hAnsi="Times New Roman"/>
          <w:bCs/>
          <w:sz w:val="20"/>
          <w:szCs w:val="20"/>
        </w:rPr>
        <w:t xml:space="preserve">  </w:t>
      </w:r>
      <w:r w:rsidR="00E620ED" w:rsidRPr="00015F8E">
        <w:rPr>
          <w:rFonts w:ascii="Times New Roman" w:eastAsia="Times New Roman" w:hAnsi="Times New Roman"/>
          <w:bCs/>
          <w:sz w:val="20"/>
          <w:szCs w:val="20"/>
        </w:rPr>
        <w:t xml:space="preserve">No data </w:t>
      </w:r>
      <w:r w:rsidR="00EA588A">
        <w:rPr>
          <w:rFonts w:ascii="Times New Roman" w:eastAsia="Times New Roman" w:hAnsi="Times New Roman"/>
          <w:bCs/>
          <w:sz w:val="20"/>
          <w:szCs w:val="20"/>
        </w:rPr>
        <w:t>available</w:t>
      </w:r>
      <w:r w:rsidR="00E620ED" w:rsidRPr="00015F8E">
        <w:rPr>
          <w:rFonts w:ascii="Times New Roman" w:eastAsia="Times New Roman" w:hAnsi="Times New Roman"/>
          <w:bCs/>
          <w:sz w:val="20"/>
          <w:szCs w:val="20"/>
        </w:rPr>
        <w:t>.</w:t>
      </w:r>
    </w:p>
    <w:p w14:paraId="33C30B54" w14:textId="77777777" w:rsidR="00EE1F37" w:rsidRPr="00015F8E" w:rsidRDefault="00EE1F37" w:rsidP="00037460">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Skin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ensitization</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No data available.</w:t>
      </w:r>
    </w:p>
    <w:p w14:paraId="5C965222" w14:textId="77777777" w:rsidR="00EE1F37" w:rsidRPr="00015F8E" w:rsidRDefault="00EE1F37" w:rsidP="00037460">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Germ Cell Mutagenicity</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No data available</w:t>
      </w:r>
      <w:r w:rsidR="00E620ED" w:rsidRPr="00015F8E">
        <w:rPr>
          <w:rFonts w:ascii="Times New Roman" w:eastAsia="Times New Roman" w:hAnsi="Times New Roman"/>
          <w:bCs/>
          <w:sz w:val="20"/>
          <w:szCs w:val="20"/>
        </w:rPr>
        <w:t>.</w:t>
      </w:r>
    </w:p>
    <w:p w14:paraId="0DD9BA2C" w14:textId="77777777" w:rsidR="005A73FE" w:rsidRPr="00015F8E" w:rsidRDefault="005A73FE" w:rsidP="00037460">
      <w:pPr>
        <w:widowControl/>
        <w:spacing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lastRenderedPageBreak/>
        <w:t xml:space="preserve">Carcinogenicity:  </w:t>
      </w:r>
      <w:r w:rsidR="003375EA" w:rsidRPr="00015F8E">
        <w:rPr>
          <w:rFonts w:ascii="Times New Roman" w:eastAsia="Times New Roman" w:hAnsi="Times New Roman"/>
          <w:bCs/>
          <w:sz w:val="20"/>
          <w:szCs w:val="20"/>
        </w:rPr>
        <w:t>Not classified</w:t>
      </w:r>
      <w:r w:rsidRPr="00015F8E">
        <w:rPr>
          <w:rFonts w:ascii="Times New Roman" w:eastAsia="Times New Roman" w:hAnsi="Times New Roman"/>
          <w:bCs/>
          <w:sz w:val="20"/>
          <w:szCs w:val="20"/>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50110A" w:rsidRPr="00015F8E" w14:paraId="4BDB9544" w14:textId="77777777" w:rsidTr="000C0534">
        <w:trPr>
          <w:trHeight w:val="60"/>
        </w:trPr>
        <w:tc>
          <w:tcPr>
            <w:tcW w:w="5028" w:type="dxa"/>
            <w:vAlign w:val="center"/>
          </w:tcPr>
          <w:p w14:paraId="74C7D8F6" w14:textId="77777777" w:rsidR="005A73FE" w:rsidRPr="00015F8E" w:rsidRDefault="005A73FE" w:rsidP="00037460">
            <w:pPr>
              <w:widowControl/>
              <w:spacing w:after="0" w:line="240" w:lineRule="auto"/>
              <w:ind w:left="144"/>
              <w:rPr>
                <w:rFonts w:ascii="Times New Roman" w:hAnsi="Times New Roman"/>
                <w:b/>
                <w:sz w:val="20"/>
                <w:szCs w:val="20"/>
              </w:rPr>
            </w:pPr>
            <w:r w:rsidRPr="00015F8E">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bottom"/>
          </w:tcPr>
          <w:p w14:paraId="31DB514D" w14:textId="77777777" w:rsidR="005A73FE" w:rsidRPr="00015F8E" w:rsidRDefault="005A73FE" w:rsidP="00037460">
            <w:pPr>
              <w:widowControl/>
              <w:spacing w:after="0" w:line="240" w:lineRule="auto"/>
              <w:ind w:left="720"/>
              <w:jc w:val="center"/>
              <w:rPr>
                <w:rFonts w:ascii="Times New Roman" w:hAnsi="Times New Roman"/>
                <w:szCs w:val="20"/>
              </w:rPr>
            </w:pPr>
          </w:p>
        </w:tc>
        <w:tc>
          <w:tcPr>
            <w:tcW w:w="1224" w:type="dxa"/>
            <w:vAlign w:val="center"/>
          </w:tcPr>
          <w:p w14:paraId="45CABB3B" w14:textId="77777777" w:rsidR="005A73FE" w:rsidRPr="00015F8E" w:rsidRDefault="005A73FE" w:rsidP="00037460">
            <w:pPr>
              <w:widowControl/>
              <w:spacing w:after="0" w:line="240" w:lineRule="auto"/>
              <w:rPr>
                <w:rFonts w:ascii="Times New Roman" w:hAnsi="Times New Roman"/>
                <w:sz w:val="20"/>
                <w:szCs w:val="20"/>
              </w:rPr>
            </w:pPr>
            <w:r w:rsidRPr="00015F8E">
              <w:rPr>
                <w:rFonts w:ascii="Times New Roman" w:eastAsia="Times New Roman" w:hAnsi="Times New Roman"/>
                <w:spacing w:val="2"/>
                <w:sz w:val="20"/>
                <w:szCs w:val="20"/>
              </w:rPr>
              <w:t>Yes</w:t>
            </w:r>
          </w:p>
        </w:tc>
        <w:tc>
          <w:tcPr>
            <w:tcW w:w="576" w:type="dxa"/>
            <w:tcBorders>
              <w:bottom w:val="single" w:sz="4" w:space="0" w:color="auto"/>
            </w:tcBorders>
            <w:vAlign w:val="center"/>
          </w:tcPr>
          <w:p w14:paraId="0D7DB27C" w14:textId="77777777" w:rsidR="005A73FE" w:rsidRPr="00015F8E" w:rsidRDefault="005319F6" w:rsidP="00037460">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634" w:type="dxa"/>
            <w:vAlign w:val="center"/>
          </w:tcPr>
          <w:p w14:paraId="2A34EFAD" w14:textId="77777777" w:rsidR="005A73FE" w:rsidRPr="00015F8E" w:rsidRDefault="005A73FE" w:rsidP="00037460">
            <w:pPr>
              <w:widowControl/>
              <w:spacing w:after="0" w:line="240" w:lineRule="auto"/>
              <w:rPr>
                <w:rFonts w:ascii="Times New Roman" w:hAnsi="Times New Roman"/>
                <w:sz w:val="20"/>
                <w:szCs w:val="20"/>
              </w:rPr>
            </w:pPr>
            <w:r w:rsidRPr="00015F8E">
              <w:rPr>
                <w:rFonts w:ascii="Times New Roman" w:eastAsia="Times New Roman" w:hAnsi="Times New Roman"/>
                <w:spacing w:val="2"/>
                <w:sz w:val="20"/>
                <w:szCs w:val="20"/>
              </w:rPr>
              <w:t>No</w:t>
            </w:r>
          </w:p>
        </w:tc>
      </w:tr>
    </w:tbl>
    <w:p w14:paraId="41FA2E3D" w14:textId="77777777" w:rsidR="00C84E3B" w:rsidRDefault="00031E7B" w:rsidP="00305987">
      <w:pPr>
        <w:widowControl/>
        <w:tabs>
          <w:tab w:val="left" w:pos="720"/>
        </w:tabs>
        <w:spacing w:before="60" w:after="60" w:line="240" w:lineRule="auto"/>
        <w:ind w:left="720"/>
        <w:rPr>
          <w:rFonts w:ascii="Times New Roman" w:eastAsia="Times New Roman" w:hAnsi="Times New Roman"/>
          <w:bCs/>
          <w:spacing w:val="-1"/>
          <w:sz w:val="20"/>
          <w:szCs w:val="20"/>
        </w:rPr>
      </w:pPr>
      <w:r>
        <w:rPr>
          <w:rFonts w:ascii="Times New Roman" w:eastAsia="Times New Roman" w:hAnsi="Times New Roman"/>
          <w:bCs/>
          <w:spacing w:val="-1"/>
          <w:sz w:val="20"/>
          <w:szCs w:val="20"/>
        </w:rPr>
        <w:t>Potassium nitrate</w:t>
      </w:r>
      <w:r w:rsidR="00C84E3B" w:rsidRPr="00015F8E">
        <w:rPr>
          <w:rFonts w:ascii="Times New Roman" w:eastAsia="Times New Roman" w:hAnsi="Times New Roman"/>
          <w:bCs/>
          <w:spacing w:val="-1"/>
          <w:sz w:val="20"/>
          <w:szCs w:val="20"/>
        </w:rPr>
        <w:t xml:space="preserve"> is not listed </w:t>
      </w:r>
      <w:r w:rsidR="00D22593">
        <w:rPr>
          <w:rFonts w:ascii="Times New Roman" w:eastAsia="Times New Roman" w:hAnsi="Times New Roman"/>
          <w:bCs/>
          <w:spacing w:val="-1"/>
          <w:sz w:val="20"/>
          <w:szCs w:val="20"/>
        </w:rPr>
        <w:t>by</w:t>
      </w:r>
      <w:r w:rsidR="00D22593" w:rsidRPr="00015F8E">
        <w:rPr>
          <w:rFonts w:ascii="Times New Roman" w:eastAsia="Times New Roman" w:hAnsi="Times New Roman"/>
          <w:bCs/>
          <w:spacing w:val="-1"/>
          <w:sz w:val="20"/>
          <w:szCs w:val="20"/>
        </w:rPr>
        <w:t xml:space="preserve"> </w:t>
      </w:r>
      <w:r w:rsidR="00C84E3B" w:rsidRPr="00015F8E">
        <w:rPr>
          <w:rFonts w:ascii="Times New Roman" w:eastAsia="Times New Roman" w:hAnsi="Times New Roman"/>
          <w:bCs/>
          <w:spacing w:val="-1"/>
          <w:sz w:val="20"/>
          <w:szCs w:val="20"/>
        </w:rPr>
        <w:t xml:space="preserve">NTP, </w:t>
      </w:r>
      <w:r w:rsidR="005319F6">
        <w:rPr>
          <w:rFonts w:ascii="Times New Roman" w:eastAsia="Times New Roman" w:hAnsi="Times New Roman"/>
          <w:bCs/>
          <w:spacing w:val="-1"/>
          <w:sz w:val="20"/>
          <w:szCs w:val="20"/>
        </w:rPr>
        <w:t xml:space="preserve">IARC, </w:t>
      </w:r>
      <w:r w:rsidR="00C84E3B" w:rsidRPr="00015F8E">
        <w:rPr>
          <w:rFonts w:ascii="Times New Roman" w:eastAsia="Times New Roman" w:hAnsi="Times New Roman"/>
          <w:bCs/>
          <w:spacing w:val="-1"/>
          <w:sz w:val="20"/>
          <w:szCs w:val="20"/>
        </w:rPr>
        <w:t>or OSHA as a carcinogen.</w:t>
      </w:r>
    </w:p>
    <w:p w14:paraId="35CCC083" w14:textId="77777777" w:rsidR="00624DF7" w:rsidRPr="00015F8E" w:rsidRDefault="00624DF7" w:rsidP="0099140F">
      <w:pPr>
        <w:widowControl/>
        <w:spacing w:after="120" w:line="240" w:lineRule="auto"/>
        <w:ind w:left="720"/>
        <w:rPr>
          <w:rFonts w:ascii="Times New Roman" w:eastAsia="Times New Roman" w:hAnsi="Times New Roman"/>
          <w:bCs/>
          <w:spacing w:val="-1"/>
          <w:sz w:val="20"/>
          <w:szCs w:val="20"/>
        </w:rPr>
      </w:pPr>
      <w:r w:rsidRPr="00897F09">
        <w:rPr>
          <w:rFonts w:ascii="Times New Roman" w:eastAsia="Times New Roman" w:hAnsi="Times New Roman"/>
          <w:bCs/>
          <w:spacing w:val="-1"/>
          <w:sz w:val="20"/>
          <w:szCs w:val="20"/>
        </w:rPr>
        <w:t>Mutagenic:</w:t>
      </w:r>
      <w:r w:rsidRPr="00E2677F">
        <w:rPr>
          <w:rFonts w:ascii="Times New Roman" w:eastAsia="Times New Roman" w:hAnsi="Times New Roman"/>
          <w:bCs/>
          <w:spacing w:val="-1"/>
          <w:sz w:val="20"/>
          <w:szCs w:val="20"/>
        </w:rPr>
        <w:t xml:space="preserve"> </w:t>
      </w:r>
      <w:r w:rsidR="00E2677F">
        <w:rPr>
          <w:rFonts w:ascii="Times New Roman" w:eastAsia="Times New Roman" w:hAnsi="Times New Roman"/>
          <w:bCs/>
          <w:spacing w:val="-1"/>
          <w:sz w:val="20"/>
          <w:szCs w:val="20"/>
        </w:rPr>
        <w:t xml:space="preserve"> </w:t>
      </w:r>
      <w:r w:rsidRPr="00624DF7">
        <w:rPr>
          <w:rFonts w:ascii="Times New Roman" w:eastAsia="Times New Roman" w:hAnsi="Times New Roman"/>
          <w:bCs/>
          <w:i/>
          <w:spacing w:val="-1"/>
          <w:sz w:val="20"/>
          <w:szCs w:val="20"/>
        </w:rPr>
        <w:t>Escherichia coli</w:t>
      </w:r>
      <w:r>
        <w:rPr>
          <w:rFonts w:ascii="Times New Roman" w:eastAsia="Times New Roman" w:hAnsi="Times New Roman"/>
          <w:bCs/>
          <w:spacing w:val="-1"/>
          <w:sz w:val="20"/>
          <w:szCs w:val="20"/>
        </w:rPr>
        <w:t xml:space="preserve"> 5 </w:t>
      </w:r>
      <w:proofErr w:type="spellStart"/>
      <w:r>
        <w:rPr>
          <w:rFonts w:ascii="Times New Roman" w:eastAsia="Times New Roman" w:hAnsi="Times New Roman"/>
          <w:bCs/>
          <w:spacing w:val="-1"/>
          <w:sz w:val="20"/>
          <w:szCs w:val="20"/>
        </w:rPr>
        <w:t>pph</w:t>
      </w:r>
      <w:proofErr w:type="spellEnd"/>
    </w:p>
    <w:p w14:paraId="0B024014" w14:textId="77777777" w:rsidR="00EE1F37" w:rsidRPr="00015F8E" w:rsidRDefault="00EE1F37" w:rsidP="00037460">
      <w:pPr>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Reproductive Toxicity</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1862E9" w:rsidRPr="00015F8E">
        <w:rPr>
          <w:rFonts w:ascii="Times New Roman" w:eastAsia="Times New Roman" w:hAnsi="Times New Roman"/>
          <w:bCs/>
          <w:sz w:val="20"/>
          <w:szCs w:val="20"/>
        </w:rPr>
        <w:t>Not classified</w:t>
      </w:r>
      <w:r w:rsidR="00C84E3B" w:rsidRPr="00015F8E">
        <w:rPr>
          <w:rFonts w:ascii="Times New Roman" w:eastAsia="Times New Roman" w:hAnsi="Times New Roman"/>
          <w:bCs/>
          <w:sz w:val="20"/>
          <w:szCs w:val="20"/>
        </w:rPr>
        <w:t>.</w:t>
      </w:r>
    </w:p>
    <w:p w14:paraId="7060F49D" w14:textId="77777777" w:rsidR="001862E9" w:rsidRDefault="001862E9" w:rsidP="00037460">
      <w:pPr>
        <w:widowControl/>
        <w:spacing w:after="0" w:line="240" w:lineRule="auto"/>
        <w:ind w:left="720"/>
        <w:jc w:val="both"/>
        <w:rPr>
          <w:rFonts w:ascii="Times New Roman" w:eastAsia="Times New Roman" w:hAnsi="Times New Roman"/>
          <w:bCs/>
          <w:sz w:val="20"/>
          <w:szCs w:val="20"/>
        </w:rPr>
      </w:pPr>
      <w:r w:rsidRPr="00015F8E">
        <w:rPr>
          <w:rFonts w:ascii="Times New Roman" w:eastAsia="Times New Roman" w:hAnsi="Times New Roman"/>
          <w:bCs/>
          <w:sz w:val="20"/>
          <w:szCs w:val="20"/>
        </w:rPr>
        <w:t xml:space="preserve">Rat, Oral </w:t>
      </w:r>
      <w:proofErr w:type="spellStart"/>
      <w:r w:rsidRPr="00015F8E">
        <w:rPr>
          <w:rFonts w:ascii="Times New Roman" w:eastAsia="Times New Roman" w:hAnsi="Times New Roman"/>
          <w:bCs/>
          <w:sz w:val="20"/>
          <w:szCs w:val="20"/>
        </w:rPr>
        <w:t>TDLo</w:t>
      </w:r>
      <w:proofErr w:type="spellEnd"/>
      <w:r w:rsidRPr="00015F8E">
        <w:rPr>
          <w:rFonts w:ascii="Times New Roman" w:eastAsia="Times New Roman" w:hAnsi="Times New Roman"/>
          <w:bCs/>
          <w:sz w:val="20"/>
          <w:szCs w:val="20"/>
        </w:rPr>
        <w:t>:  2</w:t>
      </w:r>
      <w:r w:rsidR="000E30C9">
        <w:rPr>
          <w:rFonts w:ascii="Times New Roman" w:eastAsia="Times New Roman" w:hAnsi="Times New Roman"/>
          <w:bCs/>
          <w:sz w:val="20"/>
          <w:szCs w:val="20"/>
        </w:rPr>
        <w:t>2</w:t>
      </w:r>
      <w:r w:rsidR="00771459">
        <w:rPr>
          <w:rFonts w:ascii="Times New Roman" w:eastAsia="Times New Roman" w:hAnsi="Times New Roman"/>
          <w:bCs/>
          <w:sz w:val="20"/>
          <w:szCs w:val="20"/>
        </w:rPr>
        <w:t> </w:t>
      </w:r>
      <w:r w:rsidRPr="00015F8E">
        <w:rPr>
          <w:rFonts w:ascii="Times New Roman" w:eastAsia="Times New Roman" w:hAnsi="Times New Roman"/>
          <w:bCs/>
          <w:sz w:val="20"/>
          <w:szCs w:val="20"/>
        </w:rPr>
        <w:t>g/kg</w:t>
      </w:r>
      <w:r w:rsidR="00771459">
        <w:rPr>
          <w:rFonts w:ascii="Times New Roman" w:eastAsia="Times New Roman" w:hAnsi="Times New Roman"/>
          <w:bCs/>
          <w:sz w:val="20"/>
          <w:szCs w:val="20"/>
        </w:rPr>
        <w:t> </w:t>
      </w:r>
      <w:r w:rsidRPr="00015F8E">
        <w:rPr>
          <w:rFonts w:ascii="Times New Roman" w:eastAsia="Times New Roman" w:hAnsi="Times New Roman"/>
          <w:bCs/>
          <w:sz w:val="20"/>
          <w:szCs w:val="20"/>
        </w:rPr>
        <w:t>(pregnant 1</w:t>
      </w:r>
      <w:r w:rsidR="00771459">
        <w:rPr>
          <w:rFonts w:ascii="Times New Roman" w:eastAsia="Times New Roman" w:hAnsi="Times New Roman"/>
          <w:bCs/>
          <w:sz w:val="20"/>
          <w:szCs w:val="20"/>
        </w:rPr>
        <w:noBreakHyphen/>
      </w:r>
      <w:r w:rsidRPr="00015F8E">
        <w:rPr>
          <w:rFonts w:ascii="Times New Roman" w:eastAsia="Times New Roman" w:hAnsi="Times New Roman"/>
          <w:bCs/>
          <w:sz w:val="20"/>
          <w:szCs w:val="20"/>
        </w:rPr>
        <w:t>2</w:t>
      </w:r>
      <w:r w:rsidR="00365F00">
        <w:rPr>
          <w:rFonts w:ascii="Times New Roman" w:eastAsia="Times New Roman" w:hAnsi="Times New Roman"/>
          <w:bCs/>
          <w:sz w:val="20"/>
          <w:szCs w:val="20"/>
        </w:rPr>
        <w:t>2</w:t>
      </w:r>
      <w:r w:rsidR="00771459">
        <w:rPr>
          <w:rFonts w:ascii="Times New Roman" w:eastAsia="Times New Roman" w:hAnsi="Times New Roman"/>
          <w:bCs/>
          <w:sz w:val="20"/>
          <w:szCs w:val="20"/>
        </w:rPr>
        <w:t> </w:t>
      </w:r>
      <w:r w:rsidRPr="00015F8E">
        <w:rPr>
          <w:rFonts w:ascii="Times New Roman" w:eastAsia="Times New Roman" w:hAnsi="Times New Roman"/>
          <w:bCs/>
          <w:sz w:val="20"/>
          <w:szCs w:val="20"/>
        </w:rPr>
        <w:t>days)</w:t>
      </w:r>
    </w:p>
    <w:p w14:paraId="52951176" w14:textId="77777777" w:rsidR="00A31B29" w:rsidRPr="00A31B29" w:rsidRDefault="00A31B29" w:rsidP="00037460">
      <w:pPr>
        <w:widowControl/>
        <w:spacing w:after="0" w:line="240" w:lineRule="auto"/>
        <w:ind w:left="720"/>
        <w:jc w:val="both"/>
        <w:rPr>
          <w:rFonts w:ascii="Times New Roman" w:eastAsia="Times New Roman" w:hAnsi="Times New Roman"/>
          <w:bCs/>
          <w:sz w:val="20"/>
          <w:szCs w:val="20"/>
        </w:rPr>
      </w:pPr>
      <w:r w:rsidRPr="00A31B29">
        <w:rPr>
          <w:rFonts w:ascii="Times New Roman" w:hAnsi="Times New Roman"/>
          <w:sz w:val="20"/>
          <w:szCs w:val="20"/>
        </w:rPr>
        <w:t xml:space="preserve">Guinea pig, Oral </w:t>
      </w:r>
      <w:proofErr w:type="spellStart"/>
      <w:r w:rsidRPr="00A31B29">
        <w:rPr>
          <w:rFonts w:ascii="Times New Roman" w:hAnsi="Times New Roman"/>
          <w:sz w:val="20"/>
          <w:szCs w:val="20"/>
        </w:rPr>
        <w:t>TDLo</w:t>
      </w:r>
      <w:proofErr w:type="spellEnd"/>
      <w:r w:rsidR="000E30C9">
        <w:rPr>
          <w:rFonts w:ascii="Times New Roman" w:hAnsi="Times New Roman"/>
          <w:sz w:val="20"/>
          <w:szCs w:val="20"/>
        </w:rPr>
        <w:t xml:space="preserve">: </w:t>
      </w:r>
      <w:r w:rsidR="000E30C9" w:rsidRPr="00A31B29">
        <w:rPr>
          <w:rFonts w:ascii="Times New Roman" w:hAnsi="Times New Roman"/>
          <w:sz w:val="20"/>
          <w:szCs w:val="20"/>
        </w:rPr>
        <w:t>15 g/kg</w:t>
      </w:r>
      <w:r w:rsidRPr="00A31B29">
        <w:rPr>
          <w:rFonts w:ascii="Times New Roman" w:hAnsi="Times New Roman"/>
          <w:sz w:val="20"/>
          <w:szCs w:val="20"/>
        </w:rPr>
        <w:t xml:space="preserve"> (prior to copulation 24 weeks)</w:t>
      </w:r>
    </w:p>
    <w:p w14:paraId="3BCBC165" w14:textId="0E6453B1" w:rsidR="00EE1F37" w:rsidRDefault="00EE1F37" w:rsidP="00037460">
      <w:pPr>
        <w:widowControl/>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99140F">
        <w:rPr>
          <w:rFonts w:ascii="Times New Roman" w:eastAsia="Times New Roman" w:hAnsi="Times New Roman"/>
          <w:b/>
          <w:bCs/>
          <w:sz w:val="20"/>
          <w:szCs w:val="20"/>
        </w:rPr>
        <w:t xml:space="preserve"> (STOT)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5E4FDC">
        <w:rPr>
          <w:rFonts w:ascii="Times New Roman" w:eastAsia="Times New Roman" w:hAnsi="Times New Roman"/>
          <w:bCs/>
          <w:sz w:val="20"/>
          <w:szCs w:val="20"/>
        </w:rPr>
        <w:t>Classified: Category 3</w:t>
      </w:r>
    </w:p>
    <w:p w14:paraId="3FF8F5D5" w14:textId="1D489BD0" w:rsidR="0099140F" w:rsidRPr="00E85E49" w:rsidRDefault="0099140F" w:rsidP="00037460">
      <w:pPr>
        <w:widowControl/>
        <w:spacing w:after="120" w:line="240" w:lineRule="auto"/>
        <w:ind w:left="360"/>
        <w:jc w:val="both"/>
        <w:rPr>
          <w:rFonts w:ascii="Times New Roman" w:eastAsia="Times New Roman" w:hAnsi="Times New Roman"/>
          <w:bCs/>
          <w:sz w:val="20"/>
          <w:szCs w:val="20"/>
        </w:rPr>
      </w:pPr>
      <w:r>
        <w:rPr>
          <w:rFonts w:ascii="Times New Roman" w:eastAsia="Times New Roman" w:hAnsi="Times New Roman"/>
          <w:b/>
          <w:bCs/>
          <w:sz w:val="20"/>
          <w:szCs w:val="20"/>
        </w:rPr>
        <w:tab/>
      </w:r>
      <w:r>
        <w:rPr>
          <w:rFonts w:ascii="Times New Roman" w:eastAsia="Times New Roman" w:hAnsi="Times New Roman"/>
          <w:bCs/>
          <w:sz w:val="20"/>
          <w:szCs w:val="20"/>
        </w:rPr>
        <w:t>Inhalation of this material may cause respiratory tract irritation.</w:t>
      </w:r>
    </w:p>
    <w:p w14:paraId="12C71E41" w14:textId="29DA391F" w:rsidR="00EE1F37" w:rsidRPr="00015F8E" w:rsidRDefault="00EE1F37" w:rsidP="00037460">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oxicity,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Not classified</w:t>
      </w:r>
      <w:r w:rsidR="00EA588A">
        <w:rPr>
          <w:rFonts w:ascii="Times New Roman" w:eastAsia="Times New Roman" w:hAnsi="Times New Roman"/>
          <w:bCs/>
          <w:sz w:val="20"/>
          <w:szCs w:val="20"/>
        </w:rPr>
        <w:t xml:space="preserve">; no data </w:t>
      </w:r>
      <w:r w:rsidR="00DC54CE">
        <w:rPr>
          <w:rFonts w:ascii="Times New Roman" w:eastAsia="Times New Roman" w:hAnsi="Times New Roman"/>
          <w:bCs/>
          <w:sz w:val="20"/>
          <w:szCs w:val="20"/>
        </w:rPr>
        <w:t>available</w:t>
      </w:r>
      <w:r w:rsidR="00E620ED" w:rsidRPr="00015F8E">
        <w:rPr>
          <w:rFonts w:ascii="Times New Roman" w:eastAsia="Times New Roman" w:hAnsi="Times New Roman"/>
          <w:bCs/>
          <w:sz w:val="20"/>
          <w:szCs w:val="20"/>
        </w:rPr>
        <w:t>.</w:t>
      </w:r>
    </w:p>
    <w:p w14:paraId="7BE05FED" w14:textId="77777777" w:rsidR="004521E9" w:rsidRDefault="00EE1F37" w:rsidP="00037460">
      <w:pPr>
        <w:widowControl/>
        <w:spacing w:after="120" w:line="240" w:lineRule="auto"/>
        <w:ind w:left="360"/>
        <w:jc w:val="both"/>
        <w:rPr>
          <w:rFonts w:ascii="Times New Roman" w:eastAsia="Times New Roman" w:hAnsi="Times New Roman"/>
          <w:bCs/>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E620ED" w:rsidRPr="006E61C7">
        <w:rPr>
          <w:rFonts w:ascii="Times New Roman" w:eastAsia="Times New Roman" w:hAnsi="Times New Roman"/>
          <w:bCs/>
          <w:sz w:val="20"/>
          <w:szCs w:val="20"/>
        </w:rPr>
        <w:t>No</w:t>
      </w:r>
      <w:r w:rsidR="005319F6">
        <w:rPr>
          <w:rFonts w:ascii="Times New Roman" w:eastAsia="Times New Roman" w:hAnsi="Times New Roman"/>
          <w:bCs/>
          <w:sz w:val="20"/>
          <w:szCs w:val="20"/>
        </w:rPr>
        <w:t>t applicable</w:t>
      </w:r>
      <w:r w:rsidR="00E620ED" w:rsidRPr="006E61C7">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7AE2B807" w14:textId="77777777" w:rsidTr="004521E9">
        <w:trPr>
          <w:trHeight w:hRule="exact" w:val="360"/>
        </w:trPr>
        <w:tc>
          <w:tcPr>
            <w:tcW w:w="9576" w:type="dxa"/>
            <w:vAlign w:val="center"/>
          </w:tcPr>
          <w:p w14:paraId="69CD0FC4" w14:textId="77777777" w:rsidR="004521E9" w:rsidRDefault="004521E9" w:rsidP="00037460">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6BADEF9" w14:textId="77777777" w:rsidR="004918E2" w:rsidRDefault="004521E9" w:rsidP="00037460">
      <w:pPr>
        <w:widowControl/>
        <w:spacing w:before="120" w:after="0" w:line="240" w:lineRule="auto"/>
        <w:rPr>
          <w:rFonts w:ascii="Times New Roman" w:eastAsia="Times New Roman" w:hAnsi="Times New Roman"/>
          <w:bCs/>
          <w:sz w:val="20"/>
          <w:szCs w:val="20"/>
        </w:rPr>
      </w:pPr>
      <w:proofErr w:type="spellStart"/>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proofErr w:type="spellEnd"/>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0E30C9">
        <w:rPr>
          <w:rFonts w:ascii="Times New Roman" w:eastAsia="Times New Roman" w:hAnsi="Times New Roman"/>
          <w:b/>
          <w:bCs/>
          <w:sz w:val="20"/>
          <w:szCs w:val="20"/>
        </w:rPr>
        <w:t xml:space="preserve">  </w:t>
      </w:r>
    </w:p>
    <w:p w14:paraId="2A08EF2B" w14:textId="77777777" w:rsidR="00C84E3B" w:rsidRDefault="00986ABE" w:rsidP="00037460">
      <w:pPr>
        <w:widowControl/>
        <w:spacing w:before="120" w:after="0" w:line="240" w:lineRule="auto"/>
        <w:ind w:left="360"/>
        <w:rPr>
          <w:rFonts w:ascii="Times New Roman" w:eastAsia="Times New Roman" w:hAnsi="Times New Roman"/>
          <w:bCs/>
          <w:sz w:val="20"/>
          <w:szCs w:val="20"/>
        </w:rPr>
      </w:pPr>
      <w:r>
        <w:rPr>
          <w:rFonts w:ascii="Times New Roman" w:eastAsia="Times New Roman" w:hAnsi="Times New Roman"/>
          <w:bCs/>
          <w:sz w:val="20"/>
          <w:szCs w:val="20"/>
        </w:rPr>
        <w:t>Fish: Bluegill (</w:t>
      </w:r>
      <w:proofErr w:type="spellStart"/>
      <w:r w:rsidRPr="00986ABE">
        <w:rPr>
          <w:rFonts w:ascii="Times New Roman" w:eastAsia="Times New Roman" w:hAnsi="Times New Roman"/>
          <w:bCs/>
          <w:i/>
          <w:sz w:val="20"/>
          <w:szCs w:val="20"/>
        </w:rPr>
        <w:t>Lepomis</w:t>
      </w:r>
      <w:proofErr w:type="spellEnd"/>
      <w:r w:rsidRPr="00986ABE">
        <w:rPr>
          <w:rFonts w:ascii="Times New Roman" w:eastAsia="Times New Roman" w:hAnsi="Times New Roman"/>
          <w:bCs/>
          <w:i/>
          <w:sz w:val="20"/>
          <w:szCs w:val="20"/>
        </w:rPr>
        <w:t xml:space="preserve"> </w:t>
      </w:r>
      <w:proofErr w:type="spellStart"/>
      <w:r w:rsidRPr="00986ABE">
        <w:rPr>
          <w:rFonts w:ascii="Times New Roman" w:eastAsia="Times New Roman" w:hAnsi="Times New Roman"/>
          <w:bCs/>
          <w:i/>
          <w:sz w:val="20"/>
          <w:szCs w:val="20"/>
        </w:rPr>
        <w:t>macrochirus</w:t>
      </w:r>
      <w:proofErr w:type="spellEnd"/>
      <w:r>
        <w:rPr>
          <w:rFonts w:ascii="Times New Roman" w:eastAsia="Times New Roman" w:hAnsi="Times New Roman"/>
          <w:bCs/>
          <w:sz w:val="20"/>
          <w:szCs w:val="20"/>
        </w:rPr>
        <w:t xml:space="preserve">) LC50: </w:t>
      </w:r>
      <w:r w:rsidR="000A067C">
        <w:rPr>
          <w:rFonts w:ascii="Times New Roman" w:eastAsia="Times New Roman" w:hAnsi="Times New Roman"/>
          <w:bCs/>
          <w:sz w:val="20"/>
          <w:szCs w:val="20"/>
        </w:rPr>
        <w:t>420 </w:t>
      </w:r>
      <w:r w:rsidR="00CA2CBE">
        <w:rPr>
          <w:rFonts w:ascii="Times New Roman" w:eastAsia="Times New Roman" w:hAnsi="Times New Roman"/>
          <w:bCs/>
          <w:sz w:val="20"/>
          <w:szCs w:val="20"/>
        </w:rPr>
        <w:t>m</w:t>
      </w:r>
      <w:r>
        <w:rPr>
          <w:rFonts w:ascii="Times New Roman" w:eastAsia="Times New Roman" w:hAnsi="Times New Roman"/>
          <w:bCs/>
          <w:sz w:val="20"/>
          <w:szCs w:val="20"/>
        </w:rPr>
        <w:t>g/L</w:t>
      </w:r>
      <w:r w:rsidR="009D66FA">
        <w:rPr>
          <w:rFonts w:ascii="Times New Roman" w:eastAsia="Times New Roman" w:hAnsi="Times New Roman"/>
          <w:bCs/>
          <w:sz w:val="20"/>
          <w:szCs w:val="20"/>
        </w:rPr>
        <w:t> </w:t>
      </w:r>
      <w:r>
        <w:rPr>
          <w:rFonts w:ascii="Times New Roman" w:eastAsia="Times New Roman" w:hAnsi="Times New Roman"/>
          <w:bCs/>
          <w:sz w:val="20"/>
          <w:szCs w:val="20"/>
        </w:rPr>
        <w:t>(96</w:t>
      </w:r>
      <w:r w:rsidR="004C2F0A">
        <w:rPr>
          <w:rFonts w:ascii="Times New Roman" w:eastAsia="Times New Roman" w:hAnsi="Times New Roman"/>
          <w:bCs/>
          <w:sz w:val="20"/>
          <w:szCs w:val="20"/>
        </w:rPr>
        <w:t> </w:t>
      </w:r>
      <w:r>
        <w:rPr>
          <w:rFonts w:ascii="Times New Roman" w:eastAsia="Times New Roman" w:hAnsi="Times New Roman"/>
          <w:bCs/>
          <w:sz w:val="20"/>
          <w:szCs w:val="20"/>
        </w:rPr>
        <w:t>h)</w:t>
      </w:r>
      <w:r w:rsidR="004478AB">
        <w:rPr>
          <w:rFonts w:ascii="Times New Roman" w:eastAsia="Times New Roman" w:hAnsi="Times New Roman"/>
          <w:bCs/>
          <w:sz w:val="20"/>
          <w:szCs w:val="20"/>
        </w:rPr>
        <w:t xml:space="preserve"> fresh water (static)</w:t>
      </w:r>
    </w:p>
    <w:p w14:paraId="33CC1000" w14:textId="77777777" w:rsidR="004C2F0A" w:rsidRDefault="009D66FA" w:rsidP="00037460">
      <w:pPr>
        <w:widowControl/>
        <w:spacing w:before="120" w:after="0" w:line="240" w:lineRule="auto"/>
        <w:ind w:left="360"/>
        <w:rPr>
          <w:rFonts w:ascii="Times New Roman" w:eastAsia="Times New Roman" w:hAnsi="Times New Roman"/>
          <w:b/>
          <w:bCs/>
          <w:spacing w:val="-1"/>
          <w:sz w:val="20"/>
          <w:szCs w:val="20"/>
        </w:rPr>
      </w:pPr>
      <w:r>
        <w:rPr>
          <w:rFonts w:ascii="Times New Roman" w:eastAsia="Times New Roman" w:hAnsi="Times New Roman"/>
          <w:bCs/>
          <w:sz w:val="20"/>
          <w:szCs w:val="20"/>
        </w:rPr>
        <w:t>Invertebrate</w:t>
      </w:r>
      <w:r w:rsidR="00986ABE">
        <w:rPr>
          <w:rFonts w:ascii="Times New Roman" w:eastAsia="Times New Roman" w:hAnsi="Times New Roman"/>
          <w:bCs/>
          <w:sz w:val="20"/>
          <w:szCs w:val="20"/>
        </w:rPr>
        <w:t>: Water flea (</w:t>
      </w:r>
      <w:r w:rsidR="00986ABE" w:rsidRPr="00986ABE">
        <w:rPr>
          <w:rFonts w:ascii="Times New Roman" w:eastAsia="Times New Roman" w:hAnsi="Times New Roman"/>
          <w:bCs/>
          <w:i/>
          <w:sz w:val="20"/>
          <w:szCs w:val="20"/>
        </w:rPr>
        <w:t>Daphnia magna</w:t>
      </w:r>
      <w:r w:rsidR="00986ABE">
        <w:rPr>
          <w:rFonts w:ascii="Times New Roman" w:eastAsia="Times New Roman" w:hAnsi="Times New Roman"/>
          <w:bCs/>
          <w:sz w:val="20"/>
          <w:szCs w:val="20"/>
        </w:rPr>
        <w:t>) LC50:</w:t>
      </w:r>
      <w:r w:rsidR="004C2F0A">
        <w:rPr>
          <w:rFonts w:ascii="Times New Roman" w:eastAsia="Times New Roman" w:hAnsi="Times New Roman"/>
          <w:bCs/>
          <w:sz w:val="20"/>
          <w:szCs w:val="20"/>
        </w:rPr>
        <w:t xml:space="preserve"> </w:t>
      </w:r>
      <w:r w:rsidR="00CA2CBE">
        <w:rPr>
          <w:rFonts w:ascii="Times New Roman" w:eastAsia="Times New Roman" w:hAnsi="Times New Roman"/>
          <w:bCs/>
          <w:sz w:val="20"/>
          <w:szCs w:val="20"/>
        </w:rPr>
        <w:t>39</w:t>
      </w:r>
      <w:r>
        <w:rPr>
          <w:rFonts w:ascii="Times New Roman" w:eastAsia="Times New Roman" w:hAnsi="Times New Roman"/>
          <w:bCs/>
          <w:sz w:val="20"/>
          <w:szCs w:val="20"/>
        </w:rPr>
        <w:t> </w:t>
      </w:r>
      <w:r w:rsidR="00CA2CBE">
        <w:rPr>
          <w:rFonts w:ascii="Times New Roman" w:eastAsia="Times New Roman" w:hAnsi="Times New Roman"/>
          <w:bCs/>
          <w:sz w:val="20"/>
          <w:szCs w:val="20"/>
        </w:rPr>
        <w:t>mg/L</w:t>
      </w:r>
      <w:r>
        <w:rPr>
          <w:rFonts w:ascii="Times New Roman" w:eastAsia="Times New Roman" w:hAnsi="Times New Roman"/>
          <w:bCs/>
          <w:sz w:val="20"/>
          <w:szCs w:val="20"/>
        </w:rPr>
        <w:t> </w:t>
      </w:r>
      <w:r w:rsidR="004C2F0A">
        <w:rPr>
          <w:rFonts w:ascii="Times New Roman" w:eastAsia="Times New Roman" w:hAnsi="Times New Roman"/>
          <w:bCs/>
          <w:sz w:val="20"/>
          <w:szCs w:val="20"/>
        </w:rPr>
        <w:t>(96 h)</w:t>
      </w:r>
      <w:r w:rsidR="004478AB">
        <w:rPr>
          <w:rFonts w:ascii="Times New Roman" w:eastAsia="Times New Roman" w:hAnsi="Times New Roman"/>
          <w:bCs/>
          <w:sz w:val="20"/>
          <w:szCs w:val="20"/>
        </w:rPr>
        <w:t xml:space="preserve"> fresh water (static)</w:t>
      </w:r>
    </w:p>
    <w:p w14:paraId="368E9F80" w14:textId="77777777" w:rsidR="004521E9" w:rsidRPr="006E61C7" w:rsidRDefault="004521E9" w:rsidP="00037460">
      <w:pPr>
        <w:widowControl/>
        <w:spacing w:before="120" w:after="0" w:line="240" w:lineRule="auto"/>
        <w:rPr>
          <w:rFonts w:ascii="Times New Roman" w:eastAsia="Times New Roman" w:hAnsi="Times New Roman"/>
          <w:b/>
          <w:bCs/>
          <w:spacing w:val="-1"/>
          <w:sz w:val="20"/>
          <w:szCs w:val="20"/>
        </w:rPr>
      </w:pPr>
      <w:r w:rsidRPr="006E61C7">
        <w:rPr>
          <w:rFonts w:ascii="Times New Roman" w:eastAsia="Times New Roman" w:hAnsi="Times New Roman"/>
          <w:b/>
          <w:bCs/>
          <w:spacing w:val="-1"/>
          <w:sz w:val="20"/>
          <w:szCs w:val="20"/>
        </w:rPr>
        <w:t>Persistence and Degradability:</w:t>
      </w:r>
      <w:r w:rsidR="00D3347C" w:rsidRPr="006E61C7">
        <w:rPr>
          <w:rFonts w:ascii="Times New Roman" w:eastAsia="Times New Roman" w:hAnsi="Times New Roman"/>
          <w:b/>
          <w:bCs/>
          <w:spacing w:val="-1"/>
          <w:sz w:val="20"/>
          <w:szCs w:val="20"/>
        </w:rPr>
        <w:t xml:space="preserve">  </w:t>
      </w:r>
      <w:r w:rsidR="00D3347C" w:rsidRPr="006E61C7">
        <w:rPr>
          <w:rFonts w:ascii="Times New Roman" w:eastAsia="Times New Roman" w:hAnsi="Times New Roman"/>
          <w:bCs/>
          <w:sz w:val="20"/>
          <w:szCs w:val="20"/>
        </w:rPr>
        <w:t>No data available.</w:t>
      </w:r>
      <w:r w:rsidR="00D3347C" w:rsidRPr="006E61C7">
        <w:rPr>
          <w:rFonts w:ascii="Times New Roman" w:eastAsia="Times New Roman" w:hAnsi="Times New Roman"/>
          <w:b/>
          <w:bCs/>
          <w:spacing w:val="-1"/>
          <w:sz w:val="20"/>
          <w:szCs w:val="20"/>
        </w:rPr>
        <w:t xml:space="preserve"> </w:t>
      </w:r>
    </w:p>
    <w:p w14:paraId="1889C0A1" w14:textId="77777777" w:rsidR="004521E9" w:rsidRPr="006E61C7" w:rsidRDefault="004521E9" w:rsidP="00037460">
      <w:pPr>
        <w:widowControl/>
        <w:spacing w:before="120" w:after="0" w:line="240" w:lineRule="auto"/>
        <w:rPr>
          <w:rFonts w:ascii="Times New Roman" w:eastAsia="Times New Roman" w:hAnsi="Times New Roman"/>
          <w:b/>
          <w:bCs/>
          <w:spacing w:val="-1"/>
          <w:sz w:val="20"/>
          <w:szCs w:val="20"/>
        </w:rPr>
      </w:pPr>
      <w:proofErr w:type="spellStart"/>
      <w:r w:rsidRPr="006E61C7">
        <w:rPr>
          <w:rFonts w:ascii="Times New Roman" w:eastAsia="Times New Roman" w:hAnsi="Times New Roman"/>
          <w:b/>
          <w:bCs/>
          <w:spacing w:val="-1"/>
          <w:sz w:val="20"/>
          <w:szCs w:val="20"/>
        </w:rPr>
        <w:t>Bioaccumulative</w:t>
      </w:r>
      <w:proofErr w:type="spellEnd"/>
      <w:r w:rsidRPr="006E61C7">
        <w:rPr>
          <w:rFonts w:ascii="Times New Roman" w:eastAsia="Times New Roman" w:hAnsi="Times New Roman"/>
          <w:b/>
          <w:bCs/>
          <w:spacing w:val="-1"/>
          <w:sz w:val="20"/>
          <w:szCs w:val="20"/>
        </w:rPr>
        <w:t xml:space="preserve"> Potential:</w:t>
      </w:r>
      <w:r w:rsidR="00D3347C" w:rsidRPr="006E61C7">
        <w:rPr>
          <w:rFonts w:ascii="Times New Roman" w:eastAsia="Times New Roman" w:hAnsi="Times New Roman"/>
          <w:b/>
          <w:bCs/>
          <w:spacing w:val="-1"/>
          <w:sz w:val="20"/>
          <w:szCs w:val="20"/>
        </w:rPr>
        <w:t xml:space="preserve"> </w:t>
      </w:r>
      <w:r w:rsidR="00A911CD">
        <w:rPr>
          <w:rFonts w:ascii="Times New Roman" w:eastAsia="Times New Roman" w:hAnsi="Times New Roman"/>
          <w:b/>
          <w:bCs/>
          <w:spacing w:val="-1"/>
          <w:sz w:val="20"/>
          <w:szCs w:val="20"/>
        </w:rPr>
        <w:t xml:space="preserve"> </w:t>
      </w:r>
      <w:r w:rsidR="00D3347C" w:rsidRPr="006E61C7">
        <w:rPr>
          <w:rFonts w:ascii="Times New Roman" w:eastAsia="Times New Roman" w:hAnsi="Times New Roman"/>
          <w:bCs/>
          <w:sz w:val="20"/>
          <w:szCs w:val="20"/>
        </w:rPr>
        <w:t>No data available.</w:t>
      </w:r>
      <w:r w:rsidR="00D3347C" w:rsidRPr="006E61C7">
        <w:rPr>
          <w:rFonts w:ascii="Times New Roman" w:eastAsia="Times New Roman" w:hAnsi="Times New Roman"/>
          <w:b/>
          <w:bCs/>
          <w:spacing w:val="-1"/>
          <w:sz w:val="20"/>
          <w:szCs w:val="20"/>
        </w:rPr>
        <w:t xml:space="preserve"> </w:t>
      </w:r>
    </w:p>
    <w:p w14:paraId="77AF8CC5" w14:textId="77777777" w:rsidR="004521E9" w:rsidRPr="006E61C7" w:rsidRDefault="004521E9" w:rsidP="00037460">
      <w:pPr>
        <w:keepNext/>
        <w:widowControl/>
        <w:spacing w:before="120" w:after="0" w:line="240" w:lineRule="auto"/>
        <w:rPr>
          <w:rFonts w:ascii="Times New Roman" w:eastAsia="Times New Roman" w:hAnsi="Times New Roman"/>
          <w:b/>
          <w:bCs/>
          <w:spacing w:val="-1"/>
          <w:sz w:val="20"/>
          <w:szCs w:val="20"/>
        </w:rPr>
      </w:pPr>
      <w:r w:rsidRPr="006E61C7">
        <w:rPr>
          <w:rFonts w:ascii="Times New Roman" w:eastAsia="Times New Roman" w:hAnsi="Times New Roman"/>
          <w:b/>
          <w:bCs/>
          <w:spacing w:val="-1"/>
          <w:sz w:val="20"/>
          <w:szCs w:val="20"/>
        </w:rPr>
        <w:t>Mobility in Soil:</w:t>
      </w:r>
      <w:r w:rsidR="00D3347C" w:rsidRPr="006E61C7">
        <w:rPr>
          <w:rFonts w:ascii="Times New Roman" w:eastAsia="Times New Roman" w:hAnsi="Times New Roman"/>
          <w:b/>
          <w:bCs/>
          <w:spacing w:val="-1"/>
          <w:sz w:val="20"/>
          <w:szCs w:val="20"/>
        </w:rPr>
        <w:t xml:space="preserve">  </w:t>
      </w:r>
      <w:r w:rsidR="00D3347C" w:rsidRPr="006E61C7">
        <w:rPr>
          <w:rFonts w:ascii="Times New Roman" w:eastAsia="Times New Roman" w:hAnsi="Times New Roman"/>
          <w:bCs/>
          <w:sz w:val="20"/>
          <w:szCs w:val="20"/>
        </w:rPr>
        <w:t>No data available.</w:t>
      </w:r>
    </w:p>
    <w:p w14:paraId="24B848D2" w14:textId="77777777" w:rsidR="004521E9" w:rsidRDefault="004521E9" w:rsidP="00037460">
      <w:pPr>
        <w:widowControl/>
        <w:spacing w:before="120"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2430C3B4" w14:textId="77777777" w:rsidTr="004521E9">
        <w:trPr>
          <w:trHeight w:hRule="exact" w:val="360"/>
        </w:trPr>
        <w:tc>
          <w:tcPr>
            <w:tcW w:w="9576" w:type="dxa"/>
            <w:vAlign w:val="center"/>
          </w:tcPr>
          <w:p w14:paraId="4CCE5F74" w14:textId="77777777" w:rsidR="004521E9" w:rsidRDefault="004521E9" w:rsidP="00037460">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7DD08CB4" w14:textId="77777777" w:rsidR="00D536DB" w:rsidRPr="00D536DB" w:rsidRDefault="004521E9" w:rsidP="00037460">
      <w:pPr>
        <w:widowControl/>
        <w:spacing w:before="120" w:after="120"/>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 xml:space="preserve">Dispose of waste in accordance with all applicable federal, state, and local regulations.  </w:t>
      </w:r>
      <w:r w:rsidR="00031E7B">
        <w:rPr>
          <w:rFonts w:ascii="Times New Roman" w:eastAsia="Times New Roman" w:hAnsi="Times New Roman"/>
          <w:sz w:val="20"/>
          <w:szCs w:val="20"/>
        </w:rPr>
        <w:t>Potassium nitrate</w:t>
      </w:r>
      <w:r w:rsidR="009568A3" w:rsidRPr="001F4AA3">
        <w:rPr>
          <w:rFonts w:ascii="Times New Roman" w:eastAsia="Times New Roman" w:hAnsi="Times New Roman"/>
          <w:sz w:val="20"/>
          <w:szCs w:val="20"/>
        </w:rPr>
        <w:t xml:space="preserve"> subject to disposal regulations</w:t>
      </w:r>
      <w:r w:rsidR="00B448C3">
        <w:rPr>
          <w:rFonts w:ascii="Times New Roman" w:eastAsia="Times New Roman" w:hAnsi="Times New Roman"/>
          <w:sz w:val="20"/>
          <w:szCs w:val="20"/>
        </w:rPr>
        <w:t xml:space="preserve">: </w:t>
      </w:r>
      <w:r w:rsidR="009568A3" w:rsidRPr="001F4AA3">
        <w:rPr>
          <w:rFonts w:ascii="Times New Roman" w:eastAsia="Times New Roman" w:hAnsi="Times New Roman"/>
          <w:sz w:val="20"/>
          <w:szCs w:val="20"/>
        </w:rPr>
        <w:t xml:space="preserve"> U.S. EPA 40 CFR 262</w:t>
      </w:r>
      <w:r w:rsidR="008A179D">
        <w:rPr>
          <w:rFonts w:ascii="Times New Roman" w:eastAsia="Times New Roman" w:hAnsi="Times New Roman"/>
          <w:sz w:val="20"/>
          <w:szCs w:val="20"/>
        </w:rPr>
        <w:t>,</w:t>
      </w:r>
      <w:r w:rsidR="00474DF2">
        <w:rPr>
          <w:rFonts w:ascii="Times New Roman" w:eastAsia="Times New Roman" w:hAnsi="Times New Roman"/>
          <w:sz w:val="20"/>
          <w:szCs w:val="20"/>
        </w:rPr>
        <w:t xml:space="preserve"> </w:t>
      </w:r>
      <w:r w:rsidR="009568A3" w:rsidRPr="001F4AA3">
        <w:rPr>
          <w:rFonts w:ascii="Times New Roman" w:eastAsia="Times New Roman" w:hAnsi="Times New Roman"/>
          <w:sz w:val="20"/>
          <w:szCs w:val="20"/>
        </w:rPr>
        <w:t>Hazardous Waste Number</w:t>
      </w:r>
      <w:r w:rsidR="00B448C3">
        <w:rPr>
          <w:rFonts w:ascii="Times New Roman" w:eastAsia="Times New Roman" w:hAnsi="Times New Roman"/>
          <w:sz w:val="20"/>
          <w:szCs w:val="20"/>
        </w:rPr>
        <w:t xml:space="preserve">: </w:t>
      </w:r>
      <w:r w:rsidR="009568A3" w:rsidRPr="001F4AA3">
        <w:rPr>
          <w:rFonts w:ascii="Times New Roman" w:eastAsia="Times New Roman" w:hAnsi="Times New Roman"/>
          <w:sz w:val="20"/>
          <w:szCs w:val="20"/>
        </w:rPr>
        <w:t xml:space="preserve"> </w:t>
      </w:r>
      <w:r w:rsidR="00B448C3">
        <w:rPr>
          <w:rFonts w:ascii="Times New Roman" w:eastAsia="Times New Roman" w:hAnsi="Times New Roman"/>
          <w:sz w:val="20"/>
          <w:szCs w:val="20"/>
        </w:rPr>
        <w:t>D00</w:t>
      </w:r>
      <w:r w:rsidR="00031E7B">
        <w:rPr>
          <w:rFonts w:ascii="Times New Roman" w:eastAsia="Times New Roman" w:hAnsi="Times New Roman"/>
          <w:sz w:val="20"/>
          <w:szCs w:val="20"/>
        </w:rPr>
        <w:t>1</w:t>
      </w:r>
      <w:r w:rsidR="004521E5">
        <w:rPr>
          <w:rFonts w:ascii="Times New Roman" w:eastAsia="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1CFDCB47" w14:textId="77777777" w:rsidTr="004521E9">
        <w:trPr>
          <w:trHeight w:hRule="exact" w:val="360"/>
        </w:trPr>
        <w:tc>
          <w:tcPr>
            <w:tcW w:w="9576" w:type="dxa"/>
            <w:vAlign w:val="center"/>
          </w:tcPr>
          <w:p w14:paraId="44B2DE0F" w14:textId="77777777" w:rsidR="004521E9" w:rsidRDefault="004521E9" w:rsidP="00037460">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F6C36DD" w14:textId="77777777" w:rsidR="00A13A72" w:rsidRPr="00821095" w:rsidRDefault="004521E9" w:rsidP="00305987">
      <w:pPr>
        <w:widowControl/>
        <w:spacing w:before="120" w:after="120" w:line="240" w:lineRule="auto"/>
        <w:rPr>
          <w:rFonts w:ascii="Times New Roman" w:eastAsia="Times New Roman" w:hAnsi="Times New Roman"/>
          <w:bCs/>
          <w:sz w:val="20"/>
          <w:szCs w:val="20"/>
        </w:rPr>
      </w:pPr>
      <w:r>
        <w:rPr>
          <w:rFonts w:ascii="Times New Roman" w:eastAsia="Times New Roman" w:hAnsi="Times New Roman"/>
          <w:b/>
          <w:bCs/>
          <w:sz w:val="20"/>
          <w:szCs w:val="20"/>
        </w:rPr>
        <w:t>U</w:t>
      </w:r>
      <w:r>
        <w:rPr>
          <w:rFonts w:ascii="Times New Roman" w:eastAsia="Times New Roman" w:hAnsi="Times New Roman"/>
          <w:b/>
          <w:bCs/>
          <w:spacing w:val="1"/>
          <w:sz w:val="20"/>
          <w:szCs w:val="20"/>
        </w:rPr>
        <w:t>.</w:t>
      </w:r>
      <w:r>
        <w:rPr>
          <w:rFonts w:ascii="Times New Roman" w:eastAsia="Times New Roman" w:hAnsi="Times New Roman"/>
          <w:b/>
          <w:bCs/>
          <w:sz w:val="20"/>
          <w:szCs w:val="20"/>
        </w:rPr>
        <w:t>S.</w:t>
      </w:r>
      <w:r>
        <w:rPr>
          <w:rFonts w:ascii="Times New Roman" w:eastAsia="Times New Roman" w:hAnsi="Times New Roman"/>
          <w:b/>
          <w:bCs/>
          <w:spacing w:val="4"/>
          <w:sz w:val="20"/>
          <w:szCs w:val="20"/>
        </w:rPr>
        <w:t xml:space="preserve"> </w:t>
      </w:r>
      <w:r>
        <w:rPr>
          <w:rFonts w:ascii="Times New Roman" w:eastAsia="Times New Roman" w:hAnsi="Times New Roman"/>
          <w:b/>
          <w:bCs/>
          <w:sz w:val="20"/>
          <w:szCs w:val="20"/>
        </w:rPr>
        <w:t>D</w:t>
      </w:r>
      <w:r>
        <w:rPr>
          <w:rFonts w:ascii="Times New Roman" w:eastAsia="Times New Roman" w:hAnsi="Times New Roman"/>
          <w:b/>
          <w:bCs/>
          <w:spacing w:val="1"/>
          <w:sz w:val="20"/>
          <w:szCs w:val="20"/>
        </w:rPr>
        <w:t>O</w:t>
      </w:r>
      <w:r>
        <w:rPr>
          <w:rFonts w:ascii="Times New Roman" w:eastAsia="Times New Roman" w:hAnsi="Times New Roman"/>
          <w:b/>
          <w:bCs/>
          <w:sz w:val="20"/>
          <w:szCs w:val="20"/>
        </w:rPr>
        <w:t>T</w:t>
      </w:r>
      <w:r>
        <w:rPr>
          <w:rFonts w:ascii="Times New Roman" w:eastAsia="Times New Roman" w:hAnsi="Times New Roman"/>
          <w:b/>
          <w:bCs/>
          <w:spacing w:val="3"/>
          <w:sz w:val="20"/>
          <w:szCs w:val="20"/>
        </w:rPr>
        <w:t xml:space="preserve"> </w:t>
      </w:r>
      <w:r>
        <w:rPr>
          <w:rFonts w:ascii="Times New Roman" w:eastAsia="Times New Roman" w:hAnsi="Times New Roman"/>
          <w:b/>
          <w:bCs/>
          <w:spacing w:val="1"/>
          <w:sz w:val="20"/>
          <w:szCs w:val="20"/>
        </w:rPr>
        <w:t>a</w:t>
      </w:r>
      <w:r>
        <w:rPr>
          <w:rFonts w:ascii="Times New Roman" w:eastAsia="Times New Roman" w:hAnsi="Times New Roman"/>
          <w:b/>
          <w:bCs/>
          <w:sz w:val="20"/>
          <w:szCs w:val="20"/>
        </w:rPr>
        <w:t>nd</w:t>
      </w:r>
      <w:r>
        <w:rPr>
          <w:rFonts w:ascii="Times New Roman" w:eastAsia="Times New Roman" w:hAnsi="Times New Roman"/>
          <w:b/>
          <w:bCs/>
          <w:spacing w:val="4"/>
          <w:sz w:val="20"/>
          <w:szCs w:val="20"/>
        </w:rPr>
        <w:t xml:space="preserve"> </w:t>
      </w:r>
      <w:r>
        <w:rPr>
          <w:rFonts w:ascii="Times New Roman" w:eastAsia="Times New Roman" w:hAnsi="Times New Roman"/>
          <w:b/>
          <w:bCs/>
          <w:spacing w:val="-1"/>
          <w:sz w:val="20"/>
          <w:szCs w:val="20"/>
        </w:rPr>
        <w:t>I</w:t>
      </w:r>
      <w:r>
        <w:rPr>
          <w:rFonts w:ascii="Times New Roman" w:eastAsia="Times New Roman" w:hAnsi="Times New Roman"/>
          <w:b/>
          <w:bCs/>
          <w:sz w:val="20"/>
          <w:szCs w:val="20"/>
        </w:rPr>
        <w:t>A</w:t>
      </w:r>
      <w:r>
        <w:rPr>
          <w:rFonts w:ascii="Times New Roman" w:eastAsia="Times New Roman" w:hAnsi="Times New Roman"/>
          <w:b/>
          <w:bCs/>
          <w:spacing w:val="-1"/>
          <w:sz w:val="20"/>
          <w:szCs w:val="20"/>
        </w:rPr>
        <w:t>T</w:t>
      </w:r>
      <w:r>
        <w:rPr>
          <w:rFonts w:ascii="Times New Roman" w:eastAsia="Times New Roman" w:hAnsi="Times New Roman"/>
          <w:b/>
          <w:bCs/>
          <w:sz w:val="20"/>
          <w:szCs w:val="20"/>
        </w:rPr>
        <w:t xml:space="preserve">A: </w:t>
      </w:r>
      <w:r>
        <w:rPr>
          <w:rFonts w:ascii="Times New Roman" w:eastAsia="Times New Roman" w:hAnsi="Times New Roman"/>
          <w:b/>
          <w:bCs/>
          <w:spacing w:val="10"/>
          <w:sz w:val="20"/>
          <w:szCs w:val="20"/>
        </w:rPr>
        <w:t xml:space="preserve"> </w:t>
      </w:r>
      <w:r w:rsidR="00C253FE" w:rsidRPr="00B56A4E">
        <w:rPr>
          <w:rFonts w:ascii="Times New Roman" w:eastAsia="Times New Roman" w:hAnsi="Times New Roman"/>
          <w:bCs/>
          <w:spacing w:val="10"/>
          <w:sz w:val="20"/>
          <w:szCs w:val="20"/>
        </w:rPr>
        <w:t>UN1</w:t>
      </w:r>
      <w:r w:rsidR="00955F09">
        <w:rPr>
          <w:rFonts w:ascii="Times New Roman" w:eastAsia="Times New Roman" w:hAnsi="Times New Roman"/>
          <w:bCs/>
          <w:spacing w:val="10"/>
          <w:sz w:val="20"/>
          <w:szCs w:val="20"/>
        </w:rPr>
        <w:t>486</w:t>
      </w:r>
      <w:r w:rsidR="00C253FE">
        <w:rPr>
          <w:rFonts w:ascii="Times New Roman" w:eastAsia="Times New Roman" w:hAnsi="Times New Roman"/>
          <w:bCs/>
          <w:spacing w:val="10"/>
          <w:sz w:val="20"/>
          <w:szCs w:val="20"/>
        </w:rPr>
        <w:t>,</w:t>
      </w:r>
      <w:r w:rsidR="00955F09">
        <w:rPr>
          <w:rFonts w:ascii="Times New Roman" w:eastAsia="Times New Roman" w:hAnsi="Times New Roman"/>
          <w:bCs/>
          <w:spacing w:val="10"/>
          <w:sz w:val="20"/>
          <w:szCs w:val="20"/>
        </w:rPr>
        <w:t xml:space="preserve"> Potassium nitrate</w:t>
      </w:r>
      <w:r w:rsidR="00BB14A2" w:rsidRPr="00B56A4E">
        <w:rPr>
          <w:rFonts w:ascii="Times New Roman" w:eastAsia="Times New Roman" w:hAnsi="Times New Roman"/>
          <w:bCs/>
          <w:spacing w:val="10"/>
          <w:sz w:val="20"/>
          <w:szCs w:val="20"/>
        </w:rPr>
        <w:t xml:space="preserve">, Hazard Class </w:t>
      </w:r>
      <w:r w:rsidR="00955F09">
        <w:rPr>
          <w:rFonts w:ascii="Times New Roman" w:eastAsia="Times New Roman" w:hAnsi="Times New Roman"/>
          <w:bCs/>
          <w:spacing w:val="10"/>
          <w:sz w:val="20"/>
          <w:szCs w:val="20"/>
        </w:rPr>
        <w:t>5.1</w:t>
      </w:r>
      <w:r w:rsidR="00BB14A2" w:rsidRPr="00B56A4E">
        <w:rPr>
          <w:rFonts w:ascii="Times New Roman" w:eastAsia="Times New Roman" w:hAnsi="Times New Roman"/>
          <w:bCs/>
          <w:spacing w:val="10"/>
          <w:sz w:val="20"/>
          <w:szCs w:val="20"/>
        </w:rPr>
        <w:t>, Packing Group II</w:t>
      </w:r>
      <w:r w:rsidR="00AD30B7">
        <w:rPr>
          <w:rFonts w:ascii="Times New Roman" w:eastAsia="Times New Roman" w:hAnsi="Times New Roman"/>
          <w:bCs/>
          <w:spacing w:val="10"/>
          <w:sz w:val="20"/>
          <w:szCs w:val="20"/>
        </w:rPr>
        <w:t>I</w:t>
      </w:r>
      <w:r w:rsidR="00015F8E">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5643E87D" w14:textId="77777777" w:rsidTr="003D5857">
        <w:trPr>
          <w:trHeight w:hRule="exact" w:val="360"/>
        </w:trPr>
        <w:tc>
          <w:tcPr>
            <w:tcW w:w="9576" w:type="dxa"/>
            <w:vAlign w:val="center"/>
          </w:tcPr>
          <w:p w14:paraId="05818E7C" w14:textId="77777777" w:rsidR="003D5857" w:rsidRDefault="003D5857" w:rsidP="00037460">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063ADB28" w14:textId="77777777" w:rsidR="00D536DB" w:rsidRPr="00D536DB" w:rsidRDefault="00D536DB" w:rsidP="00305987">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1AF6358C" w14:textId="77777777" w:rsidR="00D536DB" w:rsidRPr="00521CB4" w:rsidRDefault="00D536DB" w:rsidP="00037460">
      <w:pPr>
        <w:widowControl/>
        <w:overflowPunct w:val="0"/>
        <w:autoSpaceDE w:val="0"/>
        <w:autoSpaceDN w:val="0"/>
        <w:adjustRightInd w:val="0"/>
        <w:spacing w:after="6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6318E0">
        <w:rPr>
          <w:rFonts w:ascii="Times New Roman" w:eastAsia="Times New Roman" w:hAnsi="Times New Roman"/>
          <w:bCs/>
          <w:sz w:val="20"/>
          <w:szCs w:val="20"/>
        </w:rPr>
        <w:t xml:space="preserve"> </w:t>
      </w:r>
      <w:r w:rsidR="00031E7B">
        <w:rPr>
          <w:rFonts w:ascii="Times New Roman" w:eastAsia="Times New Roman" w:hAnsi="Times New Roman"/>
          <w:bCs/>
          <w:sz w:val="20"/>
          <w:szCs w:val="20"/>
        </w:rPr>
        <w:t>Not regulated</w:t>
      </w:r>
      <w:r w:rsidR="00C84E3B" w:rsidRPr="00C84E3B">
        <w:rPr>
          <w:rFonts w:ascii="Times New Roman" w:eastAsia="Times New Roman" w:hAnsi="Times New Roman"/>
          <w:bCs/>
          <w:sz w:val="20"/>
          <w:szCs w:val="20"/>
        </w:rPr>
        <w:t>.</w:t>
      </w:r>
    </w:p>
    <w:p w14:paraId="7270EF2F" w14:textId="77777777" w:rsidR="00D536DB" w:rsidRPr="002B2021" w:rsidRDefault="00D536DB" w:rsidP="00037460">
      <w:pPr>
        <w:widowControl/>
        <w:overflowPunct w:val="0"/>
        <w:autoSpaceDE w:val="0"/>
        <w:autoSpaceDN w:val="0"/>
        <w:adjustRightInd w:val="0"/>
        <w:spacing w:after="6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31E7B">
        <w:rPr>
          <w:rFonts w:ascii="Times New Roman" w:eastAsia="Times New Roman" w:hAnsi="Times New Roman"/>
          <w:bCs/>
          <w:sz w:val="20"/>
          <w:szCs w:val="20"/>
        </w:rPr>
        <w:t>Not regulated</w:t>
      </w:r>
      <w:r w:rsidRPr="002B2021">
        <w:rPr>
          <w:rFonts w:ascii="Times New Roman" w:eastAsia="Times New Roman" w:hAnsi="Times New Roman"/>
          <w:bCs/>
          <w:sz w:val="20"/>
          <w:szCs w:val="20"/>
        </w:rPr>
        <w:t>.</w:t>
      </w:r>
      <w:r w:rsidRPr="00521CB4">
        <w:rPr>
          <w:rFonts w:ascii="Times New Roman" w:eastAsia="Times New Roman" w:hAnsi="Times New Roman"/>
          <w:bCs/>
          <w:sz w:val="20"/>
          <w:szCs w:val="20"/>
        </w:rPr>
        <w:t xml:space="preserve">  </w:t>
      </w:r>
    </w:p>
    <w:p w14:paraId="7194C82C" w14:textId="77777777" w:rsidR="00D536DB" w:rsidRPr="00521CB4" w:rsidRDefault="00D536DB" w:rsidP="00037460">
      <w:pPr>
        <w:widowControl/>
        <w:overflowPunct w:val="0"/>
        <w:autoSpaceDE w:val="0"/>
        <w:autoSpaceDN w:val="0"/>
        <w:adjustRightInd w:val="0"/>
        <w:spacing w:after="6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31E7B">
        <w:rPr>
          <w:rFonts w:ascii="Times New Roman" w:eastAsia="Times New Roman" w:hAnsi="Times New Roman"/>
          <w:sz w:val="20"/>
          <w:szCs w:val="20"/>
        </w:rPr>
        <w:t>Not regulated</w:t>
      </w:r>
      <w:r w:rsidR="003B2C06">
        <w:rPr>
          <w:rFonts w:ascii="Times New Roman" w:eastAsia="Times New Roman" w:hAnsi="Times New Roman"/>
          <w:sz w:val="20"/>
          <w:szCs w:val="20"/>
        </w:rPr>
        <w:t>.</w:t>
      </w:r>
    </w:p>
    <w:p w14:paraId="73D0219D" w14:textId="77777777" w:rsidR="00D536DB" w:rsidRPr="00521CB4" w:rsidRDefault="00D536DB" w:rsidP="00037460">
      <w:pPr>
        <w:widowControl/>
        <w:spacing w:after="60"/>
        <w:ind w:firstLine="288"/>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313 (40 CFR 372.65):  </w:t>
      </w:r>
      <w:r w:rsidR="00031E7B">
        <w:rPr>
          <w:rFonts w:ascii="Times New Roman" w:eastAsia="Times New Roman" w:hAnsi="Times New Roman"/>
          <w:sz w:val="20"/>
          <w:szCs w:val="20"/>
        </w:rPr>
        <w:t>Not regulated.</w:t>
      </w:r>
    </w:p>
    <w:p w14:paraId="12A677F4" w14:textId="77777777" w:rsidR="00D536DB" w:rsidRPr="002B2021" w:rsidRDefault="00D536DB" w:rsidP="00305987">
      <w:pPr>
        <w:widowControl/>
        <w:overflowPunct w:val="0"/>
        <w:autoSpaceDE w:val="0"/>
        <w:autoSpaceDN w:val="0"/>
        <w:adjustRightInd w:val="0"/>
        <w:spacing w:after="60" w:line="240" w:lineRule="auto"/>
        <w:ind w:left="274"/>
        <w:textAlignment w:val="baseline"/>
        <w:rPr>
          <w:rFonts w:ascii="Times New Roman" w:eastAsia="Times New Roman" w:hAnsi="Times New Roman"/>
          <w:sz w:val="20"/>
          <w:szCs w:val="20"/>
        </w:rPr>
      </w:pPr>
      <w:r w:rsidRPr="002B2021">
        <w:rPr>
          <w:rFonts w:ascii="Times New Roman" w:eastAsia="Times New Roman" w:hAnsi="Times New Roman"/>
          <w:sz w:val="20"/>
          <w:szCs w:val="20"/>
        </w:rPr>
        <w:t>OSHA Process Safety (29 CFR 1910.119):</w:t>
      </w:r>
      <w:r w:rsidR="00031E7B">
        <w:rPr>
          <w:rFonts w:ascii="Times New Roman" w:eastAsia="Times New Roman" w:hAnsi="Times New Roman"/>
          <w:sz w:val="20"/>
          <w:szCs w:val="20"/>
        </w:rPr>
        <w:t xml:space="preserve">  Not regulated.</w:t>
      </w:r>
    </w:p>
    <w:p w14:paraId="17547F1F" w14:textId="77777777" w:rsidR="00D536DB" w:rsidRPr="002B2021" w:rsidRDefault="00D536DB" w:rsidP="0099140F">
      <w:pPr>
        <w:widowControl/>
        <w:overflowPunct w:val="0"/>
        <w:autoSpaceDE w:val="0"/>
        <w:autoSpaceDN w:val="0"/>
        <w:adjustRightInd w:val="0"/>
        <w:spacing w:after="120" w:line="240" w:lineRule="auto"/>
        <w:ind w:left="274"/>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1F9D7393" w14:textId="77777777" w:rsidR="00D536DB" w:rsidRPr="002B2021" w:rsidRDefault="00D536DB" w:rsidP="00E85E49">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FA0387">
        <w:rPr>
          <w:rFonts w:ascii="Times New Roman" w:eastAsia="Times New Roman" w:hAnsi="Times New Roman"/>
          <w:sz w:val="20"/>
          <w:szCs w:val="20"/>
        </w:rPr>
        <w:t>No</w:t>
      </w:r>
      <w:r w:rsidRPr="00521CB4">
        <w:rPr>
          <w:rFonts w:ascii="Times New Roman" w:eastAsia="Times New Roman" w:hAnsi="Times New Roman"/>
          <w:sz w:val="20"/>
          <w:szCs w:val="20"/>
        </w:rPr>
        <w:t>.</w:t>
      </w:r>
    </w:p>
    <w:p w14:paraId="7667816D" w14:textId="77777777" w:rsidR="00D536DB" w:rsidRPr="00521CB4" w:rsidRDefault="00D536DB" w:rsidP="00E85E49">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7BDD272F"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AA7B83">
        <w:rPr>
          <w:rFonts w:ascii="Times New Roman" w:eastAsia="Times New Roman" w:hAnsi="Times New Roman"/>
          <w:sz w:val="20"/>
          <w:szCs w:val="20"/>
        </w:rPr>
        <w:t>Yes</w:t>
      </w:r>
      <w:r w:rsidRPr="002B2021">
        <w:rPr>
          <w:rFonts w:ascii="Times New Roman" w:eastAsia="Times New Roman" w:hAnsi="Times New Roman"/>
          <w:sz w:val="20"/>
          <w:szCs w:val="20"/>
        </w:rPr>
        <w:t>.</w:t>
      </w:r>
    </w:p>
    <w:p w14:paraId="6E352830"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0853ABDB" w14:textId="77777777" w:rsidR="00D536DB" w:rsidRPr="00521CB4" w:rsidRDefault="00D536DB">
      <w:pPr>
        <w:keepNext/>
        <w:keepLines/>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0CF4B220" w14:textId="77777777" w:rsidR="00921852" w:rsidRDefault="00921852">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p>
    <w:p w14:paraId="226226A1" w14:textId="77777777" w:rsidR="00D536DB" w:rsidRPr="002B2021" w:rsidRDefault="00D536DB">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2A70C063" w14:textId="77777777" w:rsidR="00D536DB" w:rsidRPr="002B2021" w:rsidRDefault="00D536DB">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BB14A2">
        <w:rPr>
          <w:rFonts w:ascii="Times New Roman" w:eastAsia="Times New Roman" w:hAnsi="Times New Roman"/>
          <w:sz w:val="20"/>
          <w:szCs w:val="20"/>
        </w:rPr>
        <w:t xml:space="preserve">Not </w:t>
      </w:r>
      <w:r w:rsidR="009F6B0C">
        <w:rPr>
          <w:rFonts w:ascii="Times New Roman" w:eastAsia="Times New Roman" w:hAnsi="Times New Roman"/>
          <w:sz w:val="20"/>
          <w:szCs w:val="20"/>
        </w:rPr>
        <w:t>listed</w:t>
      </w:r>
      <w:r w:rsidRPr="002B2021">
        <w:rPr>
          <w:rFonts w:ascii="Times New Roman" w:eastAsia="Times New Roman" w:hAnsi="Times New Roman"/>
          <w:sz w:val="20"/>
          <w:szCs w:val="20"/>
        </w:rPr>
        <w:t>.</w:t>
      </w:r>
    </w:p>
    <w:p w14:paraId="42915DE5" w14:textId="77777777" w:rsidR="004521E9" w:rsidRPr="00521CB4" w:rsidRDefault="008E1B26" w:rsidP="00037460">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FA0387">
        <w:rPr>
          <w:rFonts w:ascii="Times New Roman" w:eastAsia="Times New Roman" w:hAnsi="Times New Roman"/>
          <w:bCs/>
          <w:sz w:val="20"/>
          <w:szCs w:val="20"/>
        </w:rPr>
        <w:t>Listed.</w:t>
      </w:r>
    </w:p>
    <w:p w14:paraId="5DCC026A" w14:textId="77777777" w:rsidR="003D5857" w:rsidRPr="00521CB4" w:rsidRDefault="003D5857" w:rsidP="00037460">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76858FBF" w14:textId="31D0AEA7" w:rsidR="003D5857" w:rsidRPr="002B2021" w:rsidRDefault="003D5857" w:rsidP="00037460">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z w:val="20"/>
          <w:szCs w:val="20"/>
        </w:rPr>
        <w:t>C</w:t>
      </w:r>
      <w:r w:rsidR="00AA6AC2" w:rsidRPr="002B2021">
        <w:rPr>
          <w:rFonts w:ascii="Times New Roman" w:eastAsia="Times New Roman" w:hAnsi="Times New Roman"/>
          <w:b/>
          <w:bCs/>
          <w:sz w:val="20"/>
          <w:szCs w:val="20"/>
        </w:rPr>
        <w:t xml:space="preserve">anadian </w:t>
      </w:r>
      <w:r w:rsidRPr="002B2021">
        <w:rPr>
          <w:rFonts w:ascii="Times New Roman" w:eastAsia="Times New Roman" w:hAnsi="Times New Roman"/>
          <w:b/>
          <w:bCs/>
          <w:sz w:val="20"/>
          <w:szCs w:val="20"/>
        </w:rPr>
        <w:t>R</w:t>
      </w:r>
      <w:r w:rsidR="00AA6AC2" w:rsidRPr="002B2021">
        <w:rPr>
          <w:rFonts w:ascii="Times New Roman" w:eastAsia="Times New Roman" w:hAnsi="Times New Roman"/>
          <w:b/>
          <w:bCs/>
          <w:sz w:val="20"/>
          <w:szCs w:val="20"/>
        </w:rPr>
        <w:t>egulations</w:t>
      </w:r>
      <w:r w:rsidR="00622BAB">
        <w:rPr>
          <w:rFonts w:ascii="Times New Roman" w:eastAsia="Times New Roman" w:hAnsi="Times New Roman"/>
          <w:b/>
          <w:bCs/>
          <w:sz w:val="20"/>
          <w:szCs w:val="20"/>
        </w:rPr>
        <w:t>:</w:t>
      </w:r>
      <w:r w:rsidR="00E85E49">
        <w:rPr>
          <w:rFonts w:ascii="Times New Roman" w:eastAsia="Times New Roman" w:hAnsi="Times New Roman"/>
          <w:b/>
          <w:bCs/>
          <w:sz w:val="20"/>
          <w:szCs w:val="20"/>
        </w:rPr>
        <w:t xml:space="preserve"> </w:t>
      </w:r>
    </w:p>
    <w:p w14:paraId="7DA366C2" w14:textId="24CC1257" w:rsidR="00FA0387" w:rsidRDefault="003D5857" w:rsidP="00037460">
      <w:pPr>
        <w:widowControl/>
        <w:spacing w:after="120" w:line="240" w:lineRule="auto"/>
        <w:ind w:left="360"/>
        <w:jc w:val="both"/>
        <w:rPr>
          <w:rFonts w:ascii="Times New Roman" w:eastAsia="Times New Roman" w:hAnsi="Times New Roman"/>
          <w:sz w:val="20"/>
          <w:szCs w:val="20"/>
        </w:rPr>
      </w:pPr>
      <w:r w:rsidRPr="002B2021">
        <w:rPr>
          <w:rFonts w:ascii="Times New Roman" w:eastAsia="Times New Roman" w:hAnsi="Times New Roman"/>
          <w:spacing w:val="2"/>
          <w:sz w:val="20"/>
          <w:szCs w:val="20"/>
        </w:rPr>
        <w:t>W</w:t>
      </w:r>
      <w:r w:rsidRPr="002B2021">
        <w:rPr>
          <w:rFonts w:ascii="Times New Roman" w:eastAsia="Times New Roman" w:hAnsi="Times New Roman"/>
          <w:sz w:val="20"/>
          <w:szCs w:val="20"/>
        </w:rPr>
        <w:t>H</w:t>
      </w:r>
      <w:r w:rsidRPr="002B2021">
        <w:rPr>
          <w:rFonts w:ascii="Times New Roman" w:eastAsia="Times New Roman" w:hAnsi="Times New Roman"/>
          <w:spacing w:val="1"/>
          <w:sz w:val="20"/>
          <w:szCs w:val="20"/>
        </w:rPr>
        <w:t>MI</w:t>
      </w:r>
      <w:r w:rsidRPr="002B2021">
        <w:rPr>
          <w:rFonts w:ascii="Times New Roman" w:eastAsia="Times New Roman" w:hAnsi="Times New Roman"/>
          <w:sz w:val="20"/>
          <w:szCs w:val="20"/>
        </w:rPr>
        <w:t>S</w:t>
      </w:r>
      <w:r w:rsidRPr="002B2021">
        <w:rPr>
          <w:rFonts w:ascii="Times New Roman" w:eastAsia="Times New Roman" w:hAnsi="Times New Roman"/>
          <w:spacing w:val="-7"/>
          <w:sz w:val="20"/>
          <w:szCs w:val="20"/>
        </w:rPr>
        <w:t xml:space="preserve"> </w:t>
      </w:r>
      <w:r w:rsidRPr="002B2021">
        <w:rPr>
          <w:rFonts w:ascii="Times New Roman" w:eastAsia="Times New Roman" w:hAnsi="Times New Roman"/>
          <w:spacing w:val="1"/>
          <w:sz w:val="20"/>
          <w:szCs w:val="20"/>
        </w:rPr>
        <w:t>I</w:t>
      </w:r>
      <w:r w:rsidRPr="002B2021">
        <w:rPr>
          <w:rFonts w:ascii="Times New Roman" w:eastAsia="Times New Roman" w:hAnsi="Times New Roman"/>
          <w:spacing w:val="-1"/>
          <w:sz w:val="20"/>
          <w:szCs w:val="20"/>
        </w:rPr>
        <w:t>n</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or</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ati</w:t>
      </w:r>
      <w:r w:rsidRPr="002B2021">
        <w:rPr>
          <w:rFonts w:ascii="Times New Roman" w:eastAsia="Times New Roman" w:hAnsi="Times New Roman"/>
          <w:spacing w:val="1"/>
          <w:sz w:val="20"/>
          <w:szCs w:val="20"/>
        </w:rPr>
        <w:t>o</w:t>
      </w:r>
      <w:r w:rsidRPr="002B2021">
        <w:rPr>
          <w:rFonts w:ascii="Times New Roman" w:eastAsia="Times New Roman" w:hAnsi="Times New Roman"/>
          <w:spacing w:val="-1"/>
          <w:sz w:val="20"/>
          <w:szCs w:val="20"/>
        </w:rPr>
        <w:t>n</w:t>
      </w:r>
      <w:r w:rsidRPr="002B2021">
        <w:rPr>
          <w:rFonts w:ascii="Times New Roman" w:eastAsia="Times New Roman" w:hAnsi="Times New Roman"/>
          <w:sz w:val="20"/>
          <w:szCs w:val="20"/>
        </w:rPr>
        <w:t>:</w:t>
      </w:r>
      <w:r w:rsidRPr="002B2021">
        <w:rPr>
          <w:rFonts w:ascii="Times New Roman" w:eastAsia="Times New Roman" w:hAnsi="Times New Roman"/>
          <w:spacing w:val="41"/>
          <w:sz w:val="20"/>
          <w:szCs w:val="20"/>
        </w:rPr>
        <w:t xml:space="preserve"> </w:t>
      </w:r>
      <w:r w:rsidRPr="002B2021">
        <w:rPr>
          <w:rFonts w:ascii="Times New Roman" w:eastAsia="Times New Roman" w:hAnsi="Times New Roman"/>
          <w:sz w:val="20"/>
          <w:szCs w:val="20"/>
        </w:rPr>
        <w:t>N</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t</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1"/>
          <w:sz w:val="20"/>
          <w:szCs w:val="20"/>
        </w:rPr>
        <w:t>pro</w:t>
      </w:r>
      <w:r w:rsidRPr="002B2021">
        <w:rPr>
          <w:rFonts w:ascii="Times New Roman" w:eastAsia="Times New Roman" w:hAnsi="Times New Roman"/>
          <w:spacing w:val="-1"/>
          <w:sz w:val="20"/>
          <w:szCs w:val="20"/>
        </w:rPr>
        <w:t>v</w:t>
      </w:r>
      <w:r w:rsidRPr="002B2021">
        <w:rPr>
          <w:rFonts w:ascii="Times New Roman" w:eastAsia="Times New Roman" w:hAnsi="Times New Roman"/>
          <w:sz w:val="20"/>
          <w:szCs w:val="20"/>
        </w:rPr>
        <w:t>i</w:t>
      </w:r>
      <w:r w:rsidRPr="002B2021">
        <w:rPr>
          <w:rFonts w:ascii="Times New Roman" w:eastAsia="Times New Roman" w:hAnsi="Times New Roman"/>
          <w:spacing w:val="1"/>
          <w:sz w:val="20"/>
          <w:szCs w:val="20"/>
        </w:rPr>
        <w:t>d</w:t>
      </w:r>
      <w:r w:rsidRPr="002B2021">
        <w:rPr>
          <w:rFonts w:ascii="Times New Roman" w:eastAsia="Times New Roman" w:hAnsi="Times New Roman"/>
          <w:sz w:val="20"/>
          <w:szCs w:val="20"/>
        </w:rPr>
        <w:t>ed</w:t>
      </w:r>
      <w:r w:rsidRPr="002B2021">
        <w:rPr>
          <w:rFonts w:ascii="Times New Roman" w:eastAsia="Times New Roman" w:hAnsi="Times New Roman"/>
          <w:spacing w:val="-5"/>
          <w:sz w:val="20"/>
          <w:szCs w:val="20"/>
        </w:rPr>
        <w:t xml:space="preserve"> </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r</w:t>
      </w:r>
      <w:r w:rsidRPr="002B2021">
        <w:rPr>
          <w:rFonts w:ascii="Times New Roman" w:eastAsia="Times New Roman" w:hAnsi="Times New Roman"/>
          <w:spacing w:val="-1"/>
          <w:sz w:val="20"/>
          <w:szCs w:val="20"/>
        </w:rPr>
        <w:t xml:space="preserve"> </w:t>
      </w:r>
      <w:r w:rsidRPr="002B2021">
        <w:rPr>
          <w:rFonts w:ascii="Times New Roman" w:eastAsia="Times New Roman" w:hAnsi="Times New Roman"/>
          <w:sz w:val="20"/>
          <w:szCs w:val="20"/>
        </w:rPr>
        <w:t>t</w:t>
      </w:r>
      <w:r w:rsidRPr="002B2021">
        <w:rPr>
          <w:rFonts w:ascii="Times New Roman" w:eastAsia="Times New Roman" w:hAnsi="Times New Roman"/>
          <w:spacing w:val="-1"/>
          <w:sz w:val="20"/>
          <w:szCs w:val="20"/>
        </w:rPr>
        <w:t>h</w:t>
      </w:r>
      <w:r w:rsidRPr="002B2021">
        <w:rPr>
          <w:rFonts w:ascii="Times New Roman" w:eastAsia="Times New Roman" w:hAnsi="Times New Roman"/>
          <w:sz w:val="20"/>
          <w:szCs w:val="20"/>
        </w:rPr>
        <w:t>is</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ate</w:t>
      </w:r>
      <w:r w:rsidRPr="002B2021">
        <w:rPr>
          <w:rFonts w:ascii="Times New Roman" w:eastAsia="Times New Roman" w:hAnsi="Times New Roman"/>
          <w:spacing w:val="1"/>
          <w:sz w:val="20"/>
          <w:szCs w:val="20"/>
        </w:rPr>
        <w:t>r</w:t>
      </w:r>
      <w:r w:rsidRPr="002B2021">
        <w:rPr>
          <w:rFonts w:ascii="Times New Roman" w:eastAsia="Times New Roman" w:hAnsi="Times New Roman"/>
          <w:sz w:val="20"/>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1ACE3849" w14:textId="77777777" w:rsidTr="0067534E">
        <w:trPr>
          <w:trHeight w:hRule="exact" w:val="360"/>
        </w:trPr>
        <w:tc>
          <w:tcPr>
            <w:tcW w:w="9576" w:type="dxa"/>
            <w:vAlign w:val="center"/>
          </w:tcPr>
          <w:p w14:paraId="00AA2807" w14:textId="77777777" w:rsidR="0067534E" w:rsidRDefault="0067534E" w:rsidP="00037460">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position w:val="-1"/>
                <w:sz w:val="24"/>
                <w:szCs w:val="24"/>
              </w:rPr>
              <w:lastRenderedPageBreak/>
              <w:t>16.</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position w:val="-1"/>
                <w:sz w:val="24"/>
                <w:szCs w:val="24"/>
              </w:rPr>
              <w:t>O</w:t>
            </w:r>
            <w:r>
              <w:rPr>
                <w:rFonts w:ascii="Times New Roman" w:eastAsia="Times New Roman" w:hAnsi="Times New Roman"/>
                <w:b/>
                <w:bCs/>
                <w:spacing w:val="1"/>
                <w:position w:val="-1"/>
                <w:sz w:val="19"/>
                <w:szCs w:val="19"/>
              </w:rPr>
              <w:t>T</w:t>
            </w:r>
            <w:r>
              <w:rPr>
                <w:rFonts w:ascii="Times New Roman" w:eastAsia="Times New Roman" w:hAnsi="Times New Roman"/>
                <w:b/>
                <w:bCs/>
                <w:spacing w:val="-1"/>
                <w:position w:val="-1"/>
                <w:sz w:val="19"/>
                <w:szCs w:val="19"/>
              </w:rPr>
              <w:t>H</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R</w:t>
            </w:r>
            <w:r>
              <w:rPr>
                <w:rFonts w:ascii="Times New Roman" w:eastAsia="Times New Roman" w:hAnsi="Times New Roman"/>
                <w:b/>
                <w:bCs/>
                <w:spacing w:val="-5"/>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w w:val="99"/>
                <w:position w:val="-1"/>
                <w:sz w:val="19"/>
                <w:szCs w:val="19"/>
              </w:rPr>
              <w:t>N</w:t>
            </w:r>
            <w:r>
              <w:rPr>
                <w:rFonts w:ascii="Times New Roman" w:eastAsia="Times New Roman" w:hAnsi="Times New Roman"/>
                <w:b/>
                <w:bCs/>
                <w:spacing w:val="-1"/>
                <w:w w:val="99"/>
                <w:position w:val="-1"/>
                <w:sz w:val="19"/>
                <w:szCs w:val="19"/>
              </w:rPr>
              <w:t>FO</w:t>
            </w:r>
            <w:r>
              <w:rPr>
                <w:rFonts w:ascii="Times New Roman" w:eastAsia="Times New Roman" w:hAnsi="Times New Roman"/>
                <w:b/>
                <w:bCs/>
                <w:w w:val="99"/>
                <w:position w:val="-1"/>
                <w:sz w:val="19"/>
                <w:szCs w:val="19"/>
              </w:rPr>
              <w:t>R</w:t>
            </w:r>
            <w:r>
              <w:rPr>
                <w:rFonts w:ascii="Times New Roman" w:eastAsia="Times New Roman" w:hAnsi="Times New Roman"/>
                <w:b/>
                <w:bCs/>
                <w:spacing w:val="1"/>
                <w:w w:val="99"/>
                <w:position w:val="-1"/>
                <w:sz w:val="19"/>
                <w:szCs w:val="19"/>
              </w:rPr>
              <w:t>M</w:t>
            </w:r>
            <w:r>
              <w:rPr>
                <w:rFonts w:ascii="Times New Roman" w:eastAsia="Times New Roman" w:hAnsi="Times New Roman"/>
                <w:b/>
                <w:bCs/>
                <w:w w:val="99"/>
                <w:position w:val="-1"/>
                <w:sz w:val="19"/>
                <w:szCs w:val="19"/>
              </w:rPr>
              <w:t>A</w:t>
            </w:r>
            <w:r>
              <w:rPr>
                <w:rFonts w:ascii="Times New Roman" w:eastAsia="Times New Roman" w:hAnsi="Times New Roman"/>
                <w:b/>
                <w:bCs/>
                <w:spacing w:val="1"/>
                <w:w w:val="99"/>
                <w:position w:val="-1"/>
                <w:sz w:val="19"/>
                <w:szCs w:val="19"/>
              </w:rPr>
              <w:t>TI</w:t>
            </w:r>
            <w:r>
              <w:rPr>
                <w:rFonts w:ascii="Times New Roman" w:eastAsia="Times New Roman" w:hAnsi="Times New Roman"/>
                <w:b/>
                <w:bCs/>
                <w:spacing w:val="-1"/>
                <w:w w:val="99"/>
                <w:position w:val="-1"/>
                <w:sz w:val="19"/>
                <w:szCs w:val="19"/>
              </w:rPr>
              <w:t>O</w:t>
            </w:r>
            <w:r>
              <w:rPr>
                <w:rFonts w:ascii="Times New Roman" w:eastAsia="Times New Roman" w:hAnsi="Times New Roman"/>
                <w:b/>
                <w:bCs/>
                <w:w w:val="99"/>
                <w:position w:val="-1"/>
                <w:sz w:val="19"/>
                <w:szCs w:val="19"/>
              </w:rPr>
              <w:t>N</w:t>
            </w:r>
          </w:p>
        </w:tc>
      </w:tr>
    </w:tbl>
    <w:p w14:paraId="745214A5" w14:textId="0BD7CA87" w:rsidR="00622AE4" w:rsidRPr="00A45A14" w:rsidRDefault="00622AE4" w:rsidP="00037460">
      <w:pPr>
        <w:widowControl/>
        <w:tabs>
          <w:tab w:val="left" w:pos="1080"/>
        </w:tabs>
        <w:spacing w:before="120" w:after="0" w:line="240" w:lineRule="auto"/>
        <w:jc w:val="both"/>
        <w:rPr>
          <w:rFonts w:ascii="Times New Roman" w:eastAsia="Times New Roman" w:hAnsi="Times New Roman"/>
          <w:bCs/>
          <w:sz w:val="20"/>
          <w:szCs w:val="20"/>
        </w:rPr>
      </w:pPr>
      <w:r w:rsidRPr="00A45A14">
        <w:rPr>
          <w:rFonts w:ascii="Times New Roman" w:eastAsia="Times New Roman" w:hAnsi="Times New Roman"/>
          <w:b/>
          <w:bCs/>
          <w:sz w:val="20"/>
          <w:szCs w:val="20"/>
        </w:rPr>
        <w:t>Issue Date:</w:t>
      </w:r>
      <w:r w:rsidRPr="00A45A14">
        <w:rPr>
          <w:rFonts w:ascii="Times New Roman" w:eastAsia="Times New Roman" w:hAnsi="Times New Roman"/>
          <w:bCs/>
          <w:sz w:val="20"/>
          <w:szCs w:val="20"/>
        </w:rPr>
        <w:t xml:space="preserve">  </w:t>
      </w:r>
      <w:r w:rsidR="0056308B">
        <w:rPr>
          <w:rFonts w:ascii="Times New Roman" w:eastAsia="Times New Roman" w:hAnsi="Times New Roman"/>
          <w:bCs/>
          <w:sz w:val="20"/>
          <w:szCs w:val="20"/>
        </w:rPr>
        <w:t>0</w:t>
      </w:r>
      <w:r w:rsidR="003E35C5">
        <w:rPr>
          <w:rFonts w:ascii="Times New Roman" w:eastAsia="Times New Roman" w:hAnsi="Times New Roman"/>
          <w:bCs/>
          <w:sz w:val="20"/>
          <w:szCs w:val="20"/>
        </w:rPr>
        <w:t>8</w:t>
      </w:r>
      <w:r w:rsidR="0056308B">
        <w:rPr>
          <w:rFonts w:ascii="Times New Roman" w:eastAsia="Times New Roman" w:hAnsi="Times New Roman"/>
          <w:bCs/>
          <w:sz w:val="20"/>
          <w:szCs w:val="20"/>
        </w:rPr>
        <w:t> </w:t>
      </w:r>
      <w:r w:rsidR="006C412A">
        <w:rPr>
          <w:rFonts w:ascii="Times New Roman" w:eastAsia="Times New Roman" w:hAnsi="Times New Roman"/>
          <w:bCs/>
          <w:sz w:val="20"/>
          <w:szCs w:val="20"/>
        </w:rPr>
        <w:t>J</w:t>
      </w:r>
      <w:r w:rsidR="00356B2F">
        <w:rPr>
          <w:rFonts w:ascii="Times New Roman" w:eastAsia="Times New Roman" w:hAnsi="Times New Roman"/>
          <w:bCs/>
          <w:sz w:val="20"/>
          <w:szCs w:val="20"/>
        </w:rPr>
        <w:t>u</w:t>
      </w:r>
      <w:r w:rsidR="0056308B">
        <w:rPr>
          <w:rFonts w:ascii="Times New Roman" w:eastAsia="Times New Roman" w:hAnsi="Times New Roman"/>
          <w:bCs/>
          <w:sz w:val="20"/>
          <w:szCs w:val="20"/>
        </w:rPr>
        <w:t>ly</w:t>
      </w:r>
      <w:r w:rsidR="00F07157">
        <w:rPr>
          <w:rFonts w:ascii="Times New Roman" w:eastAsia="Times New Roman" w:hAnsi="Times New Roman"/>
          <w:bCs/>
          <w:sz w:val="20"/>
          <w:szCs w:val="20"/>
        </w:rPr>
        <w:t> </w:t>
      </w:r>
      <w:r w:rsidR="00130CC0" w:rsidRPr="00A45A14">
        <w:rPr>
          <w:rFonts w:ascii="Times New Roman" w:eastAsia="Times New Roman" w:hAnsi="Times New Roman"/>
          <w:bCs/>
          <w:sz w:val="20"/>
          <w:szCs w:val="20"/>
        </w:rPr>
        <w:t>201</w:t>
      </w:r>
      <w:r w:rsidR="00D47B6C">
        <w:rPr>
          <w:rFonts w:ascii="Times New Roman" w:eastAsia="Times New Roman" w:hAnsi="Times New Roman"/>
          <w:bCs/>
          <w:sz w:val="20"/>
          <w:szCs w:val="20"/>
        </w:rPr>
        <w:t>4</w:t>
      </w:r>
    </w:p>
    <w:p w14:paraId="0BEEF844" w14:textId="13E9FB1E" w:rsidR="00BB14A2" w:rsidRPr="00921852" w:rsidRDefault="00622AE4" w:rsidP="00037460">
      <w:pPr>
        <w:widowControl/>
        <w:tabs>
          <w:tab w:val="left" w:pos="900"/>
        </w:tabs>
        <w:spacing w:before="120" w:after="120"/>
        <w:ind w:left="900" w:hanging="900"/>
        <w:jc w:val="both"/>
        <w:rPr>
          <w:rFonts w:ascii="Times New Roman" w:eastAsia="Times New Roman" w:hAnsi="Times New Roman"/>
          <w:bCs/>
          <w:spacing w:val="1"/>
          <w:position w:val="-1"/>
          <w:sz w:val="20"/>
          <w:szCs w:val="20"/>
        </w:rPr>
      </w:pPr>
      <w:r w:rsidRPr="00A45A14">
        <w:rPr>
          <w:rFonts w:ascii="Times New Roman" w:eastAsia="Times New Roman" w:hAnsi="Times New Roman"/>
          <w:b/>
          <w:bCs/>
          <w:spacing w:val="1"/>
          <w:position w:val="-1"/>
          <w:sz w:val="20"/>
          <w:szCs w:val="20"/>
        </w:rPr>
        <w:t>Sources:</w:t>
      </w:r>
      <w:r w:rsidR="00537670" w:rsidRPr="00A45A14">
        <w:rPr>
          <w:rFonts w:ascii="Times New Roman" w:eastAsia="Times New Roman" w:hAnsi="Times New Roman"/>
          <w:bCs/>
          <w:spacing w:val="1"/>
          <w:position w:val="-1"/>
          <w:sz w:val="20"/>
          <w:szCs w:val="20"/>
        </w:rPr>
        <w:tab/>
      </w:r>
      <w:proofErr w:type="spellStart"/>
      <w:r w:rsidR="00BB14A2" w:rsidRPr="00921852">
        <w:rPr>
          <w:rFonts w:ascii="Times New Roman" w:eastAsia="Times New Roman" w:hAnsi="Times New Roman"/>
          <w:bCs/>
          <w:spacing w:val="1"/>
          <w:position w:val="-1"/>
          <w:sz w:val="20"/>
          <w:szCs w:val="20"/>
        </w:rPr>
        <w:t>ChemAdvisor</w:t>
      </w:r>
      <w:proofErr w:type="spellEnd"/>
      <w:r w:rsidR="00BB14A2" w:rsidRPr="00921852">
        <w:rPr>
          <w:rFonts w:ascii="Times New Roman" w:eastAsia="Times New Roman" w:hAnsi="Times New Roman"/>
          <w:bCs/>
          <w:spacing w:val="1"/>
          <w:position w:val="-1"/>
          <w:sz w:val="20"/>
          <w:szCs w:val="20"/>
        </w:rPr>
        <w:t xml:space="preserve">, Inc., MSDS </w:t>
      </w:r>
      <w:r w:rsidR="00921852" w:rsidRPr="00921852">
        <w:rPr>
          <w:rFonts w:ascii="Times New Roman" w:eastAsia="Times New Roman" w:hAnsi="Times New Roman"/>
          <w:bCs/>
          <w:i/>
          <w:spacing w:val="1"/>
          <w:position w:val="-1"/>
          <w:sz w:val="20"/>
          <w:szCs w:val="20"/>
        </w:rPr>
        <w:t xml:space="preserve">Potassium </w:t>
      </w:r>
      <w:r w:rsidR="0057262B">
        <w:rPr>
          <w:rFonts w:ascii="Times New Roman" w:eastAsia="Times New Roman" w:hAnsi="Times New Roman"/>
          <w:bCs/>
          <w:i/>
          <w:spacing w:val="1"/>
          <w:position w:val="-1"/>
          <w:sz w:val="20"/>
          <w:szCs w:val="20"/>
        </w:rPr>
        <w:t>N</w:t>
      </w:r>
      <w:r w:rsidR="00921852" w:rsidRPr="00921852">
        <w:rPr>
          <w:rFonts w:ascii="Times New Roman" w:eastAsia="Times New Roman" w:hAnsi="Times New Roman"/>
          <w:bCs/>
          <w:i/>
          <w:spacing w:val="1"/>
          <w:position w:val="-1"/>
          <w:sz w:val="20"/>
          <w:szCs w:val="20"/>
        </w:rPr>
        <w:t>itrate</w:t>
      </w:r>
      <w:r w:rsidR="00BB14A2" w:rsidRPr="00921852">
        <w:rPr>
          <w:rFonts w:ascii="Times New Roman" w:eastAsia="Times New Roman" w:hAnsi="Times New Roman"/>
          <w:bCs/>
          <w:spacing w:val="1"/>
          <w:position w:val="-1"/>
          <w:sz w:val="20"/>
          <w:szCs w:val="20"/>
        </w:rPr>
        <w:t xml:space="preserve">, </w:t>
      </w:r>
      <w:r w:rsidR="00F727E3">
        <w:rPr>
          <w:rFonts w:ascii="Times New Roman" w:eastAsia="Times New Roman" w:hAnsi="Times New Roman"/>
          <w:bCs/>
          <w:spacing w:val="1"/>
          <w:position w:val="-1"/>
          <w:sz w:val="20"/>
          <w:szCs w:val="20"/>
        </w:rPr>
        <w:t>2</w:t>
      </w:r>
      <w:r w:rsidR="0007601E" w:rsidRPr="00921852">
        <w:rPr>
          <w:rFonts w:ascii="Times New Roman" w:eastAsia="Times New Roman" w:hAnsi="Times New Roman"/>
          <w:bCs/>
          <w:spacing w:val="1"/>
          <w:position w:val="-1"/>
          <w:sz w:val="20"/>
          <w:szCs w:val="20"/>
        </w:rPr>
        <w:t>1 </w:t>
      </w:r>
      <w:r w:rsidR="00F727E3">
        <w:rPr>
          <w:rFonts w:ascii="Times New Roman" w:eastAsia="Times New Roman" w:hAnsi="Times New Roman"/>
          <w:bCs/>
          <w:spacing w:val="1"/>
          <w:position w:val="-1"/>
          <w:sz w:val="20"/>
          <w:szCs w:val="20"/>
        </w:rPr>
        <w:t>March </w:t>
      </w:r>
      <w:r w:rsidR="0007601E" w:rsidRPr="00921852">
        <w:rPr>
          <w:rFonts w:ascii="Times New Roman" w:eastAsia="Times New Roman" w:hAnsi="Times New Roman"/>
          <w:bCs/>
          <w:spacing w:val="1"/>
          <w:position w:val="-1"/>
          <w:sz w:val="20"/>
          <w:szCs w:val="20"/>
        </w:rPr>
        <w:t>201</w:t>
      </w:r>
      <w:r w:rsidR="00F727E3">
        <w:rPr>
          <w:rFonts w:ascii="Times New Roman" w:eastAsia="Times New Roman" w:hAnsi="Times New Roman"/>
          <w:bCs/>
          <w:spacing w:val="1"/>
          <w:position w:val="-1"/>
          <w:sz w:val="20"/>
          <w:szCs w:val="20"/>
        </w:rPr>
        <w:t>4</w:t>
      </w:r>
      <w:r w:rsidR="00BB14A2" w:rsidRPr="00921852">
        <w:rPr>
          <w:rFonts w:ascii="Times New Roman" w:eastAsia="Times New Roman" w:hAnsi="Times New Roman"/>
          <w:bCs/>
          <w:spacing w:val="1"/>
          <w:position w:val="-1"/>
          <w:sz w:val="20"/>
          <w:szCs w:val="20"/>
        </w:rPr>
        <w:t>.</w:t>
      </w:r>
    </w:p>
    <w:p w14:paraId="69B6FD60" w14:textId="125369B2" w:rsidR="007471B6" w:rsidRPr="00D2698E" w:rsidRDefault="00BB14A2" w:rsidP="00037460">
      <w:pPr>
        <w:widowControl/>
        <w:tabs>
          <w:tab w:val="left" w:pos="900"/>
        </w:tabs>
        <w:spacing w:after="0"/>
        <w:ind w:left="900" w:hanging="900"/>
        <w:rPr>
          <w:rFonts w:ascii="Times New Roman" w:eastAsia="Times New Roman" w:hAnsi="Times New Roman"/>
          <w:bCs/>
          <w:spacing w:val="1"/>
          <w:position w:val="-1"/>
          <w:sz w:val="20"/>
          <w:szCs w:val="20"/>
        </w:rPr>
      </w:pPr>
      <w:r w:rsidRPr="00921852">
        <w:rPr>
          <w:rFonts w:ascii="Times New Roman" w:eastAsia="Times New Roman" w:hAnsi="Times New Roman"/>
          <w:bCs/>
          <w:spacing w:val="1"/>
          <w:position w:val="-1"/>
          <w:sz w:val="20"/>
          <w:szCs w:val="20"/>
        </w:rPr>
        <w:tab/>
      </w:r>
      <w:r w:rsidR="00D2698E" w:rsidRPr="00D2698E">
        <w:rPr>
          <w:rFonts w:ascii="Times New Roman" w:hAnsi="Times New Roman"/>
          <w:sz w:val="20"/>
          <w:szCs w:val="20"/>
        </w:rPr>
        <w:t>Hazardous Substances Data Bank (HSDB), National Library of Medicine's TOXNET system</w:t>
      </w:r>
      <w:r w:rsidR="00D2698E">
        <w:rPr>
          <w:rFonts w:ascii="Times New Roman" w:hAnsi="Times New Roman"/>
          <w:sz w:val="20"/>
          <w:szCs w:val="20"/>
        </w:rPr>
        <w:br/>
      </w:r>
      <w:r w:rsidR="00D2698E" w:rsidRPr="00D2698E">
        <w:rPr>
          <w:rFonts w:ascii="Times New Roman" w:eastAsia="Times New Roman" w:hAnsi="Times New Roman"/>
          <w:bCs/>
          <w:i/>
          <w:spacing w:val="1"/>
          <w:position w:val="-1"/>
          <w:sz w:val="20"/>
          <w:szCs w:val="20"/>
        </w:rPr>
        <w:t xml:space="preserve">Potassium </w:t>
      </w:r>
      <w:r w:rsidR="0057262B">
        <w:rPr>
          <w:rFonts w:ascii="Times New Roman" w:eastAsia="Times New Roman" w:hAnsi="Times New Roman"/>
          <w:bCs/>
          <w:i/>
          <w:spacing w:val="1"/>
          <w:position w:val="-1"/>
          <w:sz w:val="20"/>
          <w:szCs w:val="20"/>
        </w:rPr>
        <w:t>N</w:t>
      </w:r>
      <w:r w:rsidR="00D2698E" w:rsidRPr="00D2698E">
        <w:rPr>
          <w:rFonts w:ascii="Times New Roman" w:eastAsia="Times New Roman" w:hAnsi="Times New Roman"/>
          <w:bCs/>
          <w:i/>
          <w:spacing w:val="1"/>
          <w:position w:val="-1"/>
          <w:sz w:val="20"/>
          <w:szCs w:val="20"/>
        </w:rPr>
        <w:t>itrate</w:t>
      </w:r>
      <w:r w:rsidR="00E85E49">
        <w:rPr>
          <w:rFonts w:ascii="Times New Roman" w:eastAsia="Times New Roman" w:hAnsi="Times New Roman"/>
          <w:bCs/>
          <w:i/>
          <w:spacing w:val="1"/>
          <w:position w:val="-1"/>
          <w:sz w:val="20"/>
          <w:szCs w:val="20"/>
        </w:rPr>
        <w:t>,</w:t>
      </w:r>
      <w:r w:rsidR="00D2698E">
        <w:rPr>
          <w:rFonts w:ascii="Times New Roman" w:eastAsia="Times New Roman" w:hAnsi="Times New Roman"/>
          <w:bCs/>
          <w:spacing w:val="1"/>
          <w:position w:val="-1"/>
          <w:sz w:val="20"/>
          <w:szCs w:val="20"/>
        </w:rPr>
        <w:t xml:space="preserve"> </w:t>
      </w:r>
      <w:r w:rsidR="00D2698E" w:rsidRPr="00037460">
        <w:rPr>
          <w:rFonts w:ascii="Times New Roman" w:eastAsia="Times New Roman" w:hAnsi="Times New Roman"/>
          <w:bCs/>
          <w:i/>
          <w:spacing w:val="1"/>
          <w:position w:val="-1"/>
          <w:sz w:val="20"/>
          <w:szCs w:val="20"/>
        </w:rPr>
        <w:t>CAS No. 7757</w:t>
      </w:r>
      <w:r w:rsidR="00D2698E" w:rsidRPr="00037460">
        <w:rPr>
          <w:rFonts w:ascii="Times New Roman" w:eastAsia="Times New Roman" w:hAnsi="Times New Roman"/>
          <w:bCs/>
          <w:i/>
          <w:spacing w:val="1"/>
          <w:position w:val="-1"/>
          <w:sz w:val="20"/>
          <w:szCs w:val="20"/>
        </w:rPr>
        <w:noBreakHyphen/>
        <w:t>79</w:t>
      </w:r>
      <w:r w:rsidR="00D2698E" w:rsidRPr="00037460">
        <w:rPr>
          <w:rFonts w:ascii="Times New Roman" w:eastAsia="Times New Roman" w:hAnsi="Times New Roman"/>
          <w:bCs/>
          <w:i/>
          <w:spacing w:val="1"/>
          <w:position w:val="-1"/>
          <w:sz w:val="20"/>
          <w:szCs w:val="20"/>
        </w:rPr>
        <w:noBreakHyphen/>
        <w:t>1</w:t>
      </w:r>
      <w:r w:rsidR="00D2698E">
        <w:rPr>
          <w:rFonts w:ascii="Times New Roman" w:eastAsia="Times New Roman" w:hAnsi="Times New Roman"/>
          <w:bCs/>
          <w:spacing w:val="1"/>
          <w:position w:val="-1"/>
          <w:sz w:val="20"/>
          <w:szCs w:val="20"/>
        </w:rPr>
        <w:t>, available at </w:t>
      </w:r>
      <w:hyperlink r:id="rId13" w:history="1">
        <w:r w:rsidR="001522F5" w:rsidRPr="001522F5">
          <w:rPr>
            <w:rStyle w:val="Hyperlink"/>
            <w:rFonts w:ascii="Times New Roman" w:eastAsia="Times New Roman" w:hAnsi="Times New Roman"/>
            <w:bCs/>
            <w:color w:val="auto"/>
            <w:spacing w:val="1"/>
            <w:position w:val="-1"/>
            <w:sz w:val="20"/>
            <w:szCs w:val="20"/>
            <w:u w:val="none"/>
          </w:rPr>
          <w:t>http://toxnet.nlm.nih.gov</w:t>
        </w:r>
      </w:hyperlink>
      <w:r w:rsidR="007471B6" w:rsidRPr="00D2698E">
        <w:rPr>
          <w:rFonts w:ascii="Times New Roman" w:eastAsia="Times New Roman" w:hAnsi="Times New Roman"/>
          <w:bCs/>
          <w:spacing w:val="1"/>
          <w:position w:val="-1"/>
          <w:sz w:val="20"/>
          <w:szCs w:val="20"/>
        </w:rPr>
        <w:t xml:space="preserve"> </w:t>
      </w:r>
      <w:r w:rsidR="00914FE6">
        <w:rPr>
          <w:rFonts w:ascii="Times New Roman" w:eastAsia="Times New Roman" w:hAnsi="Times New Roman"/>
          <w:bCs/>
          <w:spacing w:val="1"/>
          <w:position w:val="-1"/>
          <w:sz w:val="20"/>
          <w:szCs w:val="20"/>
        </w:rPr>
        <w:t>(accessed Jun 2014)</w:t>
      </w:r>
      <w:r w:rsidR="001522F5">
        <w:rPr>
          <w:rFonts w:ascii="Times New Roman" w:eastAsia="Times New Roman" w:hAnsi="Times New Roman"/>
          <w:bCs/>
          <w:spacing w:val="1"/>
          <w:position w:val="-1"/>
          <w:sz w:val="20"/>
          <w:szCs w:val="20"/>
        </w:rPr>
        <w:t>.</w:t>
      </w:r>
    </w:p>
    <w:p w14:paraId="2C234051" w14:textId="250A8332" w:rsidR="00945D7B" w:rsidRPr="00921852" w:rsidRDefault="00D2698E" w:rsidP="00037460">
      <w:pPr>
        <w:widowControl/>
        <w:tabs>
          <w:tab w:val="left" w:pos="900"/>
        </w:tabs>
        <w:spacing w:before="120" w:after="0"/>
        <w:ind w:left="900" w:hanging="900"/>
        <w:rPr>
          <w:rFonts w:ascii="Times New Roman" w:eastAsia="Times New Roman" w:hAnsi="Times New Roman"/>
          <w:bCs/>
          <w:spacing w:val="1"/>
          <w:position w:val="-1"/>
          <w:sz w:val="20"/>
          <w:szCs w:val="20"/>
        </w:rPr>
      </w:pPr>
      <w:r>
        <w:rPr>
          <w:rFonts w:ascii="Times New Roman" w:eastAsia="Times New Roman" w:hAnsi="Times New Roman"/>
          <w:bCs/>
          <w:spacing w:val="1"/>
          <w:position w:val="-1"/>
          <w:sz w:val="20"/>
          <w:szCs w:val="20"/>
        </w:rPr>
        <w:tab/>
      </w:r>
      <w:r w:rsidR="00E0781A">
        <w:rPr>
          <w:rFonts w:ascii="Times New Roman" w:eastAsia="Times New Roman" w:hAnsi="Times New Roman"/>
          <w:bCs/>
          <w:spacing w:val="1"/>
          <w:position w:val="-1"/>
          <w:sz w:val="20"/>
          <w:szCs w:val="20"/>
        </w:rPr>
        <w:t>International Labor Organization International, International Chemical Safety Card (ICSC) database</w:t>
      </w:r>
      <w:r w:rsidR="00945D7B" w:rsidRPr="00921852">
        <w:rPr>
          <w:rFonts w:ascii="Times New Roman" w:eastAsia="Times New Roman" w:hAnsi="Times New Roman"/>
          <w:bCs/>
          <w:spacing w:val="1"/>
          <w:position w:val="-1"/>
          <w:sz w:val="20"/>
          <w:szCs w:val="20"/>
        </w:rPr>
        <w:t>,</w:t>
      </w:r>
      <w:r w:rsidR="00E0781A">
        <w:rPr>
          <w:rFonts w:ascii="Times New Roman" w:eastAsia="Times New Roman" w:hAnsi="Times New Roman"/>
          <w:bCs/>
          <w:spacing w:val="1"/>
          <w:position w:val="-1"/>
          <w:sz w:val="20"/>
          <w:szCs w:val="20"/>
        </w:rPr>
        <w:t xml:space="preserve"> </w:t>
      </w:r>
      <w:r w:rsidR="00921852" w:rsidRPr="00921852">
        <w:rPr>
          <w:rFonts w:ascii="Times New Roman" w:eastAsia="Times New Roman" w:hAnsi="Times New Roman"/>
          <w:bCs/>
          <w:i/>
          <w:spacing w:val="1"/>
          <w:position w:val="-1"/>
          <w:sz w:val="20"/>
          <w:szCs w:val="20"/>
        </w:rPr>
        <w:t>Potassium</w:t>
      </w:r>
      <w:r w:rsidR="00E0781A">
        <w:rPr>
          <w:rFonts w:ascii="Times New Roman" w:eastAsia="Times New Roman" w:hAnsi="Times New Roman"/>
          <w:bCs/>
          <w:i/>
          <w:spacing w:val="1"/>
          <w:position w:val="-1"/>
          <w:sz w:val="20"/>
          <w:szCs w:val="20"/>
        </w:rPr>
        <w:t> </w:t>
      </w:r>
      <w:r w:rsidR="0057262B">
        <w:rPr>
          <w:rFonts w:ascii="Times New Roman" w:eastAsia="Times New Roman" w:hAnsi="Times New Roman"/>
          <w:bCs/>
          <w:i/>
          <w:spacing w:val="1"/>
          <w:position w:val="-1"/>
          <w:sz w:val="20"/>
          <w:szCs w:val="20"/>
        </w:rPr>
        <w:t>N</w:t>
      </w:r>
      <w:r w:rsidR="00921852" w:rsidRPr="00921852">
        <w:rPr>
          <w:rFonts w:ascii="Times New Roman" w:eastAsia="Times New Roman" w:hAnsi="Times New Roman"/>
          <w:bCs/>
          <w:i/>
          <w:spacing w:val="1"/>
          <w:position w:val="-1"/>
          <w:sz w:val="20"/>
          <w:szCs w:val="20"/>
        </w:rPr>
        <w:t>itrate</w:t>
      </w:r>
      <w:r w:rsidR="00945D7B" w:rsidRPr="00921852">
        <w:rPr>
          <w:rFonts w:ascii="Times New Roman" w:eastAsia="Times New Roman" w:hAnsi="Times New Roman"/>
          <w:bCs/>
          <w:spacing w:val="1"/>
          <w:position w:val="-1"/>
          <w:sz w:val="20"/>
          <w:szCs w:val="20"/>
        </w:rPr>
        <w:t>,</w:t>
      </w:r>
      <w:r w:rsidR="00E0781A">
        <w:rPr>
          <w:rFonts w:ascii="Times New Roman" w:eastAsia="Times New Roman" w:hAnsi="Times New Roman"/>
          <w:bCs/>
          <w:spacing w:val="1"/>
          <w:position w:val="-1"/>
          <w:sz w:val="20"/>
          <w:szCs w:val="20"/>
        </w:rPr>
        <w:t> </w:t>
      </w:r>
      <w:r w:rsidR="00945D7B" w:rsidRPr="00921852">
        <w:rPr>
          <w:rFonts w:ascii="Times New Roman" w:eastAsia="Times New Roman" w:hAnsi="Times New Roman"/>
          <w:bCs/>
          <w:spacing w:val="1"/>
          <w:position w:val="-1"/>
          <w:sz w:val="20"/>
          <w:szCs w:val="20"/>
        </w:rPr>
        <w:t>available</w:t>
      </w:r>
      <w:r w:rsidR="00E0781A">
        <w:rPr>
          <w:rFonts w:ascii="Times New Roman" w:eastAsia="Times New Roman" w:hAnsi="Times New Roman"/>
          <w:bCs/>
          <w:spacing w:val="1"/>
          <w:position w:val="-1"/>
          <w:sz w:val="20"/>
          <w:szCs w:val="20"/>
        </w:rPr>
        <w:t> </w:t>
      </w:r>
      <w:r w:rsidR="00945D7B" w:rsidRPr="00921852">
        <w:rPr>
          <w:rFonts w:ascii="Times New Roman" w:eastAsia="Times New Roman" w:hAnsi="Times New Roman"/>
          <w:bCs/>
          <w:spacing w:val="1"/>
          <w:position w:val="-1"/>
          <w:sz w:val="20"/>
          <w:szCs w:val="20"/>
        </w:rPr>
        <w:t>at</w:t>
      </w:r>
      <w:r w:rsidR="00E0781A">
        <w:rPr>
          <w:rFonts w:ascii="Times New Roman" w:eastAsia="Times New Roman" w:hAnsi="Times New Roman"/>
          <w:bCs/>
          <w:spacing w:val="1"/>
          <w:position w:val="-1"/>
          <w:sz w:val="20"/>
          <w:szCs w:val="20"/>
        </w:rPr>
        <w:t>:</w:t>
      </w:r>
      <w:r w:rsidR="00945D7B" w:rsidRPr="00921852">
        <w:rPr>
          <w:rFonts w:ascii="Times New Roman" w:eastAsia="Times New Roman" w:hAnsi="Times New Roman"/>
          <w:bCs/>
          <w:spacing w:val="1"/>
          <w:position w:val="-1"/>
          <w:sz w:val="20"/>
          <w:szCs w:val="20"/>
        </w:rPr>
        <w:t xml:space="preserve"> </w:t>
      </w:r>
      <w:hyperlink r:id="rId14" w:history="1">
        <w:r w:rsidR="00E0781A" w:rsidRPr="00904C86">
          <w:rPr>
            <w:rStyle w:val="Hyperlink"/>
            <w:rFonts w:ascii="Times New Roman" w:eastAsia="Times New Roman" w:hAnsi="Times New Roman"/>
            <w:bCs/>
            <w:color w:val="auto"/>
            <w:spacing w:val="1"/>
            <w:position w:val="-1"/>
            <w:sz w:val="20"/>
            <w:szCs w:val="20"/>
            <w:u w:val="none"/>
          </w:rPr>
          <w:t>http://www.ilo.org/dyn/icsc/showcard.display?p_lang=en&amp;p_card_id=0184</w:t>
        </w:r>
      </w:hyperlink>
      <w:r w:rsidR="00E0781A" w:rsidRPr="00136B4D" w:rsidDel="00E0781A">
        <w:rPr>
          <w:rFonts w:ascii="Times New Roman" w:eastAsia="Times New Roman" w:hAnsi="Times New Roman"/>
          <w:bCs/>
          <w:spacing w:val="1"/>
          <w:position w:val="-1"/>
          <w:sz w:val="20"/>
          <w:szCs w:val="20"/>
        </w:rPr>
        <w:t xml:space="preserve"> </w:t>
      </w:r>
      <w:r w:rsidR="00945D7B" w:rsidRPr="00136B4D">
        <w:rPr>
          <w:rFonts w:ascii="Times New Roman" w:eastAsia="Times New Roman" w:hAnsi="Times New Roman"/>
          <w:bCs/>
          <w:spacing w:val="1"/>
          <w:position w:val="-1"/>
          <w:sz w:val="20"/>
          <w:szCs w:val="20"/>
        </w:rPr>
        <w:t>(acc</w:t>
      </w:r>
      <w:r w:rsidR="00945D7B" w:rsidRPr="00921852">
        <w:rPr>
          <w:rFonts w:ascii="Times New Roman" w:eastAsia="Times New Roman" w:hAnsi="Times New Roman"/>
          <w:bCs/>
          <w:spacing w:val="1"/>
          <w:position w:val="-1"/>
          <w:sz w:val="20"/>
          <w:szCs w:val="20"/>
        </w:rPr>
        <w:t>essed Ju</w:t>
      </w:r>
      <w:r w:rsidR="00D551BF">
        <w:rPr>
          <w:rFonts w:ascii="Times New Roman" w:eastAsia="Times New Roman" w:hAnsi="Times New Roman"/>
          <w:bCs/>
          <w:spacing w:val="1"/>
          <w:position w:val="-1"/>
          <w:sz w:val="20"/>
          <w:szCs w:val="20"/>
        </w:rPr>
        <w:t>n</w:t>
      </w:r>
      <w:r w:rsidR="007F72BA">
        <w:rPr>
          <w:rFonts w:ascii="Times New Roman" w:eastAsia="Times New Roman" w:hAnsi="Times New Roman"/>
          <w:bCs/>
          <w:spacing w:val="1"/>
          <w:position w:val="-1"/>
          <w:sz w:val="20"/>
          <w:szCs w:val="20"/>
        </w:rPr>
        <w:t> </w:t>
      </w:r>
      <w:r w:rsidR="00945D7B" w:rsidRPr="00921852">
        <w:rPr>
          <w:rFonts w:ascii="Times New Roman" w:eastAsia="Times New Roman" w:hAnsi="Times New Roman"/>
          <w:bCs/>
          <w:spacing w:val="1"/>
          <w:position w:val="-1"/>
          <w:sz w:val="20"/>
          <w:szCs w:val="20"/>
        </w:rPr>
        <w:t>201</w:t>
      </w:r>
      <w:r w:rsidR="00D551BF">
        <w:rPr>
          <w:rFonts w:ascii="Times New Roman" w:eastAsia="Times New Roman" w:hAnsi="Times New Roman"/>
          <w:bCs/>
          <w:spacing w:val="1"/>
          <w:position w:val="-1"/>
          <w:sz w:val="20"/>
          <w:szCs w:val="20"/>
        </w:rPr>
        <w:t>4</w:t>
      </w:r>
      <w:r w:rsidR="00945D7B" w:rsidRPr="00921852">
        <w:rPr>
          <w:rFonts w:ascii="Times New Roman" w:eastAsia="Times New Roman" w:hAnsi="Times New Roman"/>
          <w:bCs/>
          <w:spacing w:val="1"/>
          <w:position w:val="-1"/>
          <w:sz w:val="20"/>
          <w:szCs w:val="20"/>
        </w:rPr>
        <w:t>).</w:t>
      </w:r>
    </w:p>
    <w:p w14:paraId="5B633763" w14:textId="1F57CB1D" w:rsidR="009E5C8E" w:rsidRPr="00025695" w:rsidRDefault="009E5C8E" w:rsidP="009E5C8E">
      <w:pPr>
        <w:tabs>
          <w:tab w:val="left" w:pos="900"/>
        </w:tabs>
        <w:spacing w:before="120"/>
        <w:ind w:left="900" w:hanging="900"/>
        <w:rPr>
          <w:rFonts w:ascii="Times New Roman" w:eastAsia="Times New Roman" w:hAnsi="Times New Roman"/>
          <w:sz w:val="20"/>
          <w:szCs w:val="20"/>
        </w:rPr>
      </w:pPr>
      <w:r>
        <w:rPr>
          <w:rFonts w:ascii="Times New Roman" w:hAnsi="Times New Roman"/>
          <w:b/>
          <w:sz w:val="20"/>
          <w:szCs w:val="20"/>
        </w:rPr>
        <w:tab/>
      </w:r>
      <w:r>
        <w:rPr>
          <w:rFonts w:ascii="Times New Roman" w:eastAsia="Times New Roman" w:hAnsi="Times New Roman"/>
          <w:sz w:val="20"/>
          <w:szCs w:val="20"/>
        </w:rPr>
        <w:t>European Chemical</w:t>
      </w:r>
      <w:r w:rsidR="00E85E49">
        <w:rPr>
          <w:rFonts w:ascii="Times New Roman" w:eastAsia="Times New Roman" w:hAnsi="Times New Roman"/>
          <w:sz w:val="20"/>
          <w:szCs w:val="20"/>
        </w:rPr>
        <w:t>s</w:t>
      </w:r>
      <w:r>
        <w:rPr>
          <w:rFonts w:ascii="Times New Roman" w:eastAsia="Times New Roman" w:hAnsi="Times New Roman"/>
          <w:sz w:val="20"/>
          <w:szCs w:val="20"/>
        </w:rPr>
        <w:t xml:space="preserve"> Agency, </w:t>
      </w:r>
      <w:r w:rsidRPr="00513E5A">
        <w:rPr>
          <w:rFonts w:ascii="Times New Roman" w:hAnsi="Times New Roman"/>
          <w:sz w:val="20"/>
          <w:szCs w:val="20"/>
        </w:rPr>
        <w:t>Registered substance</w:t>
      </w:r>
      <w:r>
        <w:rPr>
          <w:rFonts w:ascii="Times New Roman" w:hAnsi="Times New Roman"/>
          <w:sz w:val="20"/>
          <w:szCs w:val="20"/>
        </w:rPr>
        <w:t>s</w:t>
      </w:r>
      <w:r>
        <w:rPr>
          <w:rFonts w:ascii="Times New Roman" w:eastAsia="Times New Roman" w:hAnsi="Times New Roman"/>
          <w:sz w:val="20"/>
          <w:szCs w:val="20"/>
        </w:rPr>
        <w:t xml:space="preserve">, </w:t>
      </w:r>
      <w:r>
        <w:rPr>
          <w:rFonts w:ascii="Times New Roman" w:eastAsia="Times New Roman" w:hAnsi="Times New Roman"/>
          <w:i/>
          <w:sz w:val="20"/>
          <w:szCs w:val="20"/>
        </w:rPr>
        <w:t xml:space="preserve">Potassium </w:t>
      </w:r>
      <w:r w:rsidR="0057262B">
        <w:rPr>
          <w:rFonts w:ascii="Times New Roman" w:eastAsia="Times New Roman" w:hAnsi="Times New Roman"/>
          <w:i/>
          <w:sz w:val="20"/>
          <w:szCs w:val="20"/>
        </w:rPr>
        <w:t>N</w:t>
      </w:r>
      <w:r>
        <w:rPr>
          <w:rFonts w:ascii="Times New Roman" w:eastAsia="Times New Roman" w:hAnsi="Times New Roman"/>
          <w:i/>
          <w:sz w:val="20"/>
          <w:szCs w:val="20"/>
        </w:rPr>
        <w:t>itrate</w:t>
      </w:r>
      <w:r w:rsidRPr="00025695">
        <w:rPr>
          <w:rFonts w:ascii="Times New Roman" w:eastAsia="Times New Roman" w:hAnsi="Times New Roman"/>
          <w:i/>
          <w:sz w:val="20"/>
          <w:szCs w:val="20"/>
        </w:rPr>
        <w:t>, CAS No.</w:t>
      </w:r>
      <w:r>
        <w:rPr>
          <w:rFonts w:ascii="Times New Roman" w:eastAsia="Times New Roman" w:hAnsi="Times New Roman"/>
          <w:i/>
          <w:sz w:val="20"/>
          <w:szCs w:val="20"/>
        </w:rPr>
        <w:t xml:space="preserve">7757-79-1, </w:t>
      </w:r>
      <w:r w:rsidRPr="00025695">
        <w:rPr>
          <w:rFonts w:ascii="Times New Roman" w:eastAsia="Times New Roman" w:hAnsi="Times New Roman"/>
          <w:sz w:val="20"/>
          <w:szCs w:val="20"/>
        </w:rPr>
        <w:t xml:space="preserve">available at </w:t>
      </w:r>
      <w:hyperlink r:id="rId15" w:history="1">
        <w:r w:rsidRPr="00025695">
          <w:rPr>
            <w:rStyle w:val="Hyperlink"/>
            <w:rFonts w:ascii="Times New Roman" w:eastAsia="Times New Roman" w:hAnsi="Times New Roman"/>
            <w:color w:val="auto"/>
            <w:sz w:val="20"/>
            <w:szCs w:val="20"/>
            <w:u w:val="none"/>
          </w:rPr>
          <w:t>http://echa.europa.eu/information-on-chemicals</w:t>
        </w:r>
      </w:hyperlink>
      <w:r>
        <w:rPr>
          <w:rFonts w:ascii="Times New Roman" w:eastAsia="Times New Roman" w:hAnsi="Times New Roman"/>
          <w:sz w:val="20"/>
          <w:szCs w:val="20"/>
        </w:rPr>
        <w:t xml:space="preserve"> (accessed Jun 2014).</w:t>
      </w:r>
    </w:p>
    <w:p w14:paraId="5F67213D" w14:textId="5D0DD459" w:rsidR="00296E4D" w:rsidRDefault="00296E4D"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5FCA2BD8" w14:textId="77777777" w:rsidR="00E85E49" w:rsidRDefault="00E85E49"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6A00D6B5" w14:textId="77777777" w:rsidR="00E85E49" w:rsidRDefault="00E85E49"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3D39C468" w14:textId="77777777" w:rsidR="00E85E49" w:rsidRDefault="00E85E49"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6C309DC6" w14:textId="77777777" w:rsidR="00E85E49" w:rsidRPr="00921852" w:rsidRDefault="00E85E49"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14:paraId="12731BBF" w14:textId="77777777" w:rsidR="00296E4D" w:rsidRDefault="002732BD" w:rsidP="00130CC0">
      <w:pPr>
        <w:tabs>
          <w:tab w:val="left" w:pos="900"/>
          <w:tab w:val="left" w:pos="2900"/>
          <w:tab w:val="left" w:pos="3360"/>
          <w:tab w:val="left" w:pos="4780"/>
          <w:tab w:val="left" w:pos="5340"/>
        </w:tabs>
        <w:spacing w:before="120" w:after="0" w:line="240" w:lineRule="auto"/>
        <w:jc w:val="both"/>
        <w:rPr>
          <w:rFonts w:ascii="Times New Roman" w:hAnsi="Times New Roman"/>
          <w:bCs/>
          <w:sz w:val="20"/>
          <w:szCs w:val="20"/>
        </w:rPr>
      </w:pPr>
      <w:r w:rsidRPr="005E4F60">
        <w:rPr>
          <w:rFonts w:ascii="Times New Roman" w:hAnsi="Times New Roman"/>
          <w:b/>
          <w:sz w:val="20"/>
          <w:szCs w:val="20"/>
        </w:rPr>
        <w:t>Key of Acronyms:</w:t>
      </w:r>
      <w:r w:rsidRPr="005E4F60">
        <w:rPr>
          <w:rFonts w:ascii="Times New Roman" w:hAnsi="Times New Roman"/>
          <w:bCs/>
          <w:sz w:val="20"/>
          <w:szCs w:val="20"/>
        </w:rPr>
        <w:t xml:space="preserve">  </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C84E3B" w:rsidRPr="00C84E3B" w14:paraId="12B28A1F" w14:textId="77777777" w:rsidTr="00B448C3">
        <w:trPr>
          <w:trHeight w:val="197"/>
        </w:trPr>
        <w:tc>
          <w:tcPr>
            <w:tcW w:w="1024" w:type="dxa"/>
          </w:tcPr>
          <w:p w14:paraId="64FC2828" w14:textId="77777777" w:rsidR="00C84E3B" w:rsidRPr="00C84E3B" w:rsidRDefault="00C84E3B" w:rsidP="00C84E3B">
            <w:pPr>
              <w:widowControl/>
              <w:spacing w:after="0" w:line="240" w:lineRule="auto"/>
              <w:ind w:right="-86"/>
              <w:contextualSpacing/>
              <w:rPr>
                <w:sz w:val="16"/>
                <w:szCs w:val="16"/>
              </w:rPr>
            </w:pPr>
            <w:r w:rsidRPr="00C84E3B">
              <w:rPr>
                <w:sz w:val="16"/>
                <w:szCs w:val="16"/>
              </w:rPr>
              <w:t>ACGIH</w:t>
            </w:r>
          </w:p>
        </w:tc>
        <w:tc>
          <w:tcPr>
            <w:tcW w:w="3584" w:type="dxa"/>
          </w:tcPr>
          <w:p w14:paraId="389D6218" w14:textId="77777777" w:rsidR="00C84E3B" w:rsidRPr="00C84E3B" w:rsidRDefault="00C84E3B" w:rsidP="00C84E3B">
            <w:pPr>
              <w:widowControl/>
              <w:spacing w:after="0" w:line="240" w:lineRule="auto"/>
              <w:ind w:right="-86"/>
              <w:contextualSpacing/>
              <w:rPr>
                <w:sz w:val="16"/>
                <w:szCs w:val="16"/>
              </w:rPr>
            </w:pPr>
            <w:r w:rsidRPr="00C84E3B">
              <w:rPr>
                <w:sz w:val="16"/>
                <w:szCs w:val="16"/>
              </w:rPr>
              <w:t>American Conference of Government</w:t>
            </w:r>
            <w:r w:rsidR="000E3B6D">
              <w:rPr>
                <w:sz w:val="16"/>
                <w:szCs w:val="16"/>
              </w:rPr>
              <w:t>al</w:t>
            </w:r>
            <w:r w:rsidRPr="00C84E3B">
              <w:rPr>
                <w:sz w:val="16"/>
                <w:szCs w:val="16"/>
              </w:rPr>
              <w:t xml:space="preserve"> Industrial Hygienists</w:t>
            </w:r>
          </w:p>
        </w:tc>
        <w:tc>
          <w:tcPr>
            <w:tcW w:w="1051" w:type="dxa"/>
          </w:tcPr>
          <w:p w14:paraId="08C90B36" w14:textId="77777777" w:rsidR="00C84E3B" w:rsidRPr="00C84E3B" w:rsidRDefault="00C84E3B" w:rsidP="00C84E3B">
            <w:pPr>
              <w:widowControl/>
              <w:spacing w:after="0" w:line="240" w:lineRule="auto"/>
              <w:ind w:right="-86"/>
              <w:contextualSpacing/>
              <w:rPr>
                <w:sz w:val="16"/>
                <w:szCs w:val="16"/>
              </w:rPr>
            </w:pPr>
            <w:r w:rsidRPr="00C84E3B">
              <w:rPr>
                <w:sz w:val="16"/>
                <w:szCs w:val="16"/>
              </w:rPr>
              <w:t>NRC</w:t>
            </w:r>
          </w:p>
        </w:tc>
        <w:tc>
          <w:tcPr>
            <w:tcW w:w="3542" w:type="dxa"/>
          </w:tcPr>
          <w:p w14:paraId="23BFDDF3" w14:textId="77777777" w:rsidR="00C84E3B" w:rsidRPr="00C84E3B" w:rsidRDefault="00C84E3B" w:rsidP="00C84E3B">
            <w:pPr>
              <w:widowControl/>
              <w:spacing w:after="0" w:line="240" w:lineRule="auto"/>
              <w:ind w:right="-86"/>
              <w:contextualSpacing/>
              <w:rPr>
                <w:sz w:val="16"/>
                <w:szCs w:val="16"/>
              </w:rPr>
            </w:pPr>
            <w:r w:rsidRPr="00C84E3B">
              <w:rPr>
                <w:sz w:val="16"/>
                <w:szCs w:val="16"/>
              </w:rPr>
              <w:t>Nuclear Regulatory Commission</w:t>
            </w:r>
          </w:p>
        </w:tc>
      </w:tr>
      <w:tr w:rsidR="00C84E3B" w:rsidRPr="00C84E3B" w14:paraId="04B42D86" w14:textId="77777777" w:rsidTr="00B448C3">
        <w:trPr>
          <w:trHeight w:val="144"/>
        </w:trPr>
        <w:tc>
          <w:tcPr>
            <w:tcW w:w="1024" w:type="dxa"/>
          </w:tcPr>
          <w:p w14:paraId="66698EBE" w14:textId="77777777" w:rsidR="00C84E3B" w:rsidRPr="00C84E3B" w:rsidRDefault="00C84E3B" w:rsidP="00C84E3B">
            <w:pPr>
              <w:widowControl/>
              <w:spacing w:after="0" w:line="240" w:lineRule="auto"/>
              <w:ind w:right="-86"/>
              <w:contextualSpacing/>
              <w:rPr>
                <w:sz w:val="16"/>
                <w:szCs w:val="16"/>
              </w:rPr>
            </w:pPr>
            <w:r w:rsidRPr="00C84E3B">
              <w:rPr>
                <w:sz w:val="16"/>
                <w:szCs w:val="16"/>
              </w:rPr>
              <w:t>ALI</w:t>
            </w:r>
          </w:p>
        </w:tc>
        <w:tc>
          <w:tcPr>
            <w:tcW w:w="3584" w:type="dxa"/>
          </w:tcPr>
          <w:p w14:paraId="7A95F3CC" w14:textId="77777777" w:rsidR="00C84E3B" w:rsidRPr="00C84E3B" w:rsidRDefault="00C84E3B" w:rsidP="00C84E3B">
            <w:pPr>
              <w:widowControl/>
              <w:spacing w:after="0" w:line="240" w:lineRule="auto"/>
              <w:ind w:right="-86"/>
              <w:contextualSpacing/>
              <w:rPr>
                <w:sz w:val="16"/>
                <w:szCs w:val="16"/>
              </w:rPr>
            </w:pPr>
            <w:r w:rsidRPr="00C84E3B">
              <w:rPr>
                <w:sz w:val="16"/>
                <w:szCs w:val="16"/>
              </w:rPr>
              <w:t>Annual Limit on Intake</w:t>
            </w:r>
          </w:p>
        </w:tc>
        <w:tc>
          <w:tcPr>
            <w:tcW w:w="1051" w:type="dxa"/>
          </w:tcPr>
          <w:p w14:paraId="65B6E513" w14:textId="77777777" w:rsidR="00C84E3B" w:rsidRPr="00C84E3B" w:rsidRDefault="00C84E3B" w:rsidP="00C84E3B">
            <w:pPr>
              <w:widowControl/>
              <w:spacing w:after="0" w:line="240" w:lineRule="auto"/>
              <w:ind w:right="-86"/>
              <w:contextualSpacing/>
              <w:rPr>
                <w:sz w:val="16"/>
                <w:szCs w:val="16"/>
              </w:rPr>
            </w:pPr>
            <w:r w:rsidRPr="00C84E3B">
              <w:rPr>
                <w:sz w:val="16"/>
                <w:szCs w:val="16"/>
              </w:rPr>
              <w:t>NTP</w:t>
            </w:r>
            <w:r w:rsidRPr="00C84E3B" w:rsidDel="00D91361">
              <w:rPr>
                <w:sz w:val="16"/>
                <w:szCs w:val="16"/>
              </w:rPr>
              <w:t xml:space="preserve"> </w:t>
            </w:r>
          </w:p>
        </w:tc>
        <w:tc>
          <w:tcPr>
            <w:tcW w:w="3542" w:type="dxa"/>
          </w:tcPr>
          <w:p w14:paraId="347EEF6E" w14:textId="77777777" w:rsidR="00C84E3B" w:rsidRPr="00C84E3B" w:rsidRDefault="00C84E3B" w:rsidP="00C84E3B">
            <w:pPr>
              <w:widowControl/>
              <w:spacing w:after="0" w:line="240" w:lineRule="auto"/>
              <w:ind w:right="-86"/>
              <w:contextualSpacing/>
              <w:rPr>
                <w:sz w:val="16"/>
                <w:szCs w:val="16"/>
              </w:rPr>
            </w:pPr>
            <w:r w:rsidRPr="00C84E3B">
              <w:rPr>
                <w:sz w:val="16"/>
                <w:szCs w:val="16"/>
              </w:rPr>
              <w:t>National Toxicology Program</w:t>
            </w:r>
          </w:p>
        </w:tc>
      </w:tr>
      <w:tr w:rsidR="00C84E3B" w:rsidRPr="00C84E3B" w14:paraId="1F9CBDE6" w14:textId="77777777" w:rsidTr="00B448C3">
        <w:trPr>
          <w:trHeight w:val="144"/>
        </w:trPr>
        <w:tc>
          <w:tcPr>
            <w:tcW w:w="1024" w:type="dxa"/>
          </w:tcPr>
          <w:p w14:paraId="0F432A00" w14:textId="77777777" w:rsidR="00C84E3B" w:rsidRPr="00C84E3B" w:rsidRDefault="00C84E3B" w:rsidP="00C84E3B">
            <w:pPr>
              <w:widowControl/>
              <w:spacing w:after="0" w:line="240" w:lineRule="auto"/>
              <w:ind w:right="-90"/>
              <w:contextualSpacing/>
              <w:rPr>
                <w:sz w:val="16"/>
                <w:szCs w:val="16"/>
              </w:rPr>
            </w:pPr>
            <w:r w:rsidRPr="00C84E3B">
              <w:rPr>
                <w:sz w:val="16"/>
                <w:szCs w:val="16"/>
              </w:rPr>
              <w:t>CAS</w:t>
            </w:r>
            <w:r w:rsidRPr="00C84E3B" w:rsidDel="00D91361">
              <w:rPr>
                <w:sz w:val="16"/>
                <w:szCs w:val="16"/>
              </w:rPr>
              <w:t xml:space="preserve"> </w:t>
            </w:r>
          </w:p>
        </w:tc>
        <w:tc>
          <w:tcPr>
            <w:tcW w:w="3584" w:type="dxa"/>
          </w:tcPr>
          <w:p w14:paraId="1EAEFDF2" w14:textId="77777777" w:rsidR="00C84E3B" w:rsidRPr="00C84E3B" w:rsidRDefault="00C84E3B" w:rsidP="00C84E3B">
            <w:pPr>
              <w:widowControl/>
              <w:spacing w:after="0" w:line="240" w:lineRule="auto"/>
              <w:ind w:right="-90"/>
              <w:contextualSpacing/>
              <w:rPr>
                <w:sz w:val="16"/>
                <w:szCs w:val="16"/>
              </w:rPr>
            </w:pPr>
            <w:r w:rsidRPr="00C84E3B">
              <w:rPr>
                <w:sz w:val="16"/>
                <w:szCs w:val="16"/>
              </w:rPr>
              <w:t>Chemical Abstracts Service</w:t>
            </w:r>
            <w:r w:rsidRPr="00C84E3B" w:rsidDel="00D91361">
              <w:rPr>
                <w:sz w:val="16"/>
                <w:szCs w:val="16"/>
              </w:rPr>
              <w:t xml:space="preserve"> </w:t>
            </w:r>
          </w:p>
        </w:tc>
        <w:tc>
          <w:tcPr>
            <w:tcW w:w="1051" w:type="dxa"/>
          </w:tcPr>
          <w:p w14:paraId="3A50EC61" w14:textId="77777777" w:rsidR="00C84E3B" w:rsidRPr="00C84E3B" w:rsidRDefault="00C84E3B" w:rsidP="00C84E3B">
            <w:pPr>
              <w:widowControl/>
              <w:spacing w:after="0" w:line="240" w:lineRule="auto"/>
              <w:ind w:right="-90"/>
              <w:contextualSpacing/>
              <w:rPr>
                <w:sz w:val="16"/>
                <w:szCs w:val="16"/>
              </w:rPr>
            </w:pPr>
            <w:r w:rsidRPr="00C84E3B">
              <w:rPr>
                <w:sz w:val="16"/>
                <w:szCs w:val="16"/>
              </w:rPr>
              <w:t>OSHA</w:t>
            </w:r>
            <w:r w:rsidRPr="00C84E3B" w:rsidDel="00D91361">
              <w:rPr>
                <w:sz w:val="16"/>
                <w:szCs w:val="16"/>
              </w:rPr>
              <w:t xml:space="preserve"> </w:t>
            </w:r>
          </w:p>
        </w:tc>
        <w:tc>
          <w:tcPr>
            <w:tcW w:w="3542" w:type="dxa"/>
          </w:tcPr>
          <w:p w14:paraId="4D89194F" w14:textId="77777777" w:rsidR="00C84E3B" w:rsidRPr="00C84E3B" w:rsidRDefault="00C84E3B" w:rsidP="00C84E3B">
            <w:pPr>
              <w:widowControl/>
              <w:spacing w:after="0" w:line="240" w:lineRule="auto"/>
              <w:ind w:right="-90"/>
              <w:contextualSpacing/>
              <w:rPr>
                <w:sz w:val="16"/>
                <w:szCs w:val="16"/>
              </w:rPr>
            </w:pPr>
            <w:r w:rsidRPr="00C84E3B">
              <w:rPr>
                <w:sz w:val="16"/>
                <w:szCs w:val="16"/>
              </w:rPr>
              <w:t>Occupational Safety and Health Administration</w:t>
            </w:r>
            <w:r w:rsidRPr="00C84E3B" w:rsidDel="00D91361">
              <w:rPr>
                <w:sz w:val="16"/>
                <w:szCs w:val="16"/>
              </w:rPr>
              <w:t xml:space="preserve"> </w:t>
            </w:r>
          </w:p>
        </w:tc>
      </w:tr>
      <w:tr w:rsidR="00C84E3B" w:rsidRPr="00C84E3B" w14:paraId="379D854E" w14:textId="77777777" w:rsidTr="00B448C3">
        <w:trPr>
          <w:trHeight w:val="144"/>
        </w:trPr>
        <w:tc>
          <w:tcPr>
            <w:tcW w:w="1024" w:type="dxa"/>
          </w:tcPr>
          <w:p w14:paraId="5B2DDDFF" w14:textId="77777777" w:rsidR="00C84E3B" w:rsidRPr="00C84E3B" w:rsidRDefault="00C84E3B" w:rsidP="00C84E3B">
            <w:pPr>
              <w:widowControl/>
              <w:spacing w:after="0" w:line="240" w:lineRule="auto"/>
              <w:ind w:right="-90"/>
              <w:contextualSpacing/>
              <w:rPr>
                <w:sz w:val="16"/>
                <w:szCs w:val="16"/>
              </w:rPr>
            </w:pPr>
            <w:r w:rsidRPr="00C84E3B">
              <w:rPr>
                <w:sz w:val="16"/>
                <w:szCs w:val="16"/>
              </w:rPr>
              <w:t>CERCLA</w:t>
            </w:r>
            <w:r w:rsidRPr="00C84E3B" w:rsidDel="00D91361">
              <w:rPr>
                <w:sz w:val="16"/>
                <w:szCs w:val="16"/>
              </w:rPr>
              <w:t xml:space="preserve"> </w:t>
            </w:r>
          </w:p>
        </w:tc>
        <w:tc>
          <w:tcPr>
            <w:tcW w:w="3584" w:type="dxa"/>
          </w:tcPr>
          <w:p w14:paraId="09AA5762" w14:textId="77777777" w:rsidR="00C84E3B" w:rsidRPr="00C84E3B" w:rsidRDefault="00C84E3B" w:rsidP="00C84E3B">
            <w:pPr>
              <w:widowControl/>
              <w:spacing w:after="0" w:line="240" w:lineRule="auto"/>
              <w:ind w:right="-90"/>
              <w:contextualSpacing/>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1051" w:type="dxa"/>
          </w:tcPr>
          <w:p w14:paraId="66E6F29C" w14:textId="77777777" w:rsidR="00C84E3B" w:rsidRPr="00C84E3B" w:rsidRDefault="00C84E3B" w:rsidP="00C84E3B">
            <w:pPr>
              <w:widowControl/>
              <w:spacing w:after="0" w:line="240" w:lineRule="auto"/>
              <w:ind w:right="-90"/>
              <w:contextualSpacing/>
              <w:rPr>
                <w:sz w:val="16"/>
                <w:szCs w:val="16"/>
              </w:rPr>
            </w:pPr>
            <w:r w:rsidRPr="00C84E3B">
              <w:rPr>
                <w:sz w:val="16"/>
                <w:szCs w:val="16"/>
              </w:rPr>
              <w:t>PEL</w:t>
            </w:r>
            <w:r w:rsidRPr="00C84E3B" w:rsidDel="00D91361">
              <w:rPr>
                <w:sz w:val="16"/>
                <w:szCs w:val="16"/>
              </w:rPr>
              <w:t xml:space="preserve"> </w:t>
            </w:r>
          </w:p>
        </w:tc>
        <w:tc>
          <w:tcPr>
            <w:tcW w:w="3542" w:type="dxa"/>
          </w:tcPr>
          <w:p w14:paraId="44F64AB9" w14:textId="5D8C4D98" w:rsidR="00C84E3B" w:rsidRPr="00C84E3B" w:rsidRDefault="00C84E3B" w:rsidP="00AF5903">
            <w:pPr>
              <w:widowControl/>
              <w:spacing w:after="0" w:line="240" w:lineRule="auto"/>
              <w:ind w:right="-90"/>
              <w:contextualSpacing/>
              <w:rPr>
                <w:sz w:val="16"/>
                <w:szCs w:val="16"/>
              </w:rPr>
            </w:pPr>
            <w:r w:rsidRPr="00C84E3B">
              <w:rPr>
                <w:sz w:val="16"/>
                <w:szCs w:val="16"/>
              </w:rPr>
              <w:t xml:space="preserve">Permissible Exposure </w:t>
            </w:r>
            <w:r w:rsidR="00AF5903" w:rsidRPr="00C84E3B">
              <w:rPr>
                <w:sz w:val="16"/>
                <w:szCs w:val="16"/>
              </w:rPr>
              <w:t>L</w:t>
            </w:r>
            <w:r w:rsidR="00AF5903">
              <w:rPr>
                <w:sz w:val="16"/>
                <w:szCs w:val="16"/>
              </w:rPr>
              <w:t>imit</w:t>
            </w:r>
          </w:p>
        </w:tc>
      </w:tr>
      <w:tr w:rsidR="00C84E3B" w:rsidRPr="00C84E3B" w14:paraId="74ECD7CF" w14:textId="77777777" w:rsidTr="00B448C3">
        <w:trPr>
          <w:trHeight w:val="144"/>
        </w:trPr>
        <w:tc>
          <w:tcPr>
            <w:tcW w:w="1024" w:type="dxa"/>
          </w:tcPr>
          <w:p w14:paraId="310FE2F8" w14:textId="77777777" w:rsidR="00C84E3B" w:rsidRPr="00C84E3B" w:rsidRDefault="00C84E3B" w:rsidP="00C84E3B">
            <w:pPr>
              <w:widowControl/>
              <w:spacing w:after="0" w:line="240" w:lineRule="auto"/>
              <w:ind w:right="-90"/>
              <w:contextualSpacing/>
              <w:rPr>
                <w:sz w:val="16"/>
                <w:szCs w:val="16"/>
              </w:rPr>
            </w:pPr>
            <w:r w:rsidRPr="00C84E3B">
              <w:rPr>
                <w:sz w:val="16"/>
                <w:szCs w:val="16"/>
              </w:rPr>
              <w:t>CFR</w:t>
            </w:r>
            <w:r w:rsidRPr="00C84E3B" w:rsidDel="00D91361">
              <w:rPr>
                <w:sz w:val="16"/>
                <w:szCs w:val="16"/>
              </w:rPr>
              <w:t xml:space="preserve"> </w:t>
            </w:r>
          </w:p>
        </w:tc>
        <w:tc>
          <w:tcPr>
            <w:tcW w:w="3584" w:type="dxa"/>
          </w:tcPr>
          <w:p w14:paraId="49831192" w14:textId="77777777" w:rsidR="00C84E3B" w:rsidRPr="00C84E3B" w:rsidRDefault="00C84E3B" w:rsidP="00C84E3B">
            <w:pPr>
              <w:widowControl/>
              <w:spacing w:after="0" w:line="240" w:lineRule="auto"/>
              <w:ind w:right="-90"/>
              <w:contextualSpacing/>
              <w:rPr>
                <w:sz w:val="16"/>
                <w:szCs w:val="16"/>
              </w:rPr>
            </w:pPr>
            <w:r w:rsidRPr="00C84E3B">
              <w:rPr>
                <w:sz w:val="16"/>
                <w:szCs w:val="16"/>
              </w:rPr>
              <w:t>Code of Federal Regulations</w:t>
            </w:r>
            <w:r w:rsidRPr="00C84E3B" w:rsidDel="00D91361">
              <w:rPr>
                <w:sz w:val="16"/>
                <w:szCs w:val="16"/>
              </w:rPr>
              <w:t xml:space="preserve"> </w:t>
            </w:r>
          </w:p>
        </w:tc>
        <w:tc>
          <w:tcPr>
            <w:tcW w:w="1051" w:type="dxa"/>
          </w:tcPr>
          <w:p w14:paraId="4445E0D6" w14:textId="77777777" w:rsidR="00C84E3B" w:rsidRPr="00C84E3B" w:rsidRDefault="00C84E3B" w:rsidP="00C84E3B">
            <w:pPr>
              <w:widowControl/>
              <w:spacing w:after="0" w:line="240" w:lineRule="auto"/>
              <w:ind w:right="-90"/>
              <w:contextualSpacing/>
              <w:rPr>
                <w:sz w:val="16"/>
                <w:szCs w:val="16"/>
              </w:rPr>
            </w:pPr>
            <w:r w:rsidRPr="00C84E3B">
              <w:rPr>
                <w:sz w:val="16"/>
                <w:szCs w:val="16"/>
              </w:rPr>
              <w:t>RCRA</w:t>
            </w:r>
            <w:r w:rsidRPr="00C84E3B" w:rsidDel="00D91361">
              <w:rPr>
                <w:sz w:val="16"/>
                <w:szCs w:val="16"/>
              </w:rPr>
              <w:t xml:space="preserve"> </w:t>
            </w:r>
          </w:p>
        </w:tc>
        <w:tc>
          <w:tcPr>
            <w:tcW w:w="3542" w:type="dxa"/>
          </w:tcPr>
          <w:p w14:paraId="47CF4091" w14:textId="77777777" w:rsidR="00C84E3B" w:rsidRPr="00C84E3B" w:rsidRDefault="00C84E3B" w:rsidP="00C84E3B">
            <w:pPr>
              <w:widowControl/>
              <w:spacing w:after="0" w:line="240" w:lineRule="auto"/>
              <w:ind w:right="-90"/>
              <w:contextualSpacing/>
              <w:rPr>
                <w:sz w:val="16"/>
                <w:szCs w:val="16"/>
              </w:rPr>
            </w:pPr>
            <w:r w:rsidRPr="00C84E3B">
              <w:rPr>
                <w:sz w:val="16"/>
                <w:szCs w:val="16"/>
              </w:rPr>
              <w:t>Resource Conservation and Recovery Act</w:t>
            </w:r>
            <w:r w:rsidRPr="00C84E3B" w:rsidDel="00D91361">
              <w:rPr>
                <w:sz w:val="16"/>
                <w:szCs w:val="16"/>
              </w:rPr>
              <w:t xml:space="preserve"> </w:t>
            </w:r>
          </w:p>
        </w:tc>
      </w:tr>
      <w:tr w:rsidR="00C84E3B" w:rsidRPr="00C84E3B" w14:paraId="7691C37E" w14:textId="77777777" w:rsidTr="00B448C3">
        <w:trPr>
          <w:trHeight w:val="144"/>
        </w:trPr>
        <w:tc>
          <w:tcPr>
            <w:tcW w:w="1024" w:type="dxa"/>
          </w:tcPr>
          <w:p w14:paraId="3D2017EF" w14:textId="77777777" w:rsidR="00C84E3B" w:rsidRPr="00C84E3B" w:rsidRDefault="00C84E3B" w:rsidP="00C84E3B">
            <w:pPr>
              <w:widowControl/>
              <w:spacing w:after="0" w:line="240" w:lineRule="auto"/>
              <w:ind w:right="-90"/>
              <w:contextualSpacing/>
              <w:rPr>
                <w:sz w:val="16"/>
                <w:szCs w:val="16"/>
              </w:rPr>
            </w:pPr>
            <w:r w:rsidRPr="00C84E3B">
              <w:rPr>
                <w:sz w:val="16"/>
                <w:szCs w:val="16"/>
              </w:rPr>
              <w:t>DOT</w:t>
            </w:r>
            <w:r w:rsidRPr="00C84E3B" w:rsidDel="00D91361">
              <w:rPr>
                <w:sz w:val="16"/>
                <w:szCs w:val="16"/>
              </w:rPr>
              <w:t xml:space="preserve"> </w:t>
            </w:r>
          </w:p>
        </w:tc>
        <w:tc>
          <w:tcPr>
            <w:tcW w:w="3584" w:type="dxa"/>
          </w:tcPr>
          <w:p w14:paraId="13430FDB" w14:textId="77777777" w:rsidR="00C84E3B" w:rsidRPr="00C84E3B" w:rsidRDefault="00C84E3B" w:rsidP="00C84E3B">
            <w:pPr>
              <w:widowControl/>
              <w:spacing w:after="0" w:line="240" w:lineRule="auto"/>
              <w:ind w:right="-90"/>
              <w:contextualSpacing/>
              <w:rPr>
                <w:sz w:val="16"/>
                <w:szCs w:val="16"/>
              </w:rPr>
            </w:pPr>
            <w:r w:rsidRPr="00C84E3B">
              <w:rPr>
                <w:sz w:val="16"/>
                <w:szCs w:val="16"/>
              </w:rPr>
              <w:t>Department of Transportation</w:t>
            </w:r>
            <w:r w:rsidRPr="00C84E3B" w:rsidDel="00D91361">
              <w:rPr>
                <w:sz w:val="16"/>
                <w:szCs w:val="16"/>
              </w:rPr>
              <w:t xml:space="preserve"> </w:t>
            </w:r>
          </w:p>
        </w:tc>
        <w:tc>
          <w:tcPr>
            <w:tcW w:w="1051" w:type="dxa"/>
          </w:tcPr>
          <w:p w14:paraId="0EC40AD8" w14:textId="77777777" w:rsidR="00C84E3B" w:rsidRPr="00C84E3B" w:rsidRDefault="00C84E3B" w:rsidP="00C84E3B">
            <w:pPr>
              <w:widowControl/>
              <w:spacing w:after="0" w:line="240" w:lineRule="auto"/>
              <w:ind w:right="-90"/>
              <w:contextualSpacing/>
              <w:rPr>
                <w:sz w:val="16"/>
                <w:szCs w:val="16"/>
              </w:rPr>
            </w:pPr>
            <w:r w:rsidRPr="00C84E3B">
              <w:rPr>
                <w:sz w:val="16"/>
                <w:szCs w:val="16"/>
              </w:rPr>
              <w:t>REL</w:t>
            </w:r>
            <w:r w:rsidRPr="00C84E3B" w:rsidDel="00D91361">
              <w:rPr>
                <w:sz w:val="16"/>
                <w:szCs w:val="16"/>
              </w:rPr>
              <w:t xml:space="preserve"> </w:t>
            </w:r>
          </w:p>
        </w:tc>
        <w:tc>
          <w:tcPr>
            <w:tcW w:w="3542" w:type="dxa"/>
          </w:tcPr>
          <w:p w14:paraId="11E0C27C" w14:textId="77777777" w:rsidR="00C84E3B" w:rsidRPr="00C84E3B" w:rsidRDefault="00C84E3B" w:rsidP="00C84E3B">
            <w:pPr>
              <w:widowControl/>
              <w:spacing w:after="0" w:line="240" w:lineRule="auto"/>
              <w:ind w:right="-90"/>
              <w:contextualSpacing/>
              <w:rPr>
                <w:sz w:val="16"/>
                <w:szCs w:val="16"/>
              </w:rPr>
            </w:pPr>
            <w:r w:rsidRPr="00C84E3B">
              <w:rPr>
                <w:sz w:val="16"/>
                <w:szCs w:val="16"/>
              </w:rPr>
              <w:t>Recommended Exposure Limit</w:t>
            </w:r>
            <w:r w:rsidRPr="00C84E3B" w:rsidDel="00D91361">
              <w:rPr>
                <w:sz w:val="16"/>
                <w:szCs w:val="16"/>
              </w:rPr>
              <w:t xml:space="preserve"> </w:t>
            </w:r>
          </w:p>
        </w:tc>
      </w:tr>
      <w:tr w:rsidR="00C84E3B" w:rsidRPr="00C84E3B" w14:paraId="1AB9290C" w14:textId="77777777" w:rsidTr="00B448C3">
        <w:trPr>
          <w:trHeight w:val="144"/>
        </w:trPr>
        <w:tc>
          <w:tcPr>
            <w:tcW w:w="1024" w:type="dxa"/>
          </w:tcPr>
          <w:p w14:paraId="5105BEAB" w14:textId="77777777" w:rsidR="00C84E3B" w:rsidRPr="00C84E3B" w:rsidRDefault="00C84E3B" w:rsidP="00C84E3B">
            <w:pPr>
              <w:widowControl/>
              <w:spacing w:after="0" w:line="240" w:lineRule="auto"/>
              <w:ind w:right="-90"/>
              <w:contextualSpacing/>
              <w:rPr>
                <w:sz w:val="16"/>
                <w:szCs w:val="16"/>
              </w:rPr>
            </w:pPr>
            <w:r w:rsidRPr="00C84E3B">
              <w:rPr>
                <w:sz w:val="16"/>
                <w:szCs w:val="16"/>
              </w:rPr>
              <w:t>EC50</w:t>
            </w:r>
          </w:p>
        </w:tc>
        <w:tc>
          <w:tcPr>
            <w:tcW w:w="3584" w:type="dxa"/>
          </w:tcPr>
          <w:p w14:paraId="647096BD" w14:textId="77777777" w:rsidR="00C84E3B" w:rsidRPr="00C84E3B" w:rsidRDefault="00C84E3B" w:rsidP="00C84E3B">
            <w:pPr>
              <w:widowControl/>
              <w:spacing w:after="0" w:line="240" w:lineRule="auto"/>
              <w:ind w:right="-90"/>
              <w:contextualSpacing/>
              <w:rPr>
                <w:sz w:val="16"/>
                <w:szCs w:val="16"/>
              </w:rPr>
            </w:pPr>
            <w:r w:rsidRPr="00C84E3B">
              <w:rPr>
                <w:sz w:val="16"/>
                <w:szCs w:val="16"/>
              </w:rPr>
              <w:t>Effective Concentration, 50%</w:t>
            </w:r>
          </w:p>
        </w:tc>
        <w:tc>
          <w:tcPr>
            <w:tcW w:w="1051" w:type="dxa"/>
          </w:tcPr>
          <w:p w14:paraId="4E53AAB9" w14:textId="77777777" w:rsidR="00C84E3B" w:rsidRPr="00C84E3B" w:rsidRDefault="00C84E3B" w:rsidP="00C84E3B">
            <w:pPr>
              <w:widowControl/>
              <w:spacing w:after="0" w:line="240" w:lineRule="auto"/>
              <w:ind w:right="-90"/>
              <w:contextualSpacing/>
              <w:rPr>
                <w:sz w:val="16"/>
                <w:szCs w:val="16"/>
              </w:rPr>
            </w:pPr>
            <w:r w:rsidRPr="00C84E3B">
              <w:rPr>
                <w:sz w:val="16"/>
                <w:szCs w:val="16"/>
              </w:rPr>
              <w:t>RM</w:t>
            </w:r>
          </w:p>
        </w:tc>
        <w:tc>
          <w:tcPr>
            <w:tcW w:w="3542" w:type="dxa"/>
          </w:tcPr>
          <w:p w14:paraId="7AC961C8" w14:textId="77777777" w:rsidR="00C84E3B" w:rsidRPr="00C84E3B" w:rsidRDefault="00C84E3B" w:rsidP="00C84E3B">
            <w:pPr>
              <w:widowControl/>
              <w:spacing w:after="0" w:line="240" w:lineRule="auto"/>
              <w:ind w:right="-90"/>
              <w:contextualSpacing/>
              <w:rPr>
                <w:sz w:val="16"/>
                <w:szCs w:val="16"/>
              </w:rPr>
            </w:pPr>
            <w:r w:rsidRPr="00C84E3B">
              <w:rPr>
                <w:sz w:val="16"/>
                <w:szCs w:val="16"/>
              </w:rPr>
              <w:t>Reference Material</w:t>
            </w:r>
          </w:p>
        </w:tc>
      </w:tr>
      <w:tr w:rsidR="00C84E3B" w:rsidRPr="00C84E3B" w14:paraId="3999B0AD" w14:textId="77777777" w:rsidTr="00B448C3">
        <w:trPr>
          <w:trHeight w:val="144"/>
        </w:trPr>
        <w:tc>
          <w:tcPr>
            <w:tcW w:w="1024" w:type="dxa"/>
          </w:tcPr>
          <w:p w14:paraId="4C6880B5" w14:textId="77777777" w:rsidR="00C84E3B" w:rsidRPr="00C84E3B" w:rsidRDefault="00C84E3B" w:rsidP="00C84E3B">
            <w:pPr>
              <w:widowControl/>
              <w:spacing w:after="0" w:line="240" w:lineRule="auto"/>
              <w:ind w:right="-90"/>
              <w:contextualSpacing/>
              <w:rPr>
                <w:sz w:val="16"/>
                <w:szCs w:val="16"/>
              </w:rPr>
            </w:pPr>
            <w:r w:rsidRPr="00C84E3B">
              <w:rPr>
                <w:sz w:val="16"/>
                <w:szCs w:val="16"/>
              </w:rPr>
              <w:t>EINECS</w:t>
            </w:r>
          </w:p>
        </w:tc>
        <w:tc>
          <w:tcPr>
            <w:tcW w:w="3584" w:type="dxa"/>
          </w:tcPr>
          <w:p w14:paraId="601E874E" w14:textId="77777777" w:rsidR="00C84E3B" w:rsidRPr="00C84E3B" w:rsidRDefault="00C84E3B" w:rsidP="00C84E3B">
            <w:pPr>
              <w:widowControl/>
              <w:spacing w:after="0" w:line="240" w:lineRule="auto"/>
              <w:ind w:right="-90"/>
              <w:contextualSpacing/>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1051" w:type="dxa"/>
          </w:tcPr>
          <w:p w14:paraId="0E39963A" w14:textId="77777777" w:rsidR="00C84E3B" w:rsidRPr="00C84E3B" w:rsidRDefault="00C84E3B" w:rsidP="00C84E3B">
            <w:pPr>
              <w:widowControl/>
              <w:spacing w:after="0" w:line="240" w:lineRule="auto"/>
              <w:ind w:right="-90"/>
              <w:contextualSpacing/>
              <w:rPr>
                <w:sz w:val="16"/>
                <w:szCs w:val="16"/>
              </w:rPr>
            </w:pPr>
            <w:r w:rsidRPr="00C84E3B">
              <w:rPr>
                <w:sz w:val="16"/>
                <w:szCs w:val="16"/>
              </w:rPr>
              <w:t>RQ</w:t>
            </w:r>
            <w:r w:rsidRPr="00C84E3B" w:rsidDel="00D91361">
              <w:rPr>
                <w:sz w:val="16"/>
                <w:szCs w:val="16"/>
              </w:rPr>
              <w:t xml:space="preserve"> </w:t>
            </w:r>
          </w:p>
        </w:tc>
        <w:tc>
          <w:tcPr>
            <w:tcW w:w="3542" w:type="dxa"/>
          </w:tcPr>
          <w:p w14:paraId="5244EF35" w14:textId="77777777" w:rsidR="00C84E3B" w:rsidRPr="00C84E3B" w:rsidRDefault="00C84E3B" w:rsidP="00C84E3B">
            <w:pPr>
              <w:widowControl/>
              <w:spacing w:after="0" w:line="240" w:lineRule="auto"/>
              <w:ind w:right="-90"/>
              <w:contextualSpacing/>
              <w:rPr>
                <w:sz w:val="16"/>
                <w:szCs w:val="16"/>
              </w:rPr>
            </w:pPr>
            <w:r w:rsidRPr="00C84E3B">
              <w:rPr>
                <w:sz w:val="16"/>
                <w:szCs w:val="16"/>
              </w:rPr>
              <w:t>Reportable Quantity</w:t>
            </w:r>
            <w:r w:rsidRPr="00C84E3B" w:rsidDel="00D91361">
              <w:rPr>
                <w:sz w:val="16"/>
                <w:szCs w:val="16"/>
              </w:rPr>
              <w:t xml:space="preserve"> </w:t>
            </w:r>
          </w:p>
        </w:tc>
      </w:tr>
      <w:tr w:rsidR="00C84E3B" w:rsidRPr="00C84E3B" w14:paraId="300DC206" w14:textId="77777777" w:rsidTr="00B448C3">
        <w:trPr>
          <w:trHeight w:val="144"/>
        </w:trPr>
        <w:tc>
          <w:tcPr>
            <w:tcW w:w="1024" w:type="dxa"/>
          </w:tcPr>
          <w:p w14:paraId="581BB051" w14:textId="77777777" w:rsidR="00C84E3B" w:rsidRPr="00C84E3B" w:rsidRDefault="00C84E3B" w:rsidP="00C84E3B">
            <w:pPr>
              <w:widowControl/>
              <w:spacing w:after="0" w:line="240" w:lineRule="auto"/>
              <w:ind w:right="-90"/>
              <w:contextualSpacing/>
              <w:rPr>
                <w:sz w:val="16"/>
                <w:szCs w:val="16"/>
              </w:rPr>
            </w:pPr>
            <w:r w:rsidRPr="00C84E3B">
              <w:rPr>
                <w:sz w:val="16"/>
                <w:szCs w:val="16"/>
              </w:rPr>
              <w:t>EPCRA</w:t>
            </w:r>
            <w:r w:rsidRPr="00C84E3B" w:rsidDel="00D91361">
              <w:rPr>
                <w:sz w:val="16"/>
                <w:szCs w:val="16"/>
              </w:rPr>
              <w:t xml:space="preserve"> </w:t>
            </w:r>
          </w:p>
        </w:tc>
        <w:tc>
          <w:tcPr>
            <w:tcW w:w="3584" w:type="dxa"/>
          </w:tcPr>
          <w:p w14:paraId="3947FA9A" w14:textId="77777777" w:rsidR="00C84E3B" w:rsidRPr="00C84E3B" w:rsidRDefault="00C84E3B" w:rsidP="00C84E3B">
            <w:pPr>
              <w:widowControl/>
              <w:spacing w:after="0" w:line="240" w:lineRule="auto"/>
              <w:ind w:right="-90"/>
              <w:contextualSpacing/>
              <w:rPr>
                <w:sz w:val="16"/>
                <w:szCs w:val="16"/>
              </w:rPr>
            </w:pPr>
            <w:r w:rsidRPr="00C84E3B">
              <w:rPr>
                <w:sz w:val="16"/>
                <w:szCs w:val="16"/>
              </w:rPr>
              <w:t>Emergency Planning and Community Right-to-Know Act</w:t>
            </w:r>
            <w:r w:rsidRPr="00C84E3B" w:rsidDel="00D91361">
              <w:rPr>
                <w:sz w:val="16"/>
                <w:szCs w:val="16"/>
              </w:rPr>
              <w:t xml:space="preserve"> </w:t>
            </w:r>
          </w:p>
        </w:tc>
        <w:tc>
          <w:tcPr>
            <w:tcW w:w="1051" w:type="dxa"/>
          </w:tcPr>
          <w:p w14:paraId="1965C45C" w14:textId="77777777" w:rsidR="00C84E3B" w:rsidRPr="00C84E3B" w:rsidRDefault="00C84E3B" w:rsidP="00C84E3B">
            <w:pPr>
              <w:widowControl/>
              <w:spacing w:after="0" w:line="240" w:lineRule="auto"/>
              <w:ind w:right="-90"/>
              <w:contextualSpacing/>
              <w:rPr>
                <w:sz w:val="16"/>
                <w:szCs w:val="16"/>
              </w:rPr>
            </w:pPr>
            <w:r w:rsidRPr="00C84E3B">
              <w:rPr>
                <w:sz w:val="16"/>
                <w:szCs w:val="16"/>
              </w:rPr>
              <w:t>RTECS</w:t>
            </w:r>
          </w:p>
        </w:tc>
        <w:tc>
          <w:tcPr>
            <w:tcW w:w="3542" w:type="dxa"/>
          </w:tcPr>
          <w:p w14:paraId="702AABCD" w14:textId="77777777" w:rsidR="00C84E3B" w:rsidRPr="00C84E3B" w:rsidRDefault="00C84E3B" w:rsidP="00C84E3B">
            <w:pPr>
              <w:widowControl/>
              <w:spacing w:after="0" w:line="240" w:lineRule="auto"/>
              <w:ind w:right="-90"/>
              <w:contextualSpacing/>
              <w:rPr>
                <w:sz w:val="16"/>
                <w:szCs w:val="16"/>
              </w:rPr>
            </w:pPr>
            <w:r w:rsidRPr="00C84E3B">
              <w:rPr>
                <w:sz w:val="16"/>
                <w:szCs w:val="16"/>
              </w:rPr>
              <w:t>Registry of Toxic Effects of Chemical Substances</w:t>
            </w:r>
          </w:p>
        </w:tc>
      </w:tr>
      <w:tr w:rsidR="00C84E3B" w:rsidRPr="00C84E3B" w14:paraId="5AF5D2F1" w14:textId="77777777" w:rsidTr="00B448C3">
        <w:trPr>
          <w:trHeight w:val="144"/>
        </w:trPr>
        <w:tc>
          <w:tcPr>
            <w:tcW w:w="1024" w:type="dxa"/>
          </w:tcPr>
          <w:p w14:paraId="1AD91F0C" w14:textId="77777777" w:rsidR="00C84E3B" w:rsidRPr="00C84E3B" w:rsidRDefault="00C84E3B" w:rsidP="00C84E3B">
            <w:pPr>
              <w:widowControl/>
              <w:spacing w:after="0" w:line="240" w:lineRule="auto"/>
              <w:ind w:right="-90"/>
              <w:contextualSpacing/>
              <w:rPr>
                <w:sz w:val="16"/>
                <w:szCs w:val="16"/>
              </w:rPr>
            </w:pPr>
            <w:r w:rsidRPr="00C84E3B">
              <w:rPr>
                <w:sz w:val="16"/>
                <w:szCs w:val="16"/>
              </w:rPr>
              <w:t>IARC</w:t>
            </w:r>
            <w:r w:rsidRPr="00C84E3B" w:rsidDel="00D91361">
              <w:rPr>
                <w:sz w:val="16"/>
                <w:szCs w:val="16"/>
              </w:rPr>
              <w:t xml:space="preserve"> </w:t>
            </w:r>
          </w:p>
        </w:tc>
        <w:tc>
          <w:tcPr>
            <w:tcW w:w="3584" w:type="dxa"/>
          </w:tcPr>
          <w:p w14:paraId="1688D20C" w14:textId="77777777" w:rsidR="00C84E3B" w:rsidRPr="00C84E3B" w:rsidRDefault="00C84E3B" w:rsidP="00C84E3B">
            <w:pPr>
              <w:widowControl/>
              <w:spacing w:after="0" w:line="240" w:lineRule="auto"/>
              <w:ind w:right="-90"/>
              <w:contextualSpacing/>
              <w:rPr>
                <w:sz w:val="16"/>
                <w:szCs w:val="16"/>
              </w:rPr>
            </w:pPr>
            <w:r w:rsidRPr="00C84E3B">
              <w:rPr>
                <w:sz w:val="16"/>
                <w:szCs w:val="16"/>
              </w:rPr>
              <w:t>International Agency for Research on Cancer</w:t>
            </w:r>
            <w:r w:rsidRPr="00C84E3B" w:rsidDel="00D91361">
              <w:rPr>
                <w:sz w:val="16"/>
                <w:szCs w:val="16"/>
              </w:rPr>
              <w:t xml:space="preserve"> </w:t>
            </w:r>
          </w:p>
        </w:tc>
        <w:tc>
          <w:tcPr>
            <w:tcW w:w="1051" w:type="dxa"/>
          </w:tcPr>
          <w:p w14:paraId="19EEE32A" w14:textId="77777777" w:rsidR="00C84E3B" w:rsidRPr="00C84E3B" w:rsidRDefault="00C84E3B" w:rsidP="00C84E3B">
            <w:pPr>
              <w:widowControl/>
              <w:spacing w:after="0" w:line="240" w:lineRule="auto"/>
              <w:ind w:right="-90"/>
              <w:contextualSpacing/>
              <w:rPr>
                <w:sz w:val="16"/>
                <w:szCs w:val="16"/>
              </w:rPr>
            </w:pPr>
            <w:r w:rsidRPr="00C84E3B">
              <w:rPr>
                <w:sz w:val="16"/>
                <w:szCs w:val="16"/>
              </w:rPr>
              <w:t>SARA</w:t>
            </w:r>
            <w:r w:rsidRPr="00C84E3B" w:rsidDel="00D91361">
              <w:rPr>
                <w:sz w:val="16"/>
                <w:szCs w:val="16"/>
              </w:rPr>
              <w:t xml:space="preserve"> </w:t>
            </w:r>
          </w:p>
        </w:tc>
        <w:tc>
          <w:tcPr>
            <w:tcW w:w="3542" w:type="dxa"/>
          </w:tcPr>
          <w:p w14:paraId="7C8D7CB3" w14:textId="77777777" w:rsidR="00C84E3B" w:rsidRPr="00C84E3B" w:rsidRDefault="00C84E3B" w:rsidP="00C84E3B">
            <w:pPr>
              <w:widowControl/>
              <w:spacing w:after="0" w:line="240" w:lineRule="auto"/>
              <w:ind w:right="-90"/>
              <w:contextualSpacing/>
              <w:rPr>
                <w:sz w:val="16"/>
                <w:szCs w:val="16"/>
              </w:rPr>
            </w:pPr>
            <w:r w:rsidRPr="00C84E3B">
              <w:rPr>
                <w:sz w:val="16"/>
                <w:szCs w:val="16"/>
              </w:rPr>
              <w:t>Superfund Amendments and Reauthorization Act</w:t>
            </w:r>
            <w:r w:rsidRPr="00C84E3B" w:rsidDel="00D91361">
              <w:rPr>
                <w:sz w:val="16"/>
                <w:szCs w:val="16"/>
              </w:rPr>
              <w:t xml:space="preserve"> </w:t>
            </w:r>
          </w:p>
        </w:tc>
      </w:tr>
      <w:tr w:rsidR="00C84E3B" w:rsidRPr="00C84E3B" w14:paraId="7D22ED56" w14:textId="77777777" w:rsidTr="00B448C3">
        <w:trPr>
          <w:trHeight w:val="144"/>
        </w:trPr>
        <w:tc>
          <w:tcPr>
            <w:tcW w:w="1024" w:type="dxa"/>
          </w:tcPr>
          <w:p w14:paraId="23AA4164" w14:textId="77777777" w:rsidR="00C84E3B" w:rsidRPr="00C84E3B" w:rsidRDefault="00C84E3B" w:rsidP="00C84E3B">
            <w:pPr>
              <w:widowControl/>
              <w:spacing w:after="0" w:line="240" w:lineRule="auto"/>
              <w:ind w:right="-90"/>
              <w:contextualSpacing/>
              <w:rPr>
                <w:sz w:val="16"/>
                <w:szCs w:val="16"/>
              </w:rPr>
            </w:pPr>
            <w:r w:rsidRPr="00C84E3B">
              <w:rPr>
                <w:sz w:val="16"/>
                <w:szCs w:val="16"/>
              </w:rPr>
              <w:t>IATA</w:t>
            </w:r>
            <w:r w:rsidRPr="00C84E3B" w:rsidDel="00D91361">
              <w:rPr>
                <w:sz w:val="16"/>
                <w:szCs w:val="16"/>
              </w:rPr>
              <w:t xml:space="preserve"> </w:t>
            </w:r>
          </w:p>
        </w:tc>
        <w:tc>
          <w:tcPr>
            <w:tcW w:w="3584" w:type="dxa"/>
          </w:tcPr>
          <w:p w14:paraId="559B6B00" w14:textId="77777777" w:rsidR="00C84E3B" w:rsidRPr="00C84E3B" w:rsidRDefault="00C84E3B" w:rsidP="00C84E3B">
            <w:pPr>
              <w:widowControl/>
              <w:spacing w:after="0" w:line="240" w:lineRule="auto"/>
              <w:ind w:right="-90"/>
              <w:contextualSpacing/>
              <w:rPr>
                <w:sz w:val="16"/>
                <w:szCs w:val="16"/>
              </w:rPr>
            </w:pPr>
            <w:r w:rsidRPr="00C84E3B">
              <w:rPr>
                <w:sz w:val="16"/>
                <w:szCs w:val="16"/>
              </w:rPr>
              <w:t>International Air Transportation Agency</w:t>
            </w:r>
            <w:r w:rsidRPr="00C84E3B" w:rsidDel="00D91361">
              <w:rPr>
                <w:sz w:val="16"/>
                <w:szCs w:val="16"/>
              </w:rPr>
              <w:t xml:space="preserve"> </w:t>
            </w:r>
          </w:p>
        </w:tc>
        <w:tc>
          <w:tcPr>
            <w:tcW w:w="1051" w:type="dxa"/>
          </w:tcPr>
          <w:p w14:paraId="4664B864" w14:textId="77777777" w:rsidR="00C84E3B" w:rsidRPr="00C84E3B" w:rsidRDefault="00C84E3B" w:rsidP="00C84E3B">
            <w:pPr>
              <w:widowControl/>
              <w:spacing w:after="0" w:line="240" w:lineRule="auto"/>
              <w:ind w:right="-90"/>
              <w:contextualSpacing/>
              <w:rPr>
                <w:sz w:val="16"/>
                <w:szCs w:val="16"/>
              </w:rPr>
            </w:pPr>
            <w:r w:rsidRPr="00C84E3B">
              <w:rPr>
                <w:sz w:val="16"/>
                <w:szCs w:val="16"/>
              </w:rPr>
              <w:t>SCBA</w:t>
            </w:r>
            <w:r w:rsidRPr="00C84E3B" w:rsidDel="00D91361">
              <w:rPr>
                <w:sz w:val="16"/>
                <w:szCs w:val="16"/>
              </w:rPr>
              <w:t xml:space="preserve"> </w:t>
            </w:r>
          </w:p>
        </w:tc>
        <w:tc>
          <w:tcPr>
            <w:tcW w:w="3542" w:type="dxa"/>
          </w:tcPr>
          <w:p w14:paraId="2102A28E" w14:textId="77777777" w:rsidR="00C84E3B" w:rsidRPr="00C84E3B" w:rsidRDefault="00C84E3B" w:rsidP="00C84E3B">
            <w:pPr>
              <w:widowControl/>
              <w:spacing w:after="0" w:line="240" w:lineRule="auto"/>
              <w:ind w:right="-90"/>
              <w:contextualSpacing/>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C84E3B" w:rsidRPr="00C84E3B" w14:paraId="53F842E9" w14:textId="77777777" w:rsidTr="00B448C3">
        <w:trPr>
          <w:trHeight w:val="144"/>
        </w:trPr>
        <w:tc>
          <w:tcPr>
            <w:tcW w:w="1024" w:type="dxa"/>
          </w:tcPr>
          <w:p w14:paraId="3FF7EE95" w14:textId="77777777" w:rsidR="00C84E3B" w:rsidRPr="00C84E3B" w:rsidRDefault="00C84E3B" w:rsidP="00C84E3B">
            <w:pPr>
              <w:widowControl/>
              <w:spacing w:after="0" w:line="240" w:lineRule="auto"/>
              <w:ind w:right="-90"/>
              <w:contextualSpacing/>
              <w:rPr>
                <w:sz w:val="16"/>
                <w:szCs w:val="16"/>
              </w:rPr>
            </w:pPr>
            <w:r w:rsidRPr="00C84E3B">
              <w:rPr>
                <w:sz w:val="16"/>
                <w:szCs w:val="16"/>
              </w:rPr>
              <w:t>IDLH</w:t>
            </w:r>
            <w:r w:rsidRPr="00C84E3B" w:rsidDel="00D91361">
              <w:rPr>
                <w:sz w:val="16"/>
                <w:szCs w:val="16"/>
              </w:rPr>
              <w:t xml:space="preserve"> </w:t>
            </w:r>
          </w:p>
        </w:tc>
        <w:tc>
          <w:tcPr>
            <w:tcW w:w="3584" w:type="dxa"/>
          </w:tcPr>
          <w:p w14:paraId="2588AB2A" w14:textId="77777777" w:rsidR="00C84E3B" w:rsidRPr="00C84E3B" w:rsidRDefault="00C84E3B" w:rsidP="00C84E3B">
            <w:pPr>
              <w:widowControl/>
              <w:spacing w:after="0" w:line="240" w:lineRule="auto"/>
              <w:ind w:right="-90"/>
              <w:contextualSpacing/>
              <w:rPr>
                <w:sz w:val="16"/>
                <w:szCs w:val="16"/>
              </w:rPr>
            </w:pPr>
            <w:r w:rsidRPr="00C84E3B">
              <w:rPr>
                <w:sz w:val="16"/>
                <w:szCs w:val="16"/>
              </w:rPr>
              <w:t>Immediately Dangerous to Life and Health</w:t>
            </w:r>
            <w:r w:rsidRPr="00C84E3B" w:rsidDel="00D91361">
              <w:rPr>
                <w:sz w:val="16"/>
                <w:szCs w:val="16"/>
              </w:rPr>
              <w:t xml:space="preserve"> </w:t>
            </w:r>
          </w:p>
        </w:tc>
        <w:tc>
          <w:tcPr>
            <w:tcW w:w="1051" w:type="dxa"/>
          </w:tcPr>
          <w:p w14:paraId="071B265B" w14:textId="77777777" w:rsidR="00C84E3B" w:rsidRPr="00C84E3B" w:rsidRDefault="00A77731" w:rsidP="00C84E3B">
            <w:pPr>
              <w:widowControl/>
              <w:spacing w:after="0" w:line="240" w:lineRule="auto"/>
              <w:ind w:right="-90"/>
              <w:contextualSpacing/>
              <w:rPr>
                <w:sz w:val="16"/>
                <w:szCs w:val="16"/>
              </w:rPr>
            </w:pPr>
            <w:r>
              <w:rPr>
                <w:sz w:val="16"/>
                <w:szCs w:val="16"/>
              </w:rPr>
              <w:t>RM</w:t>
            </w:r>
            <w:r w:rsidR="00C84E3B" w:rsidRPr="00C84E3B" w:rsidDel="00D91361">
              <w:rPr>
                <w:sz w:val="16"/>
                <w:szCs w:val="16"/>
              </w:rPr>
              <w:t xml:space="preserve"> </w:t>
            </w:r>
          </w:p>
        </w:tc>
        <w:tc>
          <w:tcPr>
            <w:tcW w:w="3542" w:type="dxa"/>
          </w:tcPr>
          <w:p w14:paraId="379B1819" w14:textId="77777777" w:rsidR="00C84E3B" w:rsidRPr="00C84E3B" w:rsidRDefault="00C84E3B" w:rsidP="00C84E3B">
            <w:pPr>
              <w:widowControl/>
              <w:spacing w:after="0" w:line="240" w:lineRule="auto"/>
              <w:ind w:right="-90"/>
              <w:contextualSpacing/>
              <w:rPr>
                <w:sz w:val="16"/>
                <w:szCs w:val="16"/>
              </w:rPr>
            </w:pPr>
            <w:r w:rsidRPr="00C84E3B">
              <w:rPr>
                <w:sz w:val="16"/>
                <w:szCs w:val="16"/>
              </w:rPr>
              <w:t>Reference Material</w:t>
            </w:r>
            <w:r w:rsidRPr="00C84E3B" w:rsidDel="00D91361">
              <w:rPr>
                <w:sz w:val="16"/>
                <w:szCs w:val="16"/>
              </w:rPr>
              <w:t xml:space="preserve"> </w:t>
            </w:r>
          </w:p>
        </w:tc>
      </w:tr>
      <w:tr w:rsidR="00C84E3B" w:rsidRPr="00C84E3B" w14:paraId="5BEE23C4" w14:textId="77777777" w:rsidTr="00B448C3">
        <w:trPr>
          <w:trHeight w:val="144"/>
        </w:trPr>
        <w:tc>
          <w:tcPr>
            <w:tcW w:w="1024" w:type="dxa"/>
          </w:tcPr>
          <w:p w14:paraId="762BB796" w14:textId="77777777" w:rsidR="00C84E3B" w:rsidRPr="00C84E3B" w:rsidRDefault="00C84E3B" w:rsidP="00C84E3B">
            <w:pPr>
              <w:widowControl/>
              <w:spacing w:after="0" w:line="240" w:lineRule="auto"/>
              <w:ind w:right="-90"/>
              <w:contextualSpacing/>
              <w:rPr>
                <w:sz w:val="16"/>
                <w:szCs w:val="16"/>
              </w:rPr>
            </w:pPr>
            <w:r w:rsidRPr="00C84E3B">
              <w:rPr>
                <w:sz w:val="16"/>
                <w:szCs w:val="16"/>
              </w:rPr>
              <w:t>LC50</w:t>
            </w:r>
          </w:p>
        </w:tc>
        <w:tc>
          <w:tcPr>
            <w:tcW w:w="3584" w:type="dxa"/>
          </w:tcPr>
          <w:p w14:paraId="062EF89F" w14:textId="77777777" w:rsidR="00C84E3B" w:rsidRPr="00C84E3B" w:rsidRDefault="00C84E3B" w:rsidP="00C84E3B">
            <w:pPr>
              <w:widowControl/>
              <w:spacing w:after="0" w:line="240" w:lineRule="auto"/>
              <w:ind w:right="-90"/>
              <w:contextualSpacing/>
              <w:rPr>
                <w:sz w:val="16"/>
                <w:szCs w:val="16"/>
              </w:rPr>
            </w:pPr>
            <w:r w:rsidRPr="00C84E3B">
              <w:rPr>
                <w:sz w:val="16"/>
                <w:szCs w:val="16"/>
              </w:rPr>
              <w:t>Lethal Concentration, 50</w:t>
            </w:r>
            <w:r w:rsidR="000E3B6D">
              <w:rPr>
                <w:sz w:val="16"/>
                <w:szCs w:val="16"/>
              </w:rPr>
              <w:t> </w:t>
            </w:r>
            <w:r w:rsidRPr="00C84E3B">
              <w:rPr>
                <w:sz w:val="16"/>
                <w:szCs w:val="16"/>
              </w:rPr>
              <w:t>%</w:t>
            </w:r>
            <w:r w:rsidRPr="00C84E3B" w:rsidDel="00D91361">
              <w:rPr>
                <w:sz w:val="16"/>
                <w:szCs w:val="16"/>
              </w:rPr>
              <w:t xml:space="preserve"> </w:t>
            </w:r>
          </w:p>
        </w:tc>
        <w:tc>
          <w:tcPr>
            <w:tcW w:w="1051" w:type="dxa"/>
          </w:tcPr>
          <w:p w14:paraId="53049A71" w14:textId="77777777" w:rsidR="00C84E3B" w:rsidRPr="00C84E3B" w:rsidRDefault="00C84E3B" w:rsidP="00C84E3B">
            <w:pPr>
              <w:widowControl/>
              <w:spacing w:after="0" w:line="240" w:lineRule="auto"/>
              <w:ind w:right="-90"/>
              <w:contextualSpacing/>
              <w:rPr>
                <w:sz w:val="16"/>
                <w:szCs w:val="16"/>
              </w:rPr>
            </w:pPr>
            <w:r w:rsidRPr="00C84E3B">
              <w:rPr>
                <w:sz w:val="16"/>
                <w:szCs w:val="16"/>
              </w:rPr>
              <w:t>STEL</w:t>
            </w:r>
            <w:r w:rsidRPr="00C84E3B" w:rsidDel="00D91361">
              <w:rPr>
                <w:sz w:val="16"/>
                <w:szCs w:val="16"/>
              </w:rPr>
              <w:t xml:space="preserve"> </w:t>
            </w:r>
          </w:p>
        </w:tc>
        <w:tc>
          <w:tcPr>
            <w:tcW w:w="3542" w:type="dxa"/>
          </w:tcPr>
          <w:p w14:paraId="72A5C11B" w14:textId="3C8BDBC0" w:rsidR="00C84E3B" w:rsidRPr="00C84E3B" w:rsidRDefault="00C84E3B" w:rsidP="00AF5903">
            <w:pPr>
              <w:widowControl/>
              <w:spacing w:after="0" w:line="240" w:lineRule="auto"/>
              <w:ind w:right="-90"/>
              <w:contextualSpacing/>
              <w:rPr>
                <w:sz w:val="16"/>
                <w:szCs w:val="16"/>
              </w:rPr>
            </w:pPr>
            <w:r w:rsidRPr="00C84E3B">
              <w:rPr>
                <w:sz w:val="16"/>
                <w:szCs w:val="16"/>
              </w:rPr>
              <w:t xml:space="preserve">Short  Term Exposure </w:t>
            </w:r>
            <w:r w:rsidR="00AF5903" w:rsidRPr="00C84E3B">
              <w:rPr>
                <w:sz w:val="16"/>
                <w:szCs w:val="16"/>
              </w:rPr>
              <w:t>L</w:t>
            </w:r>
            <w:r w:rsidR="00AF5903">
              <w:rPr>
                <w:sz w:val="16"/>
                <w:szCs w:val="16"/>
              </w:rPr>
              <w:t>imit</w:t>
            </w:r>
            <w:r w:rsidR="00AF5903" w:rsidRPr="00C84E3B" w:rsidDel="00D91361">
              <w:rPr>
                <w:sz w:val="16"/>
                <w:szCs w:val="16"/>
              </w:rPr>
              <w:t xml:space="preserve"> </w:t>
            </w:r>
          </w:p>
        </w:tc>
      </w:tr>
      <w:tr w:rsidR="00C84E3B" w:rsidRPr="00C84E3B" w14:paraId="3CAAACB3" w14:textId="77777777" w:rsidTr="00B448C3">
        <w:trPr>
          <w:trHeight w:val="144"/>
        </w:trPr>
        <w:tc>
          <w:tcPr>
            <w:tcW w:w="1024" w:type="dxa"/>
          </w:tcPr>
          <w:p w14:paraId="59DEF2E3" w14:textId="77777777" w:rsidR="00C84E3B" w:rsidRPr="00C84E3B" w:rsidRDefault="00C84E3B" w:rsidP="00C84E3B">
            <w:pPr>
              <w:widowControl/>
              <w:spacing w:after="0" w:line="240" w:lineRule="auto"/>
              <w:ind w:right="-90"/>
              <w:contextualSpacing/>
              <w:rPr>
                <w:sz w:val="16"/>
                <w:szCs w:val="16"/>
              </w:rPr>
            </w:pPr>
            <w:r w:rsidRPr="00C84E3B">
              <w:rPr>
                <w:sz w:val="16"/>
                <w:szCs w:val="16"/>
              </w:rPr>
              <w:t>LD50</w:t>
            </w:r>
          </w:p>
        </w:tc>
        <w:tc>
          <w:tcPr>
            <w:tcW w:w="3584" w:type="dxa"/>
          </w:tcPr>
          <w:p w14:paraId="5918E2C1" w14:textId="77777777" w:rsidR="00C84E3B" w:rsidRPr="00C84E3B" w:rsidRDefault="00C84E3B" w:rsidP="00C84E3B">
            <w:pPr>
              <w:widowControl/>
              <w:spacing w:after="0" w:line="240" w:lineRule="auto"/>
              <w:ind w:right="-90"/>
              <w:contextualSpacing/>
              <w:rPr>
                <w:sz w:val="16"/>
                <w:szCs w:val="16"/>
              </w:rPr>
            </w:pPr>
            <w:r w:rsidRPr="00C84E3B">
              <w:rPr>
                <w:sz w:val="16"/>
                <w:szCs w:val="16"/>
              </w:rPr>
              <w:t>Lethal Dose, 50 %</w:t>
            </w:r>
          </w:p>
        </w:tc>
        <w:tc>
          <w:tcPr>
            <w:tcW w:w="1051" w:type="dxa"/>
          </w:tcPr>
          <w:p w14:paraId="2ABFDC5B" w14:textId="77777777" w:rsidR="00C84E3B" w:rsidRPr="00C84E3B" w:rsidRDefault="00C84E3B" w:rsidP="00C84E3B">
            <w:pPr>
              <w:widowControl/>
              <w:spacing w:after="0" w:line="240" w:lineRule="auto"/>
              <w:ind w:right="-90"/>
              <w:contextualSpacing/>
              <w:rPr>
                <w:sz w:val="16"/>
                <w:szCs w:val="16"/>
              </w:rPr>
            </w:pPr>
            <w:r w:rsidRPr="00C84E3B">
              <w:rPr>
                <w:sz w:val="16"/>
                <w:szCs w:val="16"/>
              </w:rPr>
              <w:t>TLV</w:t>
            </w:r>
            <w:r w:rsidRPr="00C84E3B" w:rsidDel="00D91361">
              <w:rPr>
                <w:sz w:val="16"/>
                <w:szCs w:val="16"/>
              </w:rPr>
              <w:t xml:space="preserve"> </w:t>
            </w:r>
          </w:p>
        </w:tc>
        <w:tc>
          <w:tcPr>
            <w:tcW w:w="3542" w:type="dxa"/>
          </w:tcPr>
          <w:p w14:paraId="1D756B86" w14:textId="77777777" w:rsidR="00C84E3B" w:rsidRPr="00C84E3B" w:rsidRDefault="00C84E3B" w:rsidP="00C84E3B">
            <w:pPr>
              <w:widowControl/>
              <w:spacing w:after="0" w:line="240" w:lineRule="auto"/>
              <w:ind w:right="-90"/>
              <w:contextualSpacing/>
              <w:rPr>
                <w:sz w:val="16"/>
                <w:szCs w:val="16"/>
              </w:rPr>
            </w:pPr>
            <w:r w:rsidRPr="00C84E3B">
              <w:rPr>
                <w:sz w:val="16"/>
                <w:szCs w:val="16"/>
              </w:rPr>
              <w:t>Threshold Limit Value</w:t>
            </w:r>
            <w:r w:rsidRPr="00C84E3B" w:rsidDel="00D91361">
              <w:rPr>
                <w:sz w:val="16"/>
                <w:szCs w:val="16"/>
              </w:rPr>
              <w:t xml:space="preserve"> </w:t>
            </w:r>
          </w:p>
        </w:tc>
      </w:tr>
      <w:tr w:rsidR="00C84E3B" w:rsidRPr="00C84E3B" w14:paraId="7B1FD626" w14:textId="77777777" w:rsidTr="00B448C3">
        <w:trPr>
          <w:trHeight w:val="144"/>
        </w:trPr>
        <w:tc>
          <w:tcPr>
            <w:tcW w:w="1024" w:type="dxa"/>
          </w:tcPr>
          <w:p w14:paraId="7AB031A1" w14:textId="77777777" w:rsidR="00C84E3B" w:rsidRPr="00C84E3B" w:rsidRDefault="00C84E3B" w:rsidP="00C84E3B">
            <w:pPr>
              <w:widowControl/>
              <w:spacing w:after="0" w:line="240" w:lineRule="auto"/>
              <w:ind w:right="-90"/>
              <w:contextualSpacing/>
              <w:rPr>
                <w:sz w:val="16"/>
                <w:szCs w:val="16"/>
              </w:rPr>
            </w:pPr>
            <w:r w:rsidRPr="00C84E3B">
              <w:rPr>
                <w:sz w:val="16"/>
                <w:szCs w:val="16"/>
              </w:rPr>
              <w:t>LEL</w:t>
            </w:r>
            <w:r w:rsidRPr="00C84E3B" w:rsidDel="00D91361">
              <w:rPr>
                <w:sz w:val="16"/>
                <w:szCs w:val="16"/>
              </w:rPr>
              <w:t xml:space="preserve"> </w:t>
            </w:r>
          </w:p>
        </w:tc>
        <w:tc>
          <w:tcPr>
            <w:tcW w:w="3584" w:type="dxa"/>
          </w:tcPr>
          <w:p w14:paraId="546CEF30" w14:textId="77777777" w:rsidR="00C84E3B" w:rsidRPr="00C84E3B" w:rsidRDefault="00C84E3B" w:rsidP="00C84E3B">
            <w:pPr>
              <w:widowControl/>
              <w:spacing w:after="0" w:line="240" w:lineRule="auto"/>
              <w:ind w:right="-90"/>
              <w:contextualSpacing/>
              <w:rPr>
                <w:sz w:val="16"/>
                <w:szCs w:val="16"/>
              </w:rPr>
            </w:pPr>
            <w:r w:rsidRPr="00C84E3B">
              <w:rPr>
                <w:sz w:val="16"/>
                <w:szCs w:val="16"/>
              </w:rPr>
              <w:t>Lower Explosive Limit</w:t>
            </w:r>
            <w:r w:rsidRPr="00C84E3B" w:rsidDel="00D91361">
              <w:rPr>
                <w:sz w:val="16"/>
                <w:szCs w:val="16"/>
              </w:rPr>
              <w:t xml:space="preserve"> </w:t>
            </w:r>
          </w:p>
        </w:tc>
        <w:tc>
          <w:tcPr>
            <w:tcW w:w="1051" w:type="dxa"/>
          </w:tcPr>
          <w:p w14:paraId="7220EE75" w14:textId="77777777" w:rsidR="00C84E3B" w:rsidRPr="00C84E3B" w:rsidRDefault="00C84E3B" w:rsidP="00C84E3B">
            <w:pPr>
              <w:widowControl/>
              <w:spacing w:after="0" w:line="240" w:lineRule="auto"/>
              <w:ind w:right="-90"/>
              <w:contextualSpacing/>
              <w:rPr>
                <w:sz w:val="16"/>
                <w:szCs w:val="16"/>
              </w:rPr>
            </w:pPr>
            <w:r w:rsidRPr="00C84E3B">
              <w:rPr>
                <w:sz w:val="16"/>
                <w:szCs w:val="16"/>
              </w:rPr>
              <w:t>TPQ</w:t>
            </w:r>
            <w:r w:rsidRPr="00C84E3B" w:rsidDel="00D91361">
              <w:rPr>
                <w:sz w:val="16"/>
                <w:szCs w:val="16"/>
              </w:rPr>
              <w:t xml:space="preserve"> </w:t>
            </w:r>
          </w:p>
        </w:tc>
        <w:tc>
          <w:tcPr>
            <w:tcW w:w="3542" w:type="dxa"/>
          </w:tcPr>
          <w:p w14:paraId="7468FF87" w14:textId="77777777" w:rsidR="00C84E3B" w:rsidRPr="00C84E3B" w:rsidRDefault="00C84E3B" w:rsidP="00C84E3B">
            <w:pPr>
              <w:widowControl/>
              <w:spacing w:after="0" w:line="240" w:lineRule="auto"/>
              <w:ind w:right="-90"/>
              <w:contextualSpacing/>
              <w:rPr>
                <w:sz w:val="16"/>
                <w:szCs w:val="16"/>
              </w:rPr>
            </w:pPr>
            <w:r w:rsidRPr="00C84E3B">
              <w:rPr>
                <w:sz w:val="16"/>
                <w:szCs w:val="16"/>
              </w:rPr>
              <w:t>Threshold Planning Quantity</w:t>
            </w:r>
            <w:r w:rsidRPr="00C84E3B" w:rsidDel="00D91361">
              <w:rPr>
                <w:sz w:val="16"/>
                <w:szCs w:val="16"/>
              </w:rPr>
              <w:t xml:space="preserve"> </w:t>
            </w:r>
          </w:p>
        </w:tc>
      </w:tr>
      <w:tr w:rsidR="00C84E3B" w:rsidRPr="00C84E3B" w14:paraId="4DADE701" w14:textId="77777777" w:rsidTr="00B448C3">
        <w:trPr>
          <w:trHeight w:val="144"/>
        </w:trPr>
        <w:tc>
          <w:tcPr>
            <w:tcW w:w="1024" w:type="dxa"/>
          </w:tcPr>
          <w:p w14:paraId="0F67769B" w14:textId="77777777" w:rsidR="00C84E3B" w:rsidRPr="00C84E3B" w:rsidRDefault="00C84E3B" w:rsidP="00C84E3B">
            <w:pPr>
              <w:widowControl/>
              <w:spacing w:after="0" w:line="240" w:lineRule="auto"/>
              <w:ind w:right="-90"/>
              <w:contextualSpacing/>
              <w:rPr>
                <w:sz w:val="16"/>
                <w:szCs w:val="16"/>
              </w:rPr>
            </w:pPr>
            <w:r w:rsidRPr="00C84E3B">
              <w:rPr>
                <w:sz w:val="16"/>
                <w:szCs w:val="16"/>
              </w:rPr>
              <w:t>MSDS</w:t>
            </w:r>
            <w:r w:rsidRPr="00C84E3B" w:rsidDel="00D91361">
              <w:rPr>
                <w:sz w:val="16"/>
                <w:szCs w:val="16"/>
              </w:rPr>
              <w:t xml:space="preserve"> </w:t>
            </w:r>
          </w:p>
        </w:tc>
        <w:tc>
          <w:tcPr>
            <w:tcW w:w="3584" w:type="dxa"/>
          </w:tcPr>
          <w:p w14:paraId="0F3DC319" w14:textId="77777777" w:rsidR="00C84E3B" w:rsidRPr="00C84E3B" w:rsidRDefault="00C84E3B" w:rsidP="00C84E3B">
            <w:pPr>
              <w:widowControl/>
              <w:spacing w:after="0" w:line="240" w:lineRule="auto"/>
              <w:ind w:right="-90"/>
              <w:contextualSpacing/>
              <w:rPr>
                <w:sz w:val="16"/>
                <w:szCs w:val="16"/>
              </w:rPr>
            </w:pPr>
            <w:r w:rsidRPr="00C84E3B">
              <w:rPr>
                <w:sz w:val="16"/>
                <w:szCs w:val="16"/>
              </w:rPr>
              <w:t>Material Safety Data Sheet</w:t>
            </w:r>
            <w:r w:rsidRPr="00C84E3B" w:rsidDel="00D91361">
              <w:rPr>
                <w:sz w:val="16"/>
                <w:szCs w:val="16"/>
              </w:rPr>
              <w:t xml:space="preserve"> </w:t>
            </w:r>
          </w:p>
        </w:tc>
        <w:tc>
          <w:tcPr>
            <w:tcW w:w="1051" w:type="dxa"/>
          </w:tcPr>
          <w:p w14:paraId="4F723EB1" w14:textId="77777777" w:rsidR="00C84E3B" w:rsidRPr="00C84E3B" w:rsidRDefault="00C84E3B" w:rsidP="00C84E3B">
            <w:pPr>
              <w:widowControl/>
              <w:spacing w:after="0" w:line="240" w:lineRule="auto"/>
              <w:ind w:right="-90"/>
              <w:contextualSpacing/>
              <w:rPr>
                <w:sz w:val="16"/>
                <w:szCs w:val="16"/>
              </w:rPr>
            </w:pPr>
            <w:r w:rsidRPr="00C84E3B">
              <w:rPr>
                <w:sz w:val="16"/>
                <w:szCs w:val="16"/>
              </w:rPr>
              <w:t>TSCA</w:t>
            </w:r>
            <w:r w:rsidRPr="00C84E3B" w:rsidDel="00D91361">
              <w:rPr>
                <w:sz w:val="16"/>
                <w:szCs w:val="16"/>
              </w:rPr>
              <w:t xml:space="preserve"> </w:t>
            </w:r>
          </w:p>
        </w:tc>
        <w:tc>
          <w:tcPr>
            <w:tcW w:w="3542" w:type="dxa"/>
          </w:tcPr>
          <w:p w14:paraId="6CDBF75F" w14:textId="77777777" w:rsidR="00C84E3B" w:rsidRPr="00C84E3B" w:rsidRDefault="00C84E3B" w:rsidP="00C84E3B">
            <w:pPr>
              <w:widowControl/>
              <w:spacing w:after="0" w:line="240" w:lineRule="auto"/>
              <w:ind w:right="-90"/>
              <w:contextualSpacing/>
              <w:rPr>
                <w:sz w:val="16"/>
                <w:szCs w:val="16"/>
              </w:rPr>
            </w:pPr>
            <w:r w:rsidRPr="00C84E3B">
              <w:rPr>
                <w:sz w:val="16"/>
                <w:szCs w:val="16"/>
              </w:rPr>
              <w:t>Toxic Substances Control Act</w:t>
            </w:r>
            <w:r w:rsidRPr="00C84E3B" w:rsidDel="00D91361">
              <w:rPr>
                <w:sz w:val="16"/>
                <w:szCs w:val="16"/>
              </w:rPr>
              <w:t xml:space="preserve"> </w:t>
            </w:r>
          </w:p>
        </w:tc>
      </w:tr>
      <w:tr w:rsidR="00C84E3B" w:rsidRPr="00C84E3B" w14:paraId="4DA26549" w14:textId="77777777" w:rsidTr="00B448C3">
        <w:trPr>
          <w:trHeight w:val="144"/>
        </w:trPr>
        <w:tc>
          <w:tcPr>
            <w:tcW w:w="1024" w:type="dxa"/>
          </w:tcPr>
          <w:p w14:paraId="2383F5FE" w14:textId="77777777" w:rsidR="00C84E3B" w:rsidRPr="00C84E3B" w:rsidRDefault="00C84E3B" w:rsidP="00C84E3B">
            <w:pPr>
              <w:widowControl/>
              <w:spacing w:after="0" w:line="240" w:lineRule="auto"/>
              <w:ind w:right="-90"/>
              <w:contextualSpacing/>
              <w:rPr>
                <w:sz w:val="16"/>
                <w:szCs w:val="16"/>
              </w:rPr>
            </w:pPr>
            <w:r w:rsidRPr="00C84E3B">
              <w:rPr>
                <w:sz w:val="16"/>
                <w:szCs w:val="16"/>
              </w:rPr>
              <w:t>NFPA</w:t>
            </w:r>
            <w:r w:rsidRPr="00C84E3B" w:rsidDel="00D91361">
              <w:rPr>
                <w:sz w:val="16"/>
                <w:szCs w:val="16"/>
              </w:rPr>
              <w:t xml:space="preserve"> </w:t>
            </w:r>
          </w:p>
        </w:tc>
        <w:tc>
          <w:tcPr>
            <w:tcW w:w="3584" w:type="dxa"/>
          </w:tcPr>
          <w:p w14:paraId="1880E8F1" w14:textId="77777777" w:rsidR="00C84E3B" w:rsidRPr="00C84E3B" w:rsidRDefault="00C84E3B" w:rsidP="00C84E3B">
            <w:pPr>
              <w:widowControl/>
              <w:spacing w:after="0" w:line="240" w:lineRule="auto"/>
              <w:ind w:right="-90"/>
              <w:contextualSpacing/>
              <w:rPr>
                <w:sz w:val="16"/>
                <w:szCs w:val="16"/>
              </w:rPr>
            </w:pPr>
            <w:r w:rsidRPr="00C84E3B">
              <w:rPr>
                <w:sz w:val="16"/>
                <w:szCs w:val="16"/>
              </w:rPr>
              <w:t>National Fire Protection Association</w:t>
            </w:r>
            <w:r w:rsidRPr="00C84E3B" w:rsidDel="00D91361">
              <w:rPr>
                <w:sz w:val="16"/>
                <w:szCs w:val="16"/>
              </w:rPr>
              <w:t xml:space="preserve"> </w:t>
            </w:r>
          </w:p>
        </w:tc>
        <w:tc>
          <w:tcPr>
            <w:tcW w:w="1051" w:type="dxa"/>
          </w:tcPr>
          <w:p w14:paraId="24752CF6" w14:textId="77777777" w:rsidR="00C84E3B" w:rsidRPr="00C84E3B" w:rsidRDefault="00C84E3B" w:rsidP="00C84E3B">
            <w:pPr>
              <w:widowControl/>
              <w:spacing w:after="0" w:line="240" w:lineRule="auto"/>
              <w:ind w:right="-90"/>
              <w:contextualSpacing/>
              <w:rPr>
                <w:sz w:val="16"/>
                <w:szCs w:val="16"/>
              </w:rPr>
            </w:pPr>
            <w:r w:rsidRPr="00C84E3B">
              <w:rPr>
                <w:sz w:val="16"/>
                <w:szCs w:val="16"/>
              </w:rPr>
              <w:t>TWA</w:t>
            </w:r>
            <w:r w:rsidRPr="00C84E3B" w:rsidDel="00D91361">
              <w:rPr>
                <w:sz w:val="16"/>
                <w:szCs w:val="16"/>
              </w:rPr>
              <w:t xml:space="preserve"> </w:t>
            </w:r>
          </w:p>
        </w:tc>
        <w:tc>
          <w:tcPr>
            <w:tcW w:w="3542" w:type="dxa"/>
          </w:tcPr>
          <w:p w14:paraId="3E4A90D1" w14:textId="77777777" w:rsidR="00C84E3B" w:rsidRPr="00C84E3B" w:rsidRDefault="00C84E3B" w:rsidP="00C84E3B">
            <w:pPr>
              <w:widowControl/>
              <w:spacing w:after="0" w:line="240" w:lineRule="auto"/>
              <w:ind w:right="-90"/>
              <w:contextualSpacing/>
              <w:rPr>
                <w:sz w:val="16"/>
                <w:szCs w:val="16"/>
              </w:rPr>
            </w:pPr>
            <w:r w:rsidRPr="00C84E3B">
              <w:rPr>
                <w:sz w:val="16"/>
                <w:szCs w:val="16"/>
              </w:rPr>
              <w:t>Time Weighted Average</w:t>
            </w:r>
            <w:r w:rsidRPr="00C84E3B" w:rsidDel="00D91361">
              <w:rPr>
                <w:sz w:val="16"/>
                <w:szCs w:val="16"/>
              </w:rPr>
              <w:t xml:space="preserve"> </w:t>
            </w:r>
          </w:p>
        </w:tc>
      </w:tr>
      <w:tr w:rsidR="00C84E3B" w:rsidRPr="00C84E3B" w14:paraId="1B0E1187" w14:textId="77777777" w:rsidTr="00B448C3">
        <w:trPr>
          <w:trHeight w:val="144"/>
        </w:trPr>
        <w:tc>
          <w:tcPr>
            <w:tcW w:w="1024" w:type="dxa"/>
          </w:tcPr>
          <w:p w14:paraId="6A1486AC" w14:textId="77777777" w:rsidR="00C84E3B" w:rsidRPr="00C84E3B" w:rsidRDefault="00C84E3B" w:rsidP="00C84E3B">
            <w:pPr>
              <w:widowControl/>
              <w:spacing w:after="0" w:line="240" w:lineRule="auto"/>
              <w:ind w:right="-90"/>
              <w:contextualSpacing/>
              <w:rPr>
                <w:sz w:val="16"/>
                <w:szCs w:val="16"/>
              </w:rPr>
            </w:pPr>
            <w:r w:rsidRPr="00C84E3B">
              <w:rPr>
                <w:sz w:val="16"/>
                <w:szCs w:val="16"/>
              </w:rPr>
              <w:t>NIOSH</w:t>
            </w:r>
            <w:r w:rsidRPr="00C84E3B" w:rsidDel="00D91361">
              <w:rPr>
                <w:sz w:val="16"/>
                <w:szCs w:val="16"/>
              </w:rPr>
              <w:t xml:space="preserve"> </w:t>
            </w:r>
          </w:p>
        </w:tc>
        <w:tc>
          <w:tcPr>
            <w:tcW w:w="3584" w:type="dxa"/>
          </w:tcPr>
          <w:p w14:paraId="307F5691" w14:textId="77777777" w:rsidR="00C84E3B" w:rsidRPr="00C84E3B" w:rsidRDefault="00C84E3B" w:rsidP="00C84E3B">
            <w:pPr>
              <w:widowControl/>
              <w:spacing w:after="0" w:line="240" w:lineRule="auto"/>
              <w:ind w:right="-90"/>
              <w:contextualSpacing/>
              <w:rPr>
                <w:sz w:val="16"/>
                <w:szCs w:val="16"/>
              </w:rPr>
            </w:pPr>
            <w:r w:rsidRPr="00C84E3B">
              <w:rPr>
                <w:sz w:val="16"/>
                <w:szCs w:val="16"/>
              </w:rPr>
              <w:t>National Institute for Occupational Safety and Health</w:t>
            </w:r>
            <w:r w:rsidRPr="00C84E3B" w:rsidDel="00D91361">
              <w:rPr>
                <w:sz w:val="16"/>
                <w:szCs w:val="16"/>
              </w:rPr>
              <w:t xml:space="preserve"> </w:t>
            </w:r>
          </w:p>
        </w:tc>
        <w:tc>
          <w:tcPr>
            <w:tcW w:w="1051" w:type="dxa"/>
          </w:tcPr>
          <w:p w14:paraId="2028C99A" w14:textId="77777777" w:rsidR="00C84E3B" w:rsidRPr="00C84E3B" w:rsidRDefault="00C84E3B" w:rsidP="00C84E3B">
            <w:pPr>
              <w:widowControl/>
              <w:spacing w:after="0" w:line="240" w:lineRule="auto"/>
              <w:ind w:right="-90"/>
              <w:contextualSpacing/>
              <w:rPr>
                <w:sz w:val="16"/>
                <w:szCs w:val="16"/>
              </w:rPr>
            </w:pPr>
            <w:r w:rsidRPr="00C84E3B">
              <w:rPr>
                <w:sz w:val="16"/>
                <w:szCs w:val="16"/>
              </w:rPr>
              <w:t>UEL</w:t>
            </w:r>
            <w:r w:rsidRPr="00C84E3B" w:rsidDel="00D91361">
              <w:rPr>
                <w:sz w:val="16"/>
                <w:szCs w:val="16"/>
              </w:rPr>
              <w:t xml:space="preserve"> </w:t>
            </w:r>
          </w:p>
        </w:tc>
        <w:tc>
          <w:tcPr>
            <w:tcW w:w="3542" w:type="dxa"/>
          </w:tcPr>
          <w:p w14:paraId="57CAD303" w14:textId="77777777" w:rsidR="00C84E3B" w:rsidRPr="00C84E3B" w:rsidRDefault="00C84E3B" w:rsidP="00C84E3B">
            <w:pPr>
              <w:widowControl/>
              <w:spacing w:after="0" w:line="240" w:lineRule="auto"/>
              <w:ind w:right="-90"/>
              <w:contextualSpacing/>
              <w:rPr>
                <w:sz w:val="16"/>
                <w:szCs w:val="16"/>
              </w:rPr>
            </w:pPr>
            <w:r w:rsidRPr="00C84E3B">
              <w:rPr>
                <w:sz w:val="16"/>
                <w:szCs w:val="16"/>
              </w:rPr>
              <w:t>Upper Explosive Limit</w:t>
            </w:r>
            <w:r w:rsidRPr="00C84E3B" w:rsidDel="00D91361">
              <w:rPr>
                <w:sz w:val="16"/>
                <w:szCs w:val="16"/>
              </w:rPr>
              <w:t xml:space="preserve"> </w:t>
            </w:r>
          </w:p>
        </w:tc>
      </w:tr>
      <w:tr w:rsidR="00C84E3B" w:rsidRPr="00C84E3B" w14:paraId="17F6CC63" w14:textId="77777777" w:rsidTr="00B448C3">
        <w:trPr>
          <w:trHeight w:val="144"/>
        </w:trPr>
        <w:tc>
          <w:tcPr>
            <w:tcW w:w="1024" w:type="dxa"/>
          </w:tcPr>
          <w:p w14:paraId="05C3300E" w14:textId="77777777" w:rsidR="00C84E3B" w:rsidRPr="00C84E3B" w:rsidRDefault="00C84E3B" w:rsidP="00C84E3B">
            <w:pPr>
              <w:widowControl/>
              <w:spacing w:after="0" w:line="240" w:lineRule="auto"/>
              <w:ind w:right="-90"/>
              <w:contextualSpacing/>
              <w:rPr>
                <w:sz w:val="16"/>
                <w:szCs w:val="16"/>
              </w:rPr>
            </w:pPr>
            <w:r w:rsidRPr="00C84E3B">
              <w:rPr>
                <w:sz w:val="16"/>
                <w:szCs w:val="16"/>
              </w:rPr>
              <w:t>NIST</w:t>
            </w:r>
          </w:p>
        </w:tc>
        <w:tc>
          <w:tcPr>
            <w:tcW w:w="3584" w:type="dxa"/>
          </w:tcPr>
          <w:p w14:paraId="2C172B8E" w14:textId="77777777" w:rsidR="00C84E3B" w:rsidRPr="00C84E3B" w:rsidRDefault="00C84E3B" w:rsidP="00C84E3B">
            <w:pPr>
              <w:widowControl/>
              <w:spacing w:after="0" w:line="240" w:lineRule="auto"/>
              <w:ind w:right="-90"/>
              <w:contextualSpacing/>
              <w:rPr>
                <w:sz w:val="16"/>
                <w:szCs w:val="16"/>
              </w:rPr>
            </w:pPr>
            <w:r w:rsidRPr="00C84E3B">
              <w:rPr>
                <w:sz w:val="16"/>
                <w:szCs w:val="16"/>
              </w:rPr>
              <w:t>National Institute of Standards and Technology</w:t>
            </w:r>
          </w:p>
        </w:tc>
        <w:tc>
          <w:tcPr>
            <w:tcW w:w="1051" w:type="dxa"/>
          </w:tcPr>
          <w:p w14:paraId="0FEEAF58" w14:textId="77777777" w:rsidR="00C84E3B" w:rsidRPr="00C84E3B" w:rsidRDefault="00C84E3B" w:rsidP="00C84E3B">
            <w:pPr>
              <w:widowControl/>
              <w:spacing w:after="0" w:line="240" w:lineRule="auto"/>
              <w:ind w:right="-90"/>
              <w:contextualSpacing/>
              <w:rPr>
                <w:sz w:val="16"/>
                <w:szCs w:val="16"/>
              </w:rPr>
            </w:pPr>
            <w:r w:rsidRPr="00C84E3B">
              <w:rPr>
                <w:sz w:val="16"/>
                <w:szCs w:val="16"/>
              </w:rPr>
              <w:t>WHMIS</w:t>
            </w:r>
          </w:p>
        </w:tc>
        <w:tc>
          <w:tcPr>
            <w:tcW w:w="3542" w:type="dxa"/>
          </w:tcPr>
          <w:p w14:paraId="52C984C1" w14:textId="77777777" w:rsidR="00C84E3B" w:rsidRPr="00C84E3B" w:rsidRDefault="00C84E3B" w:rsidP="00C84E3B">
            <w:pPr>
              <w:widowControl/>
              <w:spacing w:after="0" w:line="240" w:lineRule="auto"/>
              <w:ind w:right="-90"/>
              <w:contextualSpacing/>
              <w:rPr>
                <w:sz w:val="16"/>
                <w:szCs w:val="16"/>
              </w:rPr>
            </w:pPr>
            <w:r w:rsidRPr="00C84E3B">
              <w:rPr>
                <w:sz w:val="16"/>
                <w:szCs w:val="16"/>
              </w:rPr>
              <w:t>Workplace Hazardous Materials Information System</w:t>
            </w:r>
          </w:p>
        </w:tc>
      </w:tr>
      <w:tr w:rsidR="00C305B4" w:rsidRPr="00C84E3B" w14:paraId="15B800EC" w14:textId="77777777" w:rsidTr="00B448C3">
        <w:trPr>
          <w:trHeight w:val="144"/>
        </w:trPr>
        <w:tc>
          <w:tcPr>
            <w:tcW w:w="1024" w:type="dxa"/>
          </w:tcPr>
          <w:p w14:paraId="720BB77F" w14:textId="77777777" w:rsidR="00C305B4" w:rsidRPr="00C84E3B" w:rsidRDefault="00C305B4" w:rsidP="00C84E3B">
            <w:pPr>
              <w:widowControl/>
              <w:spacing w:after="0" w:line="240" w:lineRule="auto"/>
              <w:ind w:right="-90"/>
              <w:contextualSpacing/>
              <w:rPr>
                <w:sz w:val="16"/>
                <w:szCs w:val="16"/>
              </w:rPr>
            </w:pPr>
            <w:proofErr w:type="spellStart"/>
            <w:r>
              <w:rPr>
                <w:sz w:val="16"/>
                <w:szCs w:val="16"/>
              </w:rPr>
              <w:t>n.o.s</w:t>
            </w:r>
            <w:proofErr w:type="spellEnd"/>
            <w:r>
              <w:rPr>
                <w:sz w:val="16"/>
                <w:szCs w:val="16"/>
              </w:rPr>
              <w:t>.</w:t>
            </w:r>
          </w:p>
        </w:tc>
        <w:tc>
          <w:tcPr>
            <w:tcW w:w="3584" w:type="dxa"/>
          </w:tcPr>
          <w:p w14:paraId="468B728E" w14:textId="77777777" w:rsidR="00C305B4" w:rsidRPr="00C84E3B" w:rsidRDefault="00C305B4" w:rsidP="009D4115">
            <w:pPr>
              <w:widowControl/>
              <w:spacing w:after="0" w:line="240" w:lineRule="auto"/>
              <w:ind w:right="-90"/>
              <w:contextualSpacing/>
              <w:rPr>
                <w:sz w:val="16"/>
                <w:szCs w:val="16"/>
              </w:rPr>
            </w:pPr>
            <w:r>
              <w:rPr>
                <w:sz w:val="16"/>
                <w:szCs w:val="16"/>
              </w:rPr>
              <w:t xml:space="preserve">Not </w:t>
            </w:r>
            <w:r w:rsidR="009D4115">
              <w:rPr>
                <w:sz w:val="16"/>
                <w:szCs w:val="16"/>
              </w:rPr>
              <w:t>O</w:t>
            </w:r>
            <w:r>
              <w:rPr>
                <w:sz w:val="16"/>
                <w:szCs w:val="16"/>
              </w:rPr>
              <w:t xml:space="preserve">therwise </w:t>
            </w:r>
            <w:r w:rsidR="009D4115">
              <w:rPr>
                <w:sz w:val="16"/>
                <w:szCs w:val="16"/>
              </w:rPr>
              <w:t>S</w:t>
            </w:r>
            <w:r>
              <w:rPr>
                <w:sz w:val="16"/>
                <w:szCs w:val="16"/>
              </w:rPr>
              <w:t>pecified</w:t>
            </w:r>
          </w:p>
        </w:tc>
        <w:tc>
          <w:tcPr>
            <w:tcW w:w="1051" w:type="dxa"/>
          </w:tcPr>
          <w:p w14:paraId="6EB68F52" w14:textId="77777777" w:rsidR="00C305B4" w:rsidRPr="00C84E3B" w:rsidRDefault="00C305B4" w:rsidP="00C84E3B">
            <w:pPr>
              <w:widowControl/>
              <w:spacing w:after="0" w:line="240" w:lineRule="auto"/>
              <w:ind w:right="-90"/>
              <w:contextualSpacing/>
              <w:rPr>
                <w:sz w:val="16"/>
                <w:szCs w:val="16"/>
              </w:rPr>
            </w:pPr>
          </w:p>
        </w:tc>
        <w:tc>
          <w:tcPr>
            <w:tcW w:w="3542" w:type="dxa"/>
          </w:tcPr>
          <w:p w14:paraId="6CA51F8B" w14:textId="77777777" w:rsidR="00C305B4" w:rsidRPr="00C84E3B" w:rsidRDefault="00C305B4" w:rsidP="00C84E3B">
            <w:pPr>
              <w:widowControl/>
              <w:spacing w:after="0" w:line="240" w:lineRule="auto"/>
              <w:ind w:right="-90"/>
              <w:contextualSpacing/>
              <w:rPr>
                <w:sz w:val="16"/>
                <w:szCs w:val="16"/>
              </w:rPr>
            </w:pPr>
          </w:p>
        </w:tc>
      </w:tr>
    </w:tbl>
    <w:p w14:paraId="4F082717" w14:textId="77777777" w:rsidR="0066464E" w:rsidRDefault="0066464E" w:rsidP="00622AE4">
      <w:pPr>
        <w:spacing w:before="120" w:after="0" w:line="240" w:lineRule="auto"/>
        <w:jc w:val="both"/>
        <w:rPr>
          <w:rFonts w:ascii="Times New Roman" w:eastAsia="Times New Roman" w:hAnsi="Times New Roman"/>
          <w:b/>
          <w:bCs/>
          <w:sz w:val="20"/>
          <w:szCs w:val="20"/>
        </w:rPr>
      </w:pPr>
    </w:p>
    <w:p w14:paraId="06D07088" w14:textId="77777777" w:rsidR="00015F8E" w:rsidRDefault="00015F8E" w:rsidP="00622AE4">
      <w:pPr>
        <w:spacing w:before="120" w:after="0" w:line="240" w:lineRule="auto"/>
        <w:jc w:val="both"/>
        <w:rPr>
          <w:rFonts w:ascii="Times New Roman" w:eastAsia="Times New Roman" w:hAnsi="Times New Roman"/>
          <w:b/>
          <w:bCs/>
          <w:sz w:val="20"/>
          <w:szCs w:val="20"/>
        </w:rPr>
      </w:pPr>
    </w:p>
    <w:p w14:paraId="0579B65A" w14:textId="77777777" w:rsidR="00015F8E" w:rsidRDefault="00015F8E" w:rsidP="00622AE4">
      <w:pPr>
        <w:spacing w:before="120" w:after="0" w:line="240" w:lineRule="auto"/>
        <w:jc w:val="both"/>
        <w:rPr>
          <w:rFonts w:ascii="Times New Roman" w:eastAsia="Times New Roman" w:hAnsi="Times New Roman"/>
          <w:b/>
          <w:bCs/>
          <w:sz w:val="20"/>
          <w:szCs w:val="20"/>
        </w:rPr>
      </w:pPr>
    </w:p>
    <w:p w14:paraId="29553CDD" w14:textId="77777777" w:rsidR="0045105D" w:rsidRDefault="0045105D" w:rsidP="00622AE4">
      <w:pPr>
        <w:spacing w:before="120" w:after="0" w:line="240" w:lineRule="auto"/>
        <w:jc w:val="both"/>
        <w:rPr>
          <w:rFonts w:ascii="Times New Roman" w:eastAsia="Times New Roman" w:hAnsi="Times New Roman"/>
          <w:b/>
          <w:bCs/>
          <w:sz w:val="20"/>
          <w:szCs w:val="20"/>
        </w:rPr>
      </w:pPr>
    </w:p>
    <w:p w14:paraId="460CBD88" w14:textId="77777777" w:rsidR="0045105D" w:rsidRDefault="0045105D" w:rsidP="00622AE4">
      <w:pPr>
        <w:spacing w:before="120" w:after="0" w:line="240" w:lineRule="auto"/>
        <w:jc w:val="both"/>
        <w:rPr>
          <w:rFonts w:ascii="Times New Roman" w:eastAsia="Times New Roman" w:hAnsi="Times New Roman"/>
          <w:b/>
          <w:bCs/>
          <w:sz w:val="20"/>
          <w:szCs w:val="20"/>
        </w:rPr>
      </w:pPr>
    </w:p>
    <w:p w14:paraId="71CFDCAD" w14:textId="77777777" w:rsidR="0045105D" w:rsidRDefault="0045105D" w:rsidP="00622AE4">
      <w:pPr>
        <w:spacing w:before="120" w:after="0" w:line="240" w:lineRule="auto"/>
        <w:jc w:val="both"/>
        <w:rPr>
          <w:rFonts w:ascii="Times New Roman" w:eastAsia="Times New Roman" w:hAnsi="Times New Roman"/>
          <w:b/>
          <w:bCs/>
          <w:sz w:val="20"/>
          <w:szCs w:val="20"/>
        </w:rPr>
      </w:pPr>
    </w:p>
    <w:p w14:paraId="4E51C39F" w14:textId="77777777" w:rsidR="0045105D" w:rsidRDefault="0045105D" w:rsidP="00622AE4">
      <w:pPr>
        <w:spacing w:before="120" w:after="0" w:line="240" w:lineRule="auto"/>
        <w:jc w:val="both"/>
        <w:rPr>
          <w:rFonts w:ascii="Times New Roman" w:eastAsia="Times New Roman" w:hAnsi="Times New Roman"/>
          <w:b/>
          <w:bCs/>
          <w:sz w:val="20"/>
          <w:szCs w:val="20"/>
        </w:rPr>
      </w:pPr>
    </w:p>
    <w:p w14:paraId="72BF8A2A" w14:textId="47BA9FAB" w:rsidR="00537670" w:rsidRDefault="00BF5DD9" w:rsidP="00622AE4">
      <w:pPr>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sidR="00AF5903">
        <w:rPr>
          <w:rFonts w:ascii="Times New Roman" w:eastAsia="Times New Roman" w:hAnsi="Times New Roman"/>
          <w:sz w:val="20"/>
          <w:szCs w:val="20"/>
        </w:rPr>
        <w:t xml:space="preserve"> </w:t>
      </w:r>
      <w:bookmarkStart w:id="0" w:name="_GoBack"/>
      <w:bookmarkEnd w:id="0"/>
      <w:r w:rsidR="00537670">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sidR="00022EA9">
        <w:rPr>
          <w:rFonts w:ascii="Times New Roman" w:eastAsia="Times New Roman" w:hAnsi="Times New Roman"/>
          <w:sz w:val="20"/>
          <w:szCs w:val="20"/>
        </w:rPr>
        <w:t>reference</w:t>
      </w:r>
      <w:r w:rsidR="00022EA9">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w:t>
      </w:r>
      <w:r w:rsidR="004521E5">
        <w:rPr>
          <w:rFonts w:ascii="Times New Roman" w:eastAsia="Times New Roman" w:hAnsi="Times New Roman"/>
          <w:spacing w:val="-1"/>
          <w:sz w:val="20"/>
          <w:szCs w:val="20"/>
        </w:rPr>
        <w:t xml:space="preserve">Report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sidR="004521E5">
        <w:rPr>
          <w:rFonts w:ascii="Times New Roman" w:eastAsia="Times New Roman" w:hAnsi="Times New Roman"/>
          <w:spacing w:val="-3"/>
          <w:sz w:val="20"/>
          <w:szCs w:val="20"/>
        </w:rPr>
        <w:t>Investigation</w:t>
      </w:r>
      <w:r>
        <w:rPr>
          <w:rFonts w:ascii="Times New Roman" w:eastAsia="Times New Roman" w:hAnsi="Times New Roman"/>
          <w:sz w:val="20"/>
          <w:szCs w:val="20"/>
        </w:rPr>
        <w:t>.</w:t>
      </w:r>
    </w:p>
    <w:p w14:paraId="39246153" w14:textId="77777777" w:rsidR="00E24579" w:rsidRPr="00714D24" w:rsidRDefault="001948EA" w:rsidP="001948EA">
      <w:pPr>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w:t>
      </w:r>
      <w:r w:rsidR="00A77731">
        <w:rPr>
          <w:rFonts w:ascii="Times New Roman" w:hAnsi="Times New Roman"/>
          <w:iCs/>
          <w:sz w:val="20"/>
          <w:szCs w:val="20"/>
        </w:rPr>
        <w:t>RM</w:t>
      </w:r>
      <w:r w:rsidRPr="001948EA">
        <w:rPr>
          <w:rFonts w:ascii="Times New Roman" w:hAnsi="Times New Roman"/>
          <w:iCs/>
          <w:sz w:val="20"/>
          <w:szCs w:val="20"/>
        </w:rPr>
        <w:t xml:space="preserve"> should ensure that the SDS in their possession is current. This can be accomplished by contacting the SRM Program: telephone (301) 975-2200; fax (301) 948-3730; e-mail srm</w:t>
      </w:r>
      <w:r w:rsidR="00A148AB">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B4609" w14:textId="77777777" w:rsidR="00A55AC4" w:rsidRDefault="00A55AC4" w:rsidP="00E24579">
      <w:pPr>
        <w:spacing w:after="0" w:line="240" w:lineRule="auto"/>
      </w:pPr>
      <w:r>
        <w:separator/>
      </w:r>
    </w:p>
  </w:endnote>
  <w:endnote w:type="continuationSeparator" w:id="0">
    <w:p w14:paraId="128C7154" w14:textId="77777777" w:rsidR="00A55AC4" w:rsidRDefault="00A55AC4"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9D97B" w14:textId="77777777" w:rsidR="00A55AC4" w:rsidRPr="005315D6" w:rsidRDefault="00A77731" w:rsidP="005315D6">
    <w:pPr>
      <w:pStyle w:val="Footer"/>
      <w:tabs>
        <w:tab w:val="clear" w:pos="4680"/>
        <w:tab w:val="center" w:pos="4320"/>
        <w:tab w:val="left" w:pos="8370"/>
      </w:tabs>
      <w:rPr>
        <w:rFonts w:ascii="Times New Roman" w:hAnsi="Times New Roman"/>
        <w:sz w:val="20"/>
        <w:szCs w:val="20"/>
      </w:rPr>
    </w:pPr>
    <w:r>
      <w:rPr>
        <w:rFonts w:ascii="Times New Roman" w:hAnsi="Times New Roman"/>
        <w:sz w:val="20"/>
        <w:szCs w:val="20"/>
      </w:rPr>
      <w:t>RM</w:t>
    </w:r>
    <w:r w:rsidR="00A55AC4" w:rsidRPr="00371ED3">
      <w:rPr>
        <w:rFonts w:ascii="Times New Roman" w:hAnsi="Times New Roman"/>
        <w:sz w:val="20"/>
        <w:szCs w:val="20"/>
      </w:rPr>
      <w:t xml:space="preserve"> </w:t>
    </w:r>
    <w:r w:rsidR="007A04F0">
      <w:rPr>
        <w:rFonts w:ascii="Times New Roman" w:hAnsi="Times New Roman"/>
        <w:sz w:val="20"/>
        <w:szCs w:val="20"/>
      </w:rPr>
      <w:t>8549</w:t>
    </w:r>
    <w:r w:rsidR="00A55AC4" w:rsidRPr="00371ED3">
      <w:rPr>
        <w:rFonts w:ascii="Times New Roman" w:hAnsi="Times New Roman"/>
        <w:sz w:val="20"/>
        <w:szCs w:val="20"/>
      </w:rPr>
      <w:tab/>
    </w:r>
    <w:r w:rsidR="00A55AC4" w:rsidRPr="005315D6">
      <w:rPr>
        <w:rFonts w:ascii="Times New Roman" w:hAnsi="Times New Roman"/>
        <w:sz w:val="20"/>
        <w:szCs w:val="20"/>
      </w:rPr>
      <w:tab/>
      <w:t xml:space="preserve">Page </w:t>
    </w:r>
    <w:r w:rsidR="00A55AC4">
      <w:rPr>
        <w:rStyle w:val="PageNumber"/>
        <w:rFonts w:ascii="Times New Roman" w:hAnsi="Times New Roman"/>
        <w:sz w:val="20"/>
        <w:szCs w:val="20"/>
      </w:rPr>
      <w:fldChar w:fldCharType="begin"/>
    </w:r>
    <w:r w:rsidR="00A55AC4">
      <w:rPr>
        <w:rStyle w:val="PageNumber"/>
        <w:rFonts w:ascii="Times New Roman" w:hAnsi="Times New Roman"/>
        <w:sz w:val="20"/>
        <w:szCs w:val="20"/>
      </w:rPr>
      <w:instrText xml:space="preserve"> PAGE  </w:instrText>
    </w:r>
    <w:r w:rsidR="00A55AC4">
      <w:rPr>
        <w:rStyle w:val="PageNumber"/>
        <w:rFonts w:ascii="Times New Roman" w:hAnsi="Times New Roman"/>
        <w:sz w:val="20"/>
        <w:szCs w:val="20"/>
      </w:rPr>
      <w:fldChar w:fldCharType="separate"/>
    </w:r>
    <w:r w:rsidR="00AF5903">
      <w:rPr>
        <w:rStyle w:val="PageNumber"/>
        <w:rFonts w:ascii="Times New Roman" w:hAnsi="Times New Roman"/>
        <w:noProof/>
        <w:sz w:val="20"/>
        <w:szCs w:val="20"/>
      </w:rPr>
      <w:t>6</w:t>
    </w:r>
    <w:r w:rsidR="00A55AC4">
      <w:rPr>
        <w:rStyle w:val="PageNumber"/>
        <w:rFonts w:ascii="Times New Roman" w:hAnsi="Times New Roman"/>
        <w:sz w:val="20"/>
        <w:szCs w:val="20"/>
      </w:rPr>
      <w:fldChar w:fldCharType="end"/>
    </w:r>
    <w:r w:rsidR="00A55AC4" w:rsidRPr="005315D6">
      <w:rPr>
        <w:rStyle w:val="PageNumber"/>
        <w:rFonts w:ascii="Times New Roman" w:hAnsi="Times New Roman"/>
        <w:sz w:val="20"/>
        <w:szCs w:val="20"/>
      </w:rPr>
      <w:t xml:space="preserve"> of </w:t>
    </w:r>
    <w:r w:rsidR="00A55AC4">
      <w:rPr>
        <w:rStyle w:val="PageNumber"/>
        <w:rFonts w:ascii="Times New Roman" w:hAnsi="Times New Roman"/>
        <w:sz w:val="20"/>
        <w:szCs w:val="20"/>
      </w:rPr>
      <w:fldChar w:fldCharType="begin"/>
    </w:r>
    <w:r w:rsidR="00A55AC4">
      <w:rPr>
        <w:rStyle w:val="PageNumber"/>
        <w:rFonts w:ascii="Times New Roman" w:hAnsi="Times New Roman"/>
        <w:sz w:val="20"/>
        <w:szCs w:val="20"/>
      </w:rPr>
      <w:instrText xml:space="preserve"> NUMPAGES   \* MERGEFORMAT </w:instrText>
    </w:r>
    <w:r w:rsidR="00A55AC4">
      <w:rPr>
        <w:rStyle w:val="PageNumber"/>
        <w:rFonts w:ascii="Times New Roman" w:hAnsi="Times New Roman"/>
        <w:sz w:val="20"/>
        <w:szCs w:val="20"/>
      </w:rPr>
      <w:fldChar w:fldCharType="separate"/>
    </w:r>
    <w:r w:rsidR="00AF5903">
      <w:rPr>
        <w:rStyle w:val="PageNumber"/>
        <w:rFonts w:ascii="Times New Roman" w:hAnsi="Times New Roman"/>
        <w:noProof/>
        <w:sz w:val="20"/>
        <w:szCs w:val="20"/>
      </w:rPr>
      <w:t>6</w:t>
    </w:r>
    <w:r w:rsidR="00A55AC4">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95BF7" w14:textId="77777777" w:rsidR="00A55AC4" w:rsidRDefault="00A55AC4" w:rsidP="00E24579">
      <w:pPr>
        <w:spacing w:after="0" w:line="240" w:lineRule="auto"/>
      </w:pPr>
      <w:r>
        <w:separator/>
      </w:r>
    </w:p>
  </w:footnote>
  <w:footnote w:type="continuationSeparator" w:id="0">
    <w:p w14:paraId="004E2D9C" w14:textId="77777777" w:rsidR="00A55AC4" w:rsidRDefault="00A55AC4"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drawingGridHorizontalSpacing w:val="110"/>
  <w:displayHorizontalDrawingGridEvery w:val="2"/>
  <w:characterSpacingControl w:val="doNotCompress"/>
  <w:hdrShapeDefaults>
    <o:shapedefaults v:ext="edit" spidmax="27136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5C5"/>
    <w:rsid w:val="000062AB"/>
    <w:rsid w:val="00011CAC"/>
    <w:rsid w:val="00014F56"/>
    <w:rsid w:val="00015F8E"/>
    <w:rsid w:val="00017808"/>
    <w:rsid w:val="00022EA9"/>
    <w:rsid w:val="00025571"/>
    <w:rsid w:val="00031E7B"/>
    <w:rsid w:val="00033B44"/>
    <w:rsid w:val="00037080"/>
    <w:rsid w:val="00037460"/>
    <w:rsid w:val="000425F7"/>
    <w:rsid w:val="00042FF5"/>
    <w:rsid w:val="00044B7C"/>
    <w:rsid w:val="0005067D"/>
    <w:rsid w:val="00050933"/>
    <w:rsid w:val="00052A14"/>
    <w:rsid w:val="00054A71"/>
    <w:rsid w:val="00057ADE"/>
    <w:rsid w:val="0006215E"/>
    <w:rsid w:val="0007601E"/>
    <w:rsid w:val="00081F5B"/>
    <w:rsid w:val="00081FFA"/>
    <w:rsid w:val="00085816"/>
    <w:rsid w:val="000921CC"/>
    <w:rsid w:val="00094BF8"/>
    <w:rsid w:val="00095044"/>
    <w:rsid w:val="000A067C"/>
    <w:rsid w:val="000B79EB"/>
    <w:rsid w:val="000C0534"/>
    <w:rsid w:val="000C4F14"/>
    <w:rsid w:val="000D31BB"/>
    <w:rsid w:val="000D4CBF"/>
    <w:rsid w:val="000E08E6"/>
    <w:rsid w:val="000E147E"/>
    <w:rsid w:val="000E1EBF"/>
    <w:rsid w:val="000E30C9"/>
    <w:rsid w:val="000E3B6D"/>
    <w:rsid w:val="000E615A"/>
    <w:rsid w:val="000F1959"/>
    <w:rsid w:val="000F255D"/>
    <w:rsid w:val="00104BD2"/>
    <w:rsid w:val="00112C69"/>
    <w:rsid w:val="001248AA"/>
    <w:rsid w:val="00124F4B"/>
    <w:rsid w:val="00125FD4"/>
    <w:rsid w:val="00130CC0"/>
    <w:rsid w:val="001312BF"/>
    <w:rsid w:val="00136B4D"/>
    <w:rsid w:val="00144362"/>
    <w:rsid w:val="001449AE"/>
    <w:rsid w:val="00144ADE"/>
    <w:rsid w:val="00145AD5"/>
    <w:rsid w:val="00150BAB"/>
    <w:rsid w:val="001522F5"/>
    <w:rsid w:val="0015519D"/>
    <w:rsid w:val="00164E13"/>
    <w:rsid w:val="00170F65"/>
    <w:rsid w:val="00172026"/>
    <w:rsid w:val="00174427"/>
    <w:rsid w:val="00175EFF"/>
    <w:rsid w:val="00184768"/>
    <w:rsid w:val="001862E9"/>
    <w:rsid w:val="001930E9"/>
    <w:rsid w:val="00193FA9"/>
    <w:rsid w:val="001948EA"/>
    <w:rsid w:val="00194A53"/>
    <w:rsid w:val="00195830"/>
    <w:rsid w:val="0019668F"/>
    <w:rsid w:val="001A19D3"/>
    <w:rsid w:val="001A628B"/>
    <w:rsid w:val="001A69D9"/>
    <w:rsid w:val="001B73C7"/>
    <w:rsid w:val="001B78DF"/>
    <w:rsid w:val="001C4AA7"/>
    <w:rsid w:val="001C4F6D"/>
    <w:rsid w:val="001D037A"/>
    <w:rsid w:val="001D0D6B"/>
    <w:rsid w:val="001D7FE4"/>
    <w:rsid w:val="001E1EEB"/>
    <w:rsid w:val="001F4AA3"/>
    <w:rsid w:val="001F5A72"/>
    <w:rsid w:val="00203853"/>
    <w:rsid w:val="00203A9F"/>
    <w:rsid w:val="00206AE7"/>
    <w:rsid w:val="0021012C"/>
    <w:rsid w:val="0021141E"/>
    <w:rsid w:val="00221C4C"/>
    <w:rsid w:val="002237B1"/>
    <w:rsid w:val="00224515"/>
    <w:rsid w:val="0022776B"/>
    <w:rsid w:val="002326AE"/>
    <w:rsid w:val="00232FEE"/>
    <w:rsid w:val="00235B60"/>
    <w:rsid w:val="00236BED"/>
    <w:rsid w:val="002372B2"/>
    <w:rsid w:val="00241552"/>
    <w:rsid w:val="00242591"/>
    <w:rsid w:val="002533D6"/>
    <w:rsid w:val="00254F16"/>
    <w:rsid w:val="00271910"/>
    <w:rsid w:val="002732BD"/>
    <w:rsid w:val="002762BE"/>
    <w:rsid w:val="0027732F"/>
    <w:rsid w:val="00280063"/>
    <w:rsid w:val="0028318C"/>
    <w:rsid w:val="00283890"/>
    <w:rsid w:val="00283F8E"/>
    <w:rsid w:val="00293103"/>
    <w:rsid w:val="00293C8F"/>
    <w:rsid w:val="00295831"/>
    <w:rsid w:val="00296D45"/>
    <w:rsid w:val="00296E4D"/>
    <w:rsid w:val="002A0775"/>
    <w:rsid w:val="002A3CAA"/>
    <w:rsid w:val="002B177E"/>
    <w:rsid w:val="002B2021"/>
    <w:rsid w:val="002B22C8"/>
    <w:rsid w:val="002B60F0"/>
    <w:rsid w:val="002C5045"/>
    <w:rsid w:val="002D243C"/>
    <w:rsid w:val="002D63F4"/>
    <w:rsid w:val="002F224A"/>
    <w:rsid w:val="002F3AF7"/>
    <w:rsid w:val="003003A8"/>
    <w:rsid w:val="003045F2"/>
    <w:rsid w:val="00305987"/>
    <w:rsid w:val="0030612C"/>
    <w:rsid w:val="003135B6"/>
    <w:rsid w:val="003142CE"/>
    <w:rsid w:val="0031663D"/>
    <w:rsid w:val="003268DD"/>
    <w:rsid w:val="00326A67"/>
    <w:rsid w:val="00327DFD"/>
    <w:rsid w:val="00335DD7"/>
    <w:rsid w:val="003375EA"/>
    <w:rsid w:val="00343B25"/>
    <w:rsid w:val="00345A2A"/>
    <w:rsid w:val="00345BDB"/>
    <w:rsid w:val="003465E2"/>
    <w:rsid w:val="003466CD"/>
    <w:rsid w:val="0034708E"/>
    <w:rsid w:val="00351D47"/>
    <w:rsid w:val="00356B2F"/>
    <w:rsid w:val="00365F00"/>
    <w:rsid w:val="00371C2D"/>
    <w:rsid w:val="00371ED3"/>
    <w:rsid w:val="0037222D"/>
    <w:rsid w:val="003727AC"/>
    <w:rsid w:val="00373352"/>
    <w:rsid w:val="003738E1"/>
    <w:rsid w:val="00375A53"/>
    <w:rsid w:val="00383F47"/>
    <w:rsid w:val="00394368"/>
    <w:rsid w:val="0039599D"/>
    <w:rsid w:val="0039664D"/>
    <w:rsid w:val="0039690E"/>
    <w:rsid w:val="003B2C06"/>
    <w:rsid w:val="003B54FB"/>
    <w:rsid w:val="003C76DF"/>
    <w:rsid w:val="003D5857"/>
    <w:rsid w:val="003D6279"/>
    <w:rsid w:val="003E00D3"/>
    <w:rsid w:val="003E1DDF"/>
    <w:rsid w:val="003E2700"/>
    <w:rsid w:val="003E2775"/>
    <w:rsid w:val="003E35C5"/>
    <w:rsid w:val="003E4026"/>
    <w:rsid w:val="003E5A7F"/>
    <w:rsid w:val="004021D2"/>
    <w:rsid w:val="00402345"/>
    <w:rsid w:val="0040263E"/>
    <w:rsid w:val="00404335"/>
    <w:rsid w:val="00405269"/>
    <w:rsid w:val="00423459"/>
    <w:rsid w:val="0042658F"/>
    <w:rsid w:val="00427C65"/>
    <w:rsid w:val="00431968"/>
    <w:rsid w:val="0043249C"/>
    <w:rsid w:val="0043380E"/>
    <w:rsid w:val="0044122E"/>
    <w:rsid w:val="0044226E"/>
    <w:rsid w:val="00444104"/>
    <w:rsid w:val="004457B0"/>
    <w:rsid w:val="00446EE2"/>
    <w:rsid w:val="004478AB"/>
    <w:rsid w:val="00450AD0"/>
    <w:rsid w:val="0045105D"/>
    <w:rsid w:val="004521E5"/>
    <w:rsid w:val="004521E9"/>
    <w:rsid w:val="00454A7B"/>
    <w:rsid w:val="00455695"/>
    <w:rsid w:val="00466137"/>
    <w:rsid w:val="00471423"/>
    <w:rsid w:val="00474DF2"/>
    <w:rsid w:val="00476880"/>
    <w:rsid w:val="00480ED9"/>
    <w:rsid w:val="004918E2"/>
    <w:rsid w:val="00493484"/>
    <w:rsid w:val="004A6E3F"/>
    <w:rsid w:val="004C2F0A"/>
    <w:rsid w:val="004D0BBF"/>
    <w:rsid w:val="004D5A88"/>
    <w:rsid w:val="004E06D8"/>
    <w:rsid w:val="004E5DB2"/>
    <w:rsid w:val="004E5DCE"/>
    <w:rsid w:val="004E734D"/>
    <w:rsid w:val="004E7C12"/>
    <w:rsid w:val="004F1C1D"/>
    <w:rsid w:val="004F46FD"/>
    <w:rsid w:val="004F76D5"/>
    <w:rsid w:val="0050110A"/>
    <w:rsid w:val="005077A2"/>
    <w:rsid w:val="00510CBD"/>
    <w:rsid w:val="00517108"/>
    <w:rsid w:val="00521CB4"/>
    <w:rsid w:val="00524A77"/>
    <w:rsid w:val="00525BC6"/>
    <w:rsid w:val="005260E5"/>
    <w:rsid w:val="005315D6"/>
    <w:rsid w:val="005319F6"/>
    <w:rsid w:val="00534548"/>
    <w:rsid w:val="00535AAC"/>
    <w:rsid w:val="00537670"/>
    <w:rsid w:val="005401AD"/>
    <w:rsid w:val="00547FA7"/>
    <w:rsid w:val="0055271F"/>
    <w:rsid w:val="005550E0"/>
    <w:rsid w:val="00556719"/>
    <w:rsid w:val="0055792B"/>
    <w:rsid w:val="0056308B"/>
    <w:rsid w:val="00565AA3"/>
    <w:rsid w:val="0057262B"/>
    <w:rsid w:val="00584A22"/>
    <w:rsid w:val="00585970"/>
    <w:rsid w:val="00592E01"/>
    <w:rsid w:val="005975CD"/>
    <w:rsid w:val="005A20A4"/>
    <w:rsid w:val="005A57FE"/>
    <w:rsid w:val="005A73FE"/>
    <w:rsid w:val="005B6462"/>
    <w:rsid w:val="005B79A8"/>
    <w:rsid w:val="005C2523"/>
    <w:rsid w:val="005C65B1"/>
    <w:rsid w:val="005D0F87"/>
    <w:rsid w:val="005D3405"/>
    <w:rsid w:val="005D4139"/>
    <w:rsid w:val="005D632D"/>
    <w:rsid w:val="005E0A42"/>
    <w:rsid w:val="005E26AF"/>
    <w:rsid w:val="005E4F60"/>
    <w:rsid w:val="005E4FDC"/>
    <w:rsid w:val="005E750D"/>
    <w:rsid w:val="005E7C52"/>
    <w:rsid w:val="005F0733"/>
    <w:rsid w:val="005F656F"/>
    <w:rsid w:val="005F7AEB"/>
    <w:rsid w:val="00600C7C"/>
    <w:rsid w:val="00606535"/>
    <w:rsid w:val="00620718"/>
    <w:rsid w:val="00622AE4"/>
    <w:rsid w:val="00622BAB"/>
    <w:rsid w:val="00622F65"/>
    <w:rsid w:val="00623C6E"/>
    <w:rsid w:val="00624DF7"/>
    <w:rsid w:val="006251CA"/>
    <w:rsid w:val="006255F3"/>
    <w:rsid w:val="006318E0"/>
    <w:rsid w:val="00632742"/>
    <w:rsid w:val="006348D9"/>
    <w:rsid w:val="0064486D"/>
    <w:rsid w:val="00645989"/>
    <w:rsid w:val="006464DB"/>
    <w:rsid w:val="006471B5"/>
    <w:rsid w:val="006521F6"/>
    <w:rsid w:val="00655EC3"/>
    <w:rsid w:val="00661CCC"/>
    <w:rsid w:val="0066464E"/>
    <w:rsid w:val="0067497C"/>
    <w:rsid w:val="0067534E"/>
    <w:rsid w:val="00676966"/>
    <w:rsid w:val="006821C7"/>
    <w:rsid w:val="0068405F"/>
    <w:rsid w:val="006856D3"/>
    <w:rsid w:val="006878A2"/>
    <w:rsid w:val="00693E96"/>
    <w:rsid w:val="006B276B"/>
    <w:rsid w:val="006B6FE9"/>
    <w:rsid w:val="006C412A"/>
    <w:rsid w:val="006C4AC4"/>
    <w:rsid w:val="006D111E"/>
    <w:rsid w:val="006D24D9"/>
    <w:rsid w:val="006D3E1F"/>
    <w:rsid w:val="006D5D28"/>
    <w:rsid w:val="006E1591"/>
    <w:rsid w:val="006E45CF"/>
    <w:rsid w:val="006E5E61"/>
    <w:rsid w:val="006E61C7"/>
    <w:rsid w:val="006F049A"/>
    <w:rsid w:val="006F0F73"/>
    <w:rsid w:val="00705AF3"/>
    <w:rsid w:val="00706B0F"/>
    <w:rsid w:val="00710FAA"/>
    <w:rsid w:val="00714D24"/>
    <w:rsid w:val="00717B98"/>
    <w:rsid w:val="0072264A"/>
    <w:rsid w:val="00726A18"/>
    <w:rsid w:val="00730686"/>
    <w:rsid w:val="0073150A"/>
    <w:rsid w:val="007315EF"/>
    <w:rsid w:val="007372E2"/>
    <w:rsid w:val="00743478"/>
    <w:rsid w:val="0074370B"/>
    <w:rsid w:val="00745735"/>
    <w:rsid w:val="007471B6"/>
    <w:rsid w:val="007502B5"/>
    <w:rsid w:val="007574D4"/>
    <w:rsid w:val="0076543A"/>
    <w:rsid w:val="007666FB"/>
    <w:rsid w:val="00766715"/>
    <w:rsid w:val="00771459"/>
    <w:rsid w:val="00772DAC"/>
    <w:rsid w:val="00773337"/>
    <w:rsid w:val="00783F68"/>
    <w:rsid w:val="00792487"/>
    <w:rsid w:val="007958ED"/>
    <w:rsid w:val="007975C5"/>
    <w:rsid w:val="007A04F0"/>
    <w:rsid w:val="007B1C3D"/>
    <w:rsid w:val="007B56D0"/>
    <w:rsid w:val="007C7A9C"/>
    <w:rsid w:val="007C7F6E"/>
    <w:rsid w:val="007D2D50"/>
    <w:rsid w:val="007E335A"/>
    <w:rsid w:val="007E3AD9"/>
    <w:rsid w:val="007E6EDD"/>
    <w:rsid w:val="007F3DD7"/>
    <w:rsid w:val="007F5046"/>
    <w:rsid w:val="007F5C40"/>
    <w:rsid w:val="007F660E"/>
    <w:rsid w:val="007F72BA"/>
    <w:rsid w:val="0080223C"/>
    <w:rsid w:val="00806B31"/>
    <w:rsid w:val="00807074"/>
    <w:rsid w:val="008141BE"/>
    <w:rsid w:val="008154F9"/>
    <w:rsid w:val="00821095"/>
    <w:rsid w:val="008354ED"/>
    <w:rsid w:val="00836B33"/>
    <w:rsid w:val="00845FD5"/>
    <w:rsid w:val="00851D06"/>
    <w:rsid w:val="0085681D"/>
    <w:rsid w:val="008660ED"/>
    <w:rsid w:val="008665F3"/>
    <w:rsid w:val="00881C3C"/>
    <w:rsid w:val="008854F1"/>
    <w:rsid w:val="00886C5A"/>
    <w:rsid w:val="008925FA"/>
    <w:rsid w:val="00893F73"/>
    <w:rsid w:val="00897F09"/>
    <w:rsid w:val="008A179D"/>
    <w:rsid w:val="008B0690"/>
    <w:rsid w:val="008B0AFF"/>
    <w:rsid w:val="008B512B"/>
    <w:rsid w:val="008B7934"/>
    <w:rsid w:val="008C318D"/>
    <w:rsid w:val="008E1A8B"/>
    <w:rsid w:val="008E1B26"/>
    <w:rsid w:val="008E209F"/>
    <w:rsid w:val="008F0CE1"/>
    <w:rsid w:val="008F646B"/>
    <w:rsid w:val="0090292B"/>
    <w:rsid w:val="00902F44"/>
    <w:rsid w:val="009037A7"/>
    <w:rsid w:val="00904C86"/>
    <w:rsid w:val="0090699C"/>
    <w:rsid w:val="00910CEA"/>
    <w:rsid w:val="00910EA2"/>
    <w:rsid w:val="00911A75"/>
    <w:rsid w:val="00914FE6"/>
    <w:rsid w:val="00915962"/>
    <w:rsid w:val="009175D1"/>
    <w:rsid w:val="00921529"/>
    <w:rsid w:val="00921852"/>
    <w:rsid w:val="00931BB0"/>
    <w:rsid w:val="00935858"/>
    <w:rsid w:val="00942D37"/>
    <w:rsid w:val="00945D7B"/>
    <w:rsid w:val="00946ED4"/>
    <w:rsid w:val="00953EFC"/>
    <w:rsid w:val="00953F23"/>
    <w:rsid w:val="00955F09"/>
    <w:rsid w:val="009567A7"/>
    <w:rsid w:val="009568A3"/>
    <w:rsid w:val="009577B6"/>
    <w:rsid w:val="00957A04"/>
    <w:rsid w:val="00957B26"/>
    <w:rsid w:val="00970CB4"/>
    <w:rsid w:val="00971EDC"/>
    <w:rsid w:val="009743C9"/>
    <w:rsid w:val="00981AAE"/>
    <w:rsid w:val="00981BDB"/>
    <w:rsid w:val="0098347B"/>
    <w:rsid w:val="00986ABE"/>
    <w:rsid w:val="0099140F"/>
    <w:rsid w:val="0099505F"/>
    <w:rsid w:val="009A0431"/>
    <w:rsid w:val="009A7EB5"/>
    <w:rsid w:val="009C1029"/>
    <w:rsid w:val="009D2422"/>
    <w:rsid w:val="009D2B8E"/>
    <w:rsid w:val="009D4115"/>
    <w:rsid w:val="009D41AB"/>
    <w:rsid w:val="009D66FA"/>
    <w:rsid w:val="009E33CE"/>
    <w:rsid w:val="009E52FC"/>
    <w:rsid w:val="009E5BA8"/>
    <w:rsid w:val="009E5C8E"/>
    <w:rsid w:val="009E6D6C"/>
    <w:rsid w:val="009F18A8"/>
    <w:rsid w:val="009F3C46"/>
    <w:rsid w:val="009F3CED"/>
    <w:rsid w:val="009F49E7"/>
    <w:rsid w:val="009F5D8D"/>
    <w:rsid w:val="009F6B0C"/>
    <w:rsid w:val="00A00A2B"/>
    <w:rsid w:val="00A0266C"/>
    <w:rsid w:val="00A03091"/>
    <w:rsid w:val="00A112FF"/>
    <w:rsid w:val="00A13A72"/>
    <w:rsid w:val="00A148AB"/>
    <w:rsid w:val="00A14B09"/>
    <w:rsid w:val="00A31B29"/>
    <w:rsid w:val="00A33E0F"/>
    <w:rsid w:val="00A3693C"/>
    <w:rsid w:val="00A45A14"/>
    <w:rsid w:val="00A5395F"/>
    <w:rsid w:val="00A54F76"/>
    <w:rsid w:val="00A55AC4"/>
    <w:rsid w:val="00A56380"/>
    <w:rsid w:val="00A5747B"/>
    <w:rsid w:val="00A62D70"/>
    <w:rsid w:val="00A73159"/>
    <w:rsid w:val="00A77731"/>
    <w:rsid w:val="00A83C51"/>
    <w:rsid w:val="00A9083A"/>
    <w:rsid w:val="00A911CD"/>
    <w:rsid w:val="00A91680"/>
    <w:rsid w:val="00AA6AC2"/>
    <w:rsid w:val="00AA7B83"/>
    <w:rsid w:val="00AB4A6C"/>
    <w:rsid w:val="00AB5FAE"/>
    <w:rsid w:val="00AC1826"/>
    <w:rsid w:val="00AC186F"/>
    <w:rsid w:val="00AC5BC9"/>
    <w:rsid w:val="00AD050B"/>
    <w:rsid w:val="00AD095B"/>
    <w:rsid w:val="00AD30A9"/>
    <w:rsid w:val="00AD30B7"/>
    <w:rsid w:val="00AD6D0A"/>
    <w:rsid w:val="00AD718C"/>
    <w:rsid w:val="00AE20B9"/>
    <w:rsid w:val="00AE2445"/>
    <w:rsid w:val="00AF43ED"/>
    <w:rsid w:val="00AF466B"/>
    <w:rsid w:val="00AF488F"/>
    <w:rsid w:val="00AF5903"/>
    <w:rsid w:val="00AF59DD"/>
    <w:rsid w:val="00AF7E1C"/>
    <w:rsid w:val="00B00F7C"/>
    <w:rsid w:val="00B00FB9"/>
    <w:rsid w:val="00B0155D"/>
    <w:rsid w:val="00B124D7"/>
    <w:rsid w:val="00B1513E"/>
    <w:rsid w:val="00B15A12"/>
    <w:rsid w:val="00B16840"/>
    <w:rsid w:val="00B173FB"/>
    <w:rsid w:val="00B177FF"/>
    <w:rsid w:val="00B255B3"/>
    <w:rsid w:val="00B3313C"/>
    <w:rsid w:val="00B33652"/>
    <w:rsid w:val="00B3644A"/>
    <w:rsid w:val="00B41CE4"/>
    <w:rsid w:val="00B41D6B"/>
    <w:rsid w:val="00B448C3"/>
    <w:rsid w:val="00B45C19"/>
    <w:rsid w:val="00B4602F"/>
    <w:rsid w:val="00B546AD"/>
    <w:rsid w:val="00B54925"/>
    <w:rsid w:val="00B55CD5"/>
    <w:rsid w:val="00B5625C"/>
    <w:rsid w:val="00B56A4E"/>
    <w:rsid w:val="00B670A1"/>
    <w:rsid w:val="00B74E90"/>
    <w:rsid w:val="00B76115"/>
    <w:rsid w:val="00B824E8"/>
    <w:rsid w:val="00B8718F"/>
    <w:rsid w:val="00B874FA"/>
    <w:rsid w:val="00B87CE3"/>
    <w:rsid w:val="00B961FC"/>
    <w:rsid w:val="00B97847"/>
    <w:rsid w:val="00BB0995"/>
    <w:rsid w:val="00BB14A2"/>
    <w:rsid w:val="00BB2A87"/>
    <w:rsid w:val="00BB55E8"/>
    <w:rsid w:val="00BB6919"/>
    <w:rsid w:val="00BC5C79"/>
    <w:rsid w:val="00BD0059"/>
    <w:rsid w:val="00BD0870"/>
    <w:rsid w:val="00BE2946"/>
    <w:rsid w:val="00BF0592"/>
    <w:rsid w:val="00BF230B"/>
    <w:rsid w:val="00BF5DD9"/>
    <w:rsid w:val="00BF6022"/>
    <w:rsid w:val="00BF72CB"/>
    <w:rsid w:val="00C10BCF"/>
    <w:rsid w:val="00C131D0"/>
    <w:rsid w:val="00C1391B"/>
    <w:rsid w:val="00C206D5"/>
    <w:rsid w:val="00C22B05"/>
    <w:rsid w:val="00C253FE"/>
    <w:rsid w:val="00C27D84"/>
    <w:rsid w:val="00C305B4"/>
    <w:rsid w:val="00C30FD3"/>
    <w:rsid w:val="00C31700"/>
    <w:rsid w:val="00C327A6"/>
    <w:rsid w:val="00C372A8"/>
    <w:rsid w:val="00C40E05"/>
    <w:rsid w:val="00C508A0"/>
    <w:rsid w:val="00C513FF"/>
    <w:rsid w:val="00C661E3"/>
    <w:rsid w:val="00C723CD"/>
    <w:rsid w:val="00C8096A"/>
    <w:rsid w:val="00C83E59"/>
    <w:rsid w:val="00C84E3B"/>
    <w:rsid w:val="00C85030"/>
    <w:rsid w:val="00C87FA4"/>
    <w:rsid w:val="00C91840"/>
    <w:rsid w:val="00CA2CBE"/>
    <w:rsid w:val="00CA2D25"/>
    <w:rsid w:val="00CB0FA4"/>
    <w:rsid w:val="00CB2FA3"/>
    <w:rsid w:val="00CC3129"/>
    <w:rsid w:val="00CC6C33"/>
    <w:rsid w:val="00CC6F73"/>
    <w:rsid w:val="00CD0FFB"/>
    <w:rsid w:val="00CD562A"/>
    <w:rsid w:val="00CF6BA4"/>
    <w:rsid w:val="00D03028"/>
    <w:rsid w:val="00D03D0A"/>
    <w:rsid w:val="00D1090B"/>
    <w:rsid w:val="00D1365D"/>
    <w:rsid w:val="00D22593"/>
    <w:rsid w:val="00D2295A"/>
    <w:rsid w:val="00D23428"/>
    <w:rsid w:val="00D23B04"/>
    <w:rsid w:val="00D2533D"/>
    <w:rsid w:val="00D25DBF"/>
    <w:rsid w:val="00D2698E"/>
    <w:rsid w:val="00D3347C"/>
    <w:rsid w:val="00D34188"/>
    <w:rsid w:val="00D3451A"/>
    <w:rsid w:val="00D361ED"/>
    <w:rsid w:val="00D409AB"/>
    <w:rsid w:val="00D42E62"/>
    <w:rsid w:val="00D47B6C"/>
    <w:rsid w:val="00D50473"/>
    <w:rsid w:val="00D536DB"/>
    <w:rsid w:val="00D551BF"/>
    <w:rsid w:val="00D553A7"/>
    <w:rsid w:val="00D60A36"/>
    <w:rsid w:val="00D61695"/>
    <w:rsid w:val="00D639BD"/>
    <w:rsid w:val="00D67D22"/>
    <w:rsid w:val="00D70C8B"/>
    <w:rsid w:val="00D73BA0"/>
    <w:rsid w:val="00D77265"/>
    <w:rsid w:val="00D84537"/>
    <w:rsid w:val="00D86539"/>
    <w:rsid w:val="00D86A39"/>
    <w:rsid w:val="00D86CFF"/>
    <w:rsid w:val="00D90F89"/>
    <w:rsid w:val="00D96CC9"/>
    <w:rsid w:val="00D972A1"/>
    <w:rsid w:val="00D978FB"/>
    <w:rsid w:val="00DA4142"/>
    <w:rsid w:val="00DA4ACF"/>
    <w:rsid w:val="00DB53D1"/>
    <w:rsid w:val="00DB6A37"/>
    <w:rsid w:val="00DC0227"/>
    <w:rsid w:val="00DC1232"/>
    <w:rsid w:val="00DC1A81"/>
    <w:rsid w:val="00DC54CE"/>
    <w:rsid w:val="00DD124C"/>
    <w:rsid w:val="00DD38F6"/>
    <w:rsid w:val="00DE05DB"/>
    <w:rsid w:val="00DE4A46"/>
    <w:rsid w:val="00DE64B4"/>
    <w:rsid w:val="00DF36DB"/>
    <w:rsid w:val="00DF375E"/>
    <w:rsid w:val="00E014A4"/>
    <w:rsid w:val="00E01681"/>
    <w:rsid w:val="00E02297"/>
    <w:rsid w:val="00E0781A"/>
    <w:rsid w:val="00E11166"/>
    <w:rsid w:val="00E12780"/>
    <w:rsid w:val="00E1672A"/>
    <w:rsid w:val="00E24579"/>
    <w:rsid w:val="00E2554B"/>
    <w:rsid w:val="00E2677F"/>
    <w:rsid w:val="00E31138"/>
    <w:rsid w:val="00E37538"/>
    <w:rsid w:val="00E40288"/>
    <w:rsid w:val="00E41B6E"/>
    <w:rsid w:val="00E51A6B"/>
    <w:rsid w:val="00E57A0E"/>
    <w:rsid w:val="00E57CAE"/>
    <w:rsid w:val="00E620ED"/>
    <w:rsid w:val="00E7130C"/>
    <w:rsid w:val="00E71FE2"/>
    <w:rsid w:val="00E81BD0"/>
    <w:rsid w:val="00E82901"/>
    <w:rsid w:val="00E84BFE"/>
    <w:rsid w:val="00E858F7"/>
    <w:rsid w:val="00E85E49"/>
    <w:rsid w:val="00E87111"/>
    <w:rsid w:val="00E93DD1"/>
    <w:rsid w:val="00E953EA"/>
    <w:rsid w:val="00EA4470"/>
    <w:rsid w:val="00EA555B"/>
    <w:rsid w:val="00EA588A"/>
    <w:rsid w:val="00EB329B"/>
    <w:rsid w:val="00EB5E4A"/>
    <w:rsid w:val="00EB6182"/>
    <w:rsid w:val="00EB7190"/>
    <w:rsid w:val="00EC2C72"/>
    <w:rsid w:val="00EC341C"/>
    <w:rsid w:val="00ED5488"/>
    <w:rsid w:val="00EE1BE2"/>
    <w:rsid w:val="00EE1F37"/>
    <w:rsid w:val="00EE4FC2"/>
    <w:rsid w:val="00EE7A13"/>
    <w:rsid w:val="00EF0F7C"/>
    <w:rsid w:val="00EF3786"/>
    <w:rsid w:val="00EF4006"/>
    <w:rsid w:val="00EF46A2"/>
    <w:rsid w:val="00EF6E9D"/>
    <w:rsid w:val="00F00117"/>
    <w:rsid w:val="00F057E8"/>
    <w:rsid w:val="00F07157"/>
    <w:rsid w:val="00F2490E"/>
    <w:rsid w:val="00F27A02"/>
    <w:rsid w:val="00F33A21"/>
    <w:rsid w:val="00F34988"/>
    <w:rsid w:val="00F4046F"/>
    <w:rsid w:val="00F4079E"/>
    <w:rsid w:val="00F42AAB"/>
    <w:rsid w:val="00F52825"/>
    <w:rsid w:val="00F6032E"/>
    <w:rsid w:val="00F63BA2"/>
    <w:rsid w:val="00F648E0"/>
    <w:rsid w:val="00F655EB"/>
    <w:rsid w:val="00F656A2"/>
    <w:rsid w:val="00F65D9D"/>
    <w:rsid w:val="00F67CCA"/>
    <w:rsid w:val="00F7141C"/>
    <w:rsid w:val="00F727E3"/>
    <w:rsid w:val="00F7593E"/>
    <w:rsid w:val="00F915EA"/>
    <w:rsid w:val="00F9275C"/>
    <w:rsid w:val="00F92DAA"/>
    <w:rsid w:val="00F96B26"/>
    <w:rsid w:val="00FA0387"/>
    <w:rsid w:val="00FA5DC8"/>
    <w:rsid w:val="00FA746E"/>
    <w:rsid w:val="00FB10DA"/>
    <w:rsid w:val="00FC1279"/>
    <w:rsid w:val="00FC2A63"/>
    <w:rsid w:val="00FC3C8B"/>
    <w:rsid w:val="00FC7D09"/>
    <w:rsid w:val="00FD381E"/>
    <w:rsid w:val="00FD5524"/>
    <w:rsid w:val="00FE783A"/>
    <w:rsid w:val="00FF11FD"/>
    <w:rsid w:val="00FF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1361"/>
    <o:shapelayout v:ext="edit">
      <o:idmap v:ext="edit" data="1"/>
    </o:shapelayout>
  </w:shapeDefaults>
  <w:decimalSymbol w:val="."/>
  <w:listSeparator w:val=","/>
  <w14:docId w14:val="1340178E"/>
  <w15:docId w15:val="{9F81C063-A3FD-4589-B4AC-924FBA40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pPr>
      <w:spacing w:line="240" w:lineRule="auto"/>
    </w:pPr>
    <w:rPr>
      <w:sz w:val="20"/>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84E3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A17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xnet.nlm.nih.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echa.europa.eu/information-on-chemicals"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ilo.org/dyn/icsc/showcard.display?p_lang=en&amp;p_card_id=0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B063E-B19B-4123-8935-CFAB45CC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15227</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Shuggars, Thomas P.</cp:lastModifiedBy>
  <cp:revision>8</cp:revision>
  <cp:lastPrinted>2014-07-07T15:00:00Z</cp:lastPrinted>
  <dcterms:created xsi:type="dcterms:W3CDTF">2014-07-08T13:28:00Z</dcterms:created>
  <dcterms:modified xsi:type="dcterms:W3CDTF">2014-07-09T17:21:00Z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