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Поляков</w:t>
      </w:r>
      <w:r>
        <w:t xml:space="preserve"> </w:t>
      </w:r>
      <w:r>
        <w:t xml:space="preserve">Глеб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отчёты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Сделайте отчёт по предыдущей лабораторной работе в формате Markdown.</w:t>
      </w:r>
    </w:p>
    <w:p>
      <w:pPr>
        <w:numPr>
          <w:ilvl w:val="0"/>
          <w:numId w:val="1001"/>
        </w:numPr>
        <w:pStyle w:val="Compact"/>
      </w:pPr>
      <w:r>
        <w:t xml:space="preserve">В качестве отчёта просьба предоставить отчёты в 3 форматах: pdf, docx и md (в архиве, поскольку он должен содержать скриншоты, Makefile и т.д.)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3" w:name="предварительные-свед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Предварительные сведения</w:t>
      </w:r>
    </w:p>
    <w:bookmarkStart w:id="22" w:name="базовые-сведения-о-markdown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Базовые сведения о Markdown</w:t>
      </w:r>
    </w:p>
    <w:p>
      <w:pPr>
        <w:pStyle w:val="FirstParagraph"/>
      </w:pPr>
      <w:r>
        <w:t xml:space="preserve">Чтобы создать заголовок, используйте знак ( # ), например:</w:t>
      </w:r>
    </w:p>
    <w:bookmarkEnd w:id="22"/>
    <w:bookmarkEnd w:id="23"/>
    <w:bookmarkEnd w:id="24"/>
    <w:bookmarkStart w:id="30" w:name="this-is-heading-1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This is heading 1</w:t>
      </w:r>
    </w:p>
    <w:bookmarkStart w:id="28" w:name="this-is-heading-2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This is heading 2</w:t>
      </w:r>
    </w:p>
    <w:bookmarkStart w:id="27" w:name="this-is-heading-3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This is heading 3</w:t>
      </w:r>
    </w:p>
    <w:bookmarkStart w:id="26" w:name="this-is-heading-4"/>
    <w:p>
      <w:pPr>
        <w:pStyle w:val="Heading4"/>
      </w:pPr>
      <w:r>
        <w:rPr>
          <w:rStyle w:val="SectionNumber"/>
        </w:rPr>
        <w:t xml:space="preserve">4.1.1.1</w:t>
      </w:r>
      <w:r>
        <w:tab/>
      </w:r>
      <w:r>
        <w:t xml:space="preserve">This is heading 4</w:t>
      </w:r>
    </w:p>
    <w:p>
      <w:pPr>
        <w:pStyle w:val="FirstParagraph"/>
      </w:pPr>
      <w:r>
        <w:t xml:space="preserve">Чтобы задать для текста полужирное начертание, заключите его в двойные звездочки:</w:t>
      </w:r>
    </w:p>
    <w:p>
      <w:pPr>
        <w:pStyle w:val="BodyText"/>
      </w:pPr>
      <w:r>
        <w:t xml:space="preserve">This text is</w:t>
      </w:r>
      <w:r>
        <w:t xml:space="preserve"> </w:t>
      </w:r>
      <w:r>
        <w:rPr>
          <w:bCs/>
          <w:b/>
        </w:rPr>
        <w:t xml:space="preserve">bold</w:t>
      </w:r>
      <w:r>
        <w:t xml:space="preserve">.</w:t>
      </w:r>
    </w:p>
    <w:p>
      <w:pPr>
        <w:pStyle w:val="BodyText"/>
      </w:pPr>
      <w:r>
        <w:t xml:space="preserve">Чтобы задать для текста курсивное начертание, заключите его в одинарные звездочки:</w:t>
      </w:r>
    </w:p>
    <w:p>
      <w:pPr>
        <w:pStyle w:val="BodyText"/>
      </w:pPr>
      <w:r>
        <w:t xml:space="preserve">This text is</w:t>
      </w:r>
      <w:r>
        <w:t xml:space="preserve"> </w:t>
      </w:r>
      <w:r>
        <w:rPr>
          <w:iCs/>
          <w:i/>
        </w:rPr>
        <w:t xml:space="preserve">italic</w:t>
      </w:r>
      <w:r>
        <w:t xml:space="preserve">.</w:t>
      </w:r>
    </w:p>
    <w:p>
      <w:pPr>
        <w:pStyle w:val="BodyText"/>
      </w:pPr>
      <w:r>
        <w:t xml:space="preserve">Чтобы задать для текста полужирное и курсивное начертание, заключите его в тройные звездочки:</w:t>
      </w:r>
    </w:p>
    <w:p>
      <w:pPr>
        <w:pStyle w:val="BodyText"/>
      </w:pPr>
      <w:r>
        <w:t xml:space="preserve">This is text is both</w:t>
      </w:r>
      <w:r>
        <w:t xml:space="preserve"> </w:t>
      </w:r>
      <w:r>
        <w:rPr>
          <w:iCs/>
          <w:i/>
          <w:bCs/>
          <w:b/>
        </w:rPr>
        <w:t xml:space="preserve">bold and italic</w:t>
      </w:r>
      <w:r>
        <w:t xml:space="preserve">.</w:t>
      </w:r>
    </w:p>
    <w:p>
      <w:pPr>
        <w:pStyle w:val="BodyText"/>
      </w:pPr>
      <w:r>
        <w:t xml:space="preserve">Блоки цитирования создаются с помощью символа &gt;:&gt; The drought had lasted now for ten million years, and the reign of</w:t>
      </w:r>
      <w:r>
        <w:t xml:space="preserve"> </w:t>
      </w:r>
      <w:r>
        <w:t xml:space="preserve">↪ the terrible lizards had long since ended. Here on the Equator, in</w:t>
      </w:r>
      <w:r>
        <w:t xml:space="preserve"> </w:t>
      </w:r>
      <w:r>
        <w:t xml:space="preserve">↪ the continent which would one day be known as Africa, the battle</w:t>
      </w:r>
      <w:r>
        <w:t xml:space="preserve"> </w:t>
      </w:r>
      <w:r>
        <w:t xml:space="preserve">↪ for existence had reached a new climax of ferocity, and the victor</w:t>
      </w:r>
      <w:r>
        <w:t xml:space="preserve"> </w:t>
      </w:r>
      <w:r>
        <w:t xml:space="preserve">↪ was not yet in sight. In this barren and desiccated land, only the</w:t>
      </w:r>
      <w:r>
        <w:t xml:space="preserve"> </w:t>
      </w:r>
      <w:r>
        <w:t xml:space="preserve">↪ small or the swift or the fierce could flourish, or even hope to</w:t>
      </w:r>
      <w:r>
        <w:t xml:space="preserve"> </w:t>
      </w:r>
      <w:r>
        <w:t xml:space="preserve">↪ survive.</w:t>
      </w:r>
    </w:p>
    <w:p>
      <w:pPr>
        <w:pStyle w:val="BodyText"/>
      </w:pPr>
      <w:r>
        <w:t xml:space="preserve">Неупорядоченный (маркированный) список можно отформатировать с помощью звездочек или тире:</w:t>
      </w:r>
      <w:r>
        <w:t xml:space="preserve"> </w:t>
      </w:r>
      <w:r>
        <w:t xml:space="preserve">- List item 1</w:t>
      </w:r>
      <w:r>
        <w:t xml:space="preserve"> </w:t>
      </w:r>
      <w:r>
        <w:t xml:space="preserve">- List item 2</w:t>
      </w:r>
      <w:r>
        <w:t xml:space="preserve"> </w:t>
      </w:r>
      <w:r>
        <w:t xml:space="preserve">- List item 3</w:t>
      </w:r>
    </w:p>
    <w:p>
      <w:pPr>
        <w:pStyle w:val="BodyText"/>
      </w:pPr>
      <w:r>
        <w:t xml:space="preserve">Чтобы вложить один список в другой, добавьте отступ для элементов дочернего списка:</w:t>
      </w:r>
    </w:p>
    <w:p>
      <w:pPr>
        <w:numPr>
          <w:ilvl w:val="0"/>
          <w:numId w:val="1002"/>
        </w:numPr>
        <w:pStyle w:val="Compact"/>
      </w:pPr>
      <w:r>
        <w:t xml:space="preserve">List item 1</w:t>
      </w:r>
    </w:p>
    <w:p>
      <w:pPr>
        <w:numPr>
          <w:ilvl w:val="1"/>
          <w:numId w:val="1003"/>
        </w:numPr>
        <w:pStyle w:val="Compact"/>
      </w:pPr>
      <w:r>
        <w:t xml:space="preserve">List item A</w:t>
      </w:r>
    </w:p>
    <w:p>
      <w:pPr>
        <w:numPr>
          <w:ilvl w:val="1"/>
          <w:numId w:val="1003"/>
        </w:numPr>
        <w:pStyle w:val="Compact"/>
      </w:pPr>
      <w:r>
        <w:t xml:space="preserve">List item B</w:t>
      </w:r>
    </w:p>
    <w:p>
      <w:pPr>
        <w:numPr>
          <w:ilvl w:val="0"/>
          <w:numId w:val="1002"/>
        </w:numPr>
        <w:pStyle w:val="Compact"/>
      </w:pPr>
      <w:r>
        <w:t xml:space="preserve">List item 2</w:t>
      </w:r>
    </w:p>
    <w:p>
      <w:pPr>
        <w:pStyle w:val="FirstParagraph"/>
      </w:pPr>
      <w:r>
        <w:t xml:space="preserve">Упорядоченный список можно отформатировать с помощью соответствующих цифр:</w:t>
      </w:r>
    </w:p>
    <w:p>
      <w:pPr>
        <w:numPr>
          <w:ilvl w:val="0"/>
          <w:numId w:val="1004"/>
        </w:numPr>
        <w:pStyle w:val="Compact"/>
      </w:pPr>
      <w:r>
        <w:t xml:space="preserve">First instruction</w:t>
      </w:r>
    </w:p>
    <w:p>
      <w:pPr>
        <w:numPr>
          <w:ilvl w:val="0"/>
          <w:numId w:val="1004"/>
        </w:numPr>
        <w:pStyle w:val="Compact"/>
      </w:pPr>
      <w:r>
        <w:t xml:space="preserve">Second instruction</w:t>
      </w:r>
    </w:p>
    <w:p>
      <w:pPr>
        <w:numPr>
          <w:ilvl w:val="0"/>
          <w:numId w:val="1004"/>
        </w:numPr>
        <w:pStyle w:val="Compact"/>
      </w:pPr>
      <w:r>
        <w:t xml:space="preserve">Third instruction</w:t>
      </w:r>
    </w:p>
    <w:p>
      <w:pPr>
        <w:pStyle w:val="FirstParagraph"/>
      </w:pPr>
      <w:r>
        <w:t xml:space="preserve">Чтобы вложить один список в другой, добавьте отступ для элементов дочернего списка:</w:t>
      </w:r>
    </w:p>
    <w:p>
      <w:pPr>
        <w:numPr>
          <w:ilvl w:val="0"/>
          <w:numId w:val="1005"/>
        </w:numPr>
        <w:pStyle w:val="Compact"/>
      </w:pPr>
      <w:r>
        <w:t xml:space="preserve">First instruction</w:t>
      </w:r>
    </w:p>
    <w:p>
      <w:pPr>
        <w:numPr>
          <w:ilvl w:val="1"/>
          <w:numId w:val="1006"/>
        </w:numPr>
        <w:pStyle w:val="Compact"/>
      </w:pPr>
      <w:r>
        <w:t xml:space="preserve">Sub-instruction</w:t>
      </w:r>
    </w:p>
    <w:p>
      <w:pPr>
        <w:numPr>
          <w:ilvl w:val="1"/>
          <w:numId w:val="1006"/>
        </w:numPr>
        <w:pStyle w:val="Compact"/>
      </w:pPr>
      <w:r>
        <w:t xml:space="preserve">Sub-instruction</w:t>
      </w:r>
    </w:p>
    <w:p>
      <w:pPr>
        <w:numPr>
          <w:ilvl w:val="0"/>
          <w:numId w:val="1005"/>
        </w:numPr>
        <w:pStyle w:val="Compact"/>
      </w:pPr>
      <w:r>
        <w:t xml:space="preserve">Second instruction</w:t>
      </w:r>
    </w:p>
    <w:p>
      <w:pPr>
        <w:pStyle w:val="FirstParagraph"/>
      </w:pPr>
      <w:r>
        <w:t xml:space="preserve">Синтаксис Markdown для встроенной ссылки состоит из части [link text], представляющей текст гиперссылки, и части (file-name.md) –URL-адреса или имени файла, на который дается ссылка:</w:t>
      </w:r>
      <w:r>
        <w:t xml:space="preserve"> </w:t>
      </w:r>
      <w:hyperlink r:id="rId25">
        <w:r>
          <w:rPr>
            <w:rStyle w:val="Hyperlink"/>
          </w:rPr>
          <w:t xml:space="preserve">link text</w:t>
        </w:r>
      </w:hyperlink>
    </w:p>
    <w:p>
      <w:pPr>
        <w:pStyle w:val="BodyText"/>
      </w:pPr>
      <w:r>
        <w:t xml:space="preserve">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простой способ выделить синтаксис для фрагментов кода. Общий формат огражденных блоков кода:</w:t>
      </w:r>
    </w:p>
    <w:p>
      <w:pPr>
        <w:pStyle w:val="BodyText"/>
      </w:pPr>
      <w:r>
        <w:rPr>
          <w:rStyle w:val="VerbatimChar"/>
        </w:rPr>
        <w:t xml:space="preserve">language your code goes in here</w:t>
      </w:r>
    </w:p>
    <w:p>
      <w:pPr>
        <w:pStyle w:val="BodyText"/>
      </w:pPr>
      <w:r>
        <w:t xml:space="preserve">Верхние и нижние индексы:</w:t>
      </w:r>
    </w:p>
    <w:p>
      <w:pPr>
        <w:pStyle w:val="BodyText"/>
      </w:pPr>
      <w:r>
        <w:t xml:space="preserve">записывается как</w:t>
      </w:r>
    </w:p>
    <w:p>
      <w:pPr>
        <w:pStyle w:val="SourceCode"/>
      </w:pPr>
      <w:r>
        <w:rPr>
          <w:rStyle w:val="VerbatimChar"/>
        </w:rPr>
        <w:t xml:space="preserve">H~2~O</w:t>
      </w:r>
    </w:p>
    <w:p>
      <w:pPr>
        <w:pStyle w:val="FirstParagraph"/>
      </w:pPr>
      <w:r>
        <w:t xml:space="preserve">записывается как</w:t>
      </w:r>
    </w:p>
    <w:p>
      <w:pPr>
        <w:pStyle w:val="SourceCode"/>
      </w:pPr>
      <w:r>
        <w:rPr>
          <w:rStyle w:val="VerbatimChar"/>
        </w:rPr>
        <w:t xml:space="preserve">2^10^</w:t>
      </w:r>
    </w:p>
    <w:p>
      <w:pPr>
        <w:pStyle w:val="FirstParagraph"/>
      </w:pPr>
      <w:r>
        <w:t xml:space="preserve">Внутритекстовые формулы делаются аналогично формулам LaTeX. Например, формула sin2(𝑥) + cos2(𝑥) = 1 запишется как</w:t>
      </w:r>
      <w:r>
        <w:t xml:space="preserve"> </w:t>
      </w:r>
      <m:oMath>
        <m:sSup>
          <m:e>
            <m:r>
              <m:rPr>
                <m:sty m:val="p"/>
              </m:rPr>
              <m:t>sin</m:t>
            </m:r>
          </m:e>
          <m:sup>
            <m:r>
              <m:t>2</m:t>
            </m:r>
          </m:sup>
        </m:sSup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+</m:t>
        </m:r>
        <m:sSup>
          <m:e>
            <m:r>
              <m:rPr>
                <m:sty m:val="p"/>
              </m:rPr>
              <m:t>cos</m:t>
            </m:r>
          </m:e>
          <m:sup>
            <m:r>
              <m:t>2</m:t>
            </m:r>
          </m:sup>
        </m:sSup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Выключные формулы:</w:t>
      </w:r>
      <w:r>
        <w:t xml:space="preserve"> </w:t>
      </w:r>
      <w:r>
        <w:t xml:space="preserve">sin2(𝑥) + cos2(𝑥) = 1</w:t>
      </w:r>
    </w:p>
    <w:p>
      <w:pPr>
        <w:pStyle w:val="BodyText"/>
      </w:pPr>
      <w:r>
        <w:t xml:space="preserve">{#eq:eq:sin2+cos2} со ссылкой в тексте «Смотри формулу (</w:t>
      </w:r>
      <w:r>
        <w:rPr>
          <w:bCs/>
          <w:b/>
        </w:rPr>
        <w:t xml:space="preserve">¿eq:eq:sin2+cos2?</w:t>
      </w:r>
      <w:r>
        <w:t xml:space="preserve">).» записывается как</w:t>
      </w:r>
    </w:p>
    <w:p>
      <w:pPr>
        <w:pStyle w:val="SourceCode"/>
      </w:pPr>
      <w:r>
        <w:rPr>
          <w:rStyle w:val="VerbatimChar"/>
        </w:rPr>
        <w:t xml:space="preserve">$$</w:t>
      </w:r>
      <w:r>
        <w:br/>
      </w:r>
      <w:r>
        <w:rPr>
          <w:rStyle w:val="VerbatimChar"/>
        </w:rPr>
        <w:t xml:space="preserve">\sin^2 (x) + \cos^2 (x) = 1</w:t>
      </w:r>
      <w:r>
        <w:br/>
      </w:r>
      <w:r>
        <w:rPr>
          <w:rStyle w:val="VerbatimChar"/>
        </w:rPr>
        <w:t xml:space="preserve">$$ {#eq:eq:sin2+cos2}</w:t>
      </w:r>
      <w:r>
        <w:br/>
      </w:r>
      <w:r>
        <w:rPr>
          <w:rStyle w:val="VerbatimChar"/>
        </w:rPr>
        <w:t xml:space="preserve">Смотри формулу ([-@eq:eq:sin2+cos2]).</w:t>
      </w:r>
    </w:p>
    <w:bookmarkEnd w:id="26"/>
    <w:bookmarkEnd w:id="27"/>
    <w:bookmarkEnd w:id="28"/>
    <w:bookmarkStart w:id="29" w:name="обработка-фаилов-в-формате-markdown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Обработка файлов в формате Markdown</w:t>
      </w:r>
    </w:p>
    <w:p>
      <w:pPr>
        <w:pStyle w:val="FirstParagraph"/>
      </w:pPr>
      <w:r>
        <w:t xml:space="preserve">Для обработки файлов в формате Markdown будем использовать Pandoc https://pandoc.org/. Конкретно, нам понадобится программа pandoc-citeproc https://github.com/jgm/pandoc/releases, https://github.com/lierdakil/pandoc- crossref/releases.</w:t>
      </w:r>
    </w:p>
    <w:p>
      <w:pPr>
        <w:pStyle w:val="BodyText"/>
      </w:pPr>
      <w:r>
        <w:t xml:space="preserve">Преобразовать файл README.md можно следующим образом: pandoc README.md -o README.pdfили так</w:t>
      </w:r>
    </w:p>
    <w:p>
      <w:pPr>
        <w:pStyle w:val="SourceCode"/>
      </w:pPr>
      <w:r>
        <w:rPr>
          <w:rStyle w:val="VerbatimChar"/>
        </w:rPr>
        <w:t xml:space="preserve">pandoc README.md -o README.docxМожно использовать следующий Makefile:</w:t>
      </w:r>
      <w:r>
        <w:br/>
      </w:r>
      <w:r>
        <w:rPr>
          <w:rStyle w:val="VerbatimChar"/>
        </w:rPr>
        <w:t xml:space="preserve">FILES = $(patsubst %.md, %.docx, $(wildcard *.md)) FILES += $(patsubst %.md, %.pdf, $(wildcard *.md))</w:t>
      </w:r>
      <w:r>
        <w:br/>
      </w:r>
      <w:r>
        <w:rPr>
          <w:rStyle w:val="VerbatimChar"/>
        </w:rPr>
        <w:t xml:space="preserve">LATEX_FORMAT =</w:t>
      </w:r>
      <w:r>
        <w:br/>
      </w:r>
      <w:r>
        <w:rPr>
          <w:rStyle w:val="VerbatimChar"/>
        </w:rPr>
        <w:t xml:space="preserve">FILTER = --filter pandoc-crossref</w:t>
      </w:r>
      <w:r>
        <w:br/>
      </w:r>
      <w:r>
        <w:rPr>
          <w:rStyle w:val="VerbatimChar"/>
        </w:rPr>
        <w:t xml:space="preserve">%.docx: %.md</w:t>
      </w:r>
      <w:r>
        <w:br/>
      </w:r>
      <w:r>
        <w:rPr>
          <w:rStyle w:val="VerbatimChar"/>
        </w:rPr>
        <w:t xml:space="preserve">-pandoc "$&lt;" $(FILTER) -o "$@"</w:t>
      </w:r>
      <w:r>
        <w:br/>
      </w:r>
      <w:r>
        <w:rPr>
          <w:rStyle w:val="VerbatimChar"/>
        </w:rPr>
        <w:t xml:space="preserve">%.pdf: %.md</w:t>
      </w:r>
      <w:r>
        <w:br/>
      </w:r>
      <w:r>
        <w:rPr>
          <w:rStyle w:val="VerbatimChar"/>
        </w:rPr>
        <w:t xml:space="preserve">-pandoc "$&lt;" $(LATEX_FORMAT) $(FILTER) -o "$@"</w:t>
      </w:r>
      <w:r>
        <w:br/>
      </w:r>
      <w:r>
        <w:rPr>
          <w:rStyle w:val="VerbatimChar"/>
        </w:rPr>
        <w:t xml:space="preserve">all: $(FILES) @echo $(FILES)</w:t>
      </w:r>
      <w:r>
        <w:br/>
      </w:r>
      <w:r>
        <w:rPr>
          <w:rStyle w:val="VerbatimChar"/>
        </w:rPr>
        <w:t xml:space="preserve">clean:</w:t>
      </w:r>
      <w:r>
        <w:br/>
      </w:r>
      <w:r>
        <w:rPr>
          <w:rStyle w:val="VerbatimChar"/>
        </w:rPr>
        <w:t xml:space="preserve">-rm $(FILES) *~</w:t>
      </w:r>
    </w:p>
    <w:bookmarkEnd w:id="29"/>
    <w:bookmarkEnd w:id="3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7"/>
        </w:numPr>
      </w:pPr>
      <w:r>
        <w:t xml:space="preserve">Добавление цели работы(рис. fig. 1).</w:t>
      </w:r>
    </w:p>
    <w:p>
      <w:pPr>
        <w:numPr>
          <w:ilvl w:val="0"/>
          <w:numId w:val="1000"/>
        </w:numPr>
        <w:pStyle w:val="CaptionedFigure"/>
      </w:pPr>
      <w:bookmarkStart w:id="34" w:name="fig:001"/>
      <w:r>
        <w:drawing>
          <wp:inline>
            <wp:extent cx="5334000" cy="337786"/>
            <wp:effectExtent b="0" l="0" r="0" t="0"/>
            <wp:docPr descr="Рис. 1: Добавление цели работы" title="" id="32" name="Picture"/>
            <a:graphic>
              <a:graphicData uri="http://schemas.openxmlformats.org/drawingml/2006/picture">
                <pic:pic>
                  <pic:nvPicPr>
                    <pic:cNvPr descr="image/Image_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0"/>
        </w:numPr>
        <w:pStyle w:val="ImageCaption"/>
      </w:pPr>
      <w:r>
        <w:t xml:space="preserve">Рис. 1: Добавление цели работы</w:t>
      </w:r>
    </w:p>
    <w:p>
      <w:pPr>
        <w:numPr>
          <w:ilvl w:val="0"/>
          <w:numId w:val="1007"/>
        </w:numPr>
      </w:pPr>
      <w:r>
        <w:t xml:space="preserve">Добавление задания(рис. fig. 2).</w:t>
      </w:r>
    </w:p>
    <w:p>
      <w:pPr>
        <w:numPr>
          <w:ilvl w:val="0"/>
          <w:numId w:val="1000"/>
        </w:numPr>
        <w:pStyle w:val="CaptionedFigure"/>
      </w:pPr>
      <w:bookmarkStart w:id="38" w:name="fig:002"/>
      <w:r>
        <w:drawing>
          <wp:inline>
            <wp:extent cx="5334000" cy="316721"/>
            <wp:effectExtent b="0" l="0" r="0" t="0"/>
            <wp:docPr descr="Рис. 2: Добавление задания" title="" id="36" name="Picture"/>
            <a:graphic>
              <a:graphicData uri="http://schemas.openxmlformats.org/drawingml/2006/picture">
                <pic:pic>
                  <pic:nvPicPr>
                    <pic:cNvPr descr="image/Image_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0"/>
        </w:numPr>
        <w:pStyle w:val="ImageCaption"/>
      </w:pPr>
      <w:r>
        <w:t xml:space="preserve">Рис. 2: Добавление задания</w:t>
      </w:r>
    </w:p>
    <w:p>
      <w:pPr>
        <w:numPr>
          <w:ilvl w:val="0"/>
          <w:numId w:val="1007"/>
        </w:numPr>
      </w:pPr>
      <w:r>
        <w:t xml:space="preserve">Добавление теоретического введения(рис. fig. 3).</w:t>
      </w:r>
    </w:p>
    <w:p>
      <w:pPr>
        <w:numPr>
          <w:ilvl w:val="0"/>
          <w:numId w:val="1000"/>
        </w:numPr>
        <w:pStyle w:val="CaptionedFigure"/>
      </w:pPr>
      <w:bookmarkStart w:id="42" w:name="fig:003"/>
      <w:r>
        <w:drawing>
          <wp:inline>
            <wp:extent cx="5334000" cy="1412875"/>
            <wp:effectExtent b="0" l="0" r="0" t="0"/>
            <wp:docPr descr="Рис. 3: Добавление теоретического введения" title="" id="40" name="Picture"/>
            <a:graphic>
              <a:graphicData uri="http://schemas.openxmlformats.org/drawingml/2006/picture">
                <pic:pic>
                  <pic:nvPicPr>
                    <pic:cNvPr descr="image/Image_3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0"/>
        </w:numPr>
        <w:pStyle w:val="ImageCaption"/>
      </w:pPr>
      <w:r>
        <w:t xml:space="preserve">Рис. 3: Добавление теоретического введения</w:t>
      </w:r>
    </w:p>
    <w:p>
      <w:pPr>
        <w:numPr>
          <w:ilvl w:val="0"/>
          <w:numId w:val="1007"/>
        </w:numPr>
      </w:pPr>
      <w:r>
        <w:t xml:space="preserve">Добавление выполнения лабораторной работы(рис. fig. 4).</w:t>
      </w:r>
    </w:p>
    <w:p>
      <w:pPr>
        <w:numPr>
          <w:ilvl w:val="0"/>
          <w:numId w:val="1000"/>
        </w:numPr>
        <w:pStyle w:val="CaptionedFigure"/>
      </w:pPr>
      <w:bookmarkStart w:id="46" w:name="fig:004"/>
      <w:r>
        <w:drawing>
          <wp:inline>
            <wp:extent cx="5334000" cy="1424095"/>
            <wp:effectExtent b="0" l="0" r="0" t="0"/>
            <wp:docPr descr="Рис. 4: Добавление выполнения лабораторной работы" title="" id="44" name="Picture"/>
            <a:graphic>
              <a:graphicData uri="http://schemas.openxmlformats.org/drawingml/2006/picture">
                <pic:pic>
                  <pic:nvPicPr>
                    <pic:cNvPr descr="image/Image_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0"/>
        </w:numPr>
        <w:pStyle w:val="ImageCaption"/>
      </w:pPr>
      <w:r>
        <w:t xml:space="preserve">Рис. 4: Добавление выполнения лабораторной работы</w:t>
      </w:r>
    </w:p>
    <w:p>
      <w:pPr>
        <w:numPr>
          <w:ilvl w:val="0"/>
          <w:numId w:val="1007"/>
        </w:numPr>
      </w:pPr>
      <w:r>
        <w:t xml:space="preserve">Добавление контрольных вопросов(рис. fig. 5).</w:t>
      </w:r>
    </w:p>
    <w:p>
      <w:pPr>
        <w:numPr>
          <w:ilvl w:val="0"/>
          <w:numId w:val="1000"/>
        </w:numPr>
        <w:pStyle w:val="CaptionedFigure"/>
      </w:pPr>
      <w:bookmarkStart w:id="50" w:name="fig:005"/>
      <w:r>
        <w:drawing>
          <wp:inline>
            <wp:extent cx="5334000" cy="1981200"/>
            <wp:effectExtent b="0" l="0" r="0" t="0"/>
            <wp:docPr descr="Рис. 5: Добавление контрольных вопросов" title="" id="48" name="Picture"/>
            <a:graphic>
              <a:graphicData uri="http://schemas.openxmlformats.org/drawingml/2006/picture">
                <pic:pic>
                  <pic:nvPicPr>
                    <pic:cNvPr descr="image/Image_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0"/>
        </w:numPr>
        <w:pStyle w:val="ImageCaption"/>
      </w:pPr>
      <w:r>
        <w:t xml:space="preserve">Рис. 5: Добавление контрольных вопросов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Научился оформлять отчёты с помощью легковесного языка разметки Markdown.</w:t>
      </w:r>
    </w:p>
    <w:bookmarkEnd w:id="52"/>
    <w:bookmarkStart w:id="54" w:name="список-литературы"/>
    <w:p>
      <w:pPr>
        <w:pStyle w:val="Heading1"/>
      </w:pPr>
      <w:r>
        <w:t xml:space="preserve">Список литературы</w:t>
      </w:r>
    </w:p>
    <w:bookmarkStart w:id="53" w:name="refs"/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hyperlink" Id="rId25" Target="file-name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" Target="file-name.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Поляков Глеб Сергеевич</dc:creator>
  <dc:language>ru-RU</dc:language>
  <cp:keywords/>
  <dcterms:created xsi:type="dcterms:W3CDTF">2023-02-25T17:14:45Z</dcterms:created>
  <dcterms:modified xsi:type="dcterms:W3CDTF">2023-02-25T17:14:45Z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Markdown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