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Поляков</w:t>
      </w:r>
      <w:r>
        <w:t xml:space="preserve"> </w:t>
      </w:r>
      <w:r>
        <w:t xml:space="preserve">Глеб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 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</w:p>
    <w:p>
      <w:pPr>
        <w:numPr>
          <w:ilvl w:val="1"/>
          <w:numId w:val="1002"/>
        </w:numPr>
        <w:pStyle w:val="Compact"/>
      </w:pPr>
      <w:r>
        <w:t xml:space="preserve">Перейдите в каталог /tmp.</w:t>
      </w:r>
    </w:p>
    <w:p>
      <w:pPr>
        <w:numPr>
          <w:ilvl w:val="1"/>
          <w:numId w:val="1002"/>
        </w:numPr>
        <w:pStyle w:val="Compact"/>
      </w:pPr>
      <w:r>
        <w:t xml:space="preserve">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numPr>
          <w:ilvl w:val="1"/>
          <w:numId w:val="1002"/>
        </w:numPr>
        <w:pStyle w:val="Compact"/>
      </w:pPr>
      <w:r>
        <w:t xml:space="preserve">Определите, есть ли в каталоге /var/spool подкаталог с именем cron?</w:t>
      </w:r>
    </w:p>
    <w:p>
      <w:pPr>
        <w:numPr>
          <w:ilvl w:val="1"/>
          <w:numId w:val="1002"/>
        </w:numPr>
        <w:pStyle w:val="Compact"/>
      </w:pP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</w:p>
    <w:p>
      <w:pPr>
        <w:numPr>
          <w:ilvl w:val="1"/>
          <w:numId w:val="1003"/>
        </w:numPr>
        <w:pStyle w:val="Compact"/>
      </w:pPr>
      <w:r>
        <w:t xml:space="preserve">В домашнем каталоге создайте новый каталог с именем newdir.</w:t>
      </w:r>
    </w:p>
    <w:p>
      <w:pPr>
        <w:numPr>
          <w:ilvl w:val="1"/>
          <w:numId w:val="1003"/>
        </w:numPr>
        <w:pStyle w:val="Compact"/>
      </w:pPr>
      <w:r>
        <w:t xml:space="preserve">В каталоге ~/newdir создайте новый каталог с именем morefun.</w:t>
      </w:r>
    </w:p>
    <w:p>
      <w:pPr>
        <w:numPr>
          <w:ilvl w:val="1"/>
          <w:numId w:val="1003"/>
        </w:numPr>
        <w:pStyle w:val="Compact"/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numPr>
          <w:ilvl w:val="1"/>
          <w:numId w:val="1003"/>
        </w:numPr>
        <w:pStyle w:val="Compact"/>
      </w:pPr>
      <w:r>
        <w:t xml:space="preserve">Попробуйте удалить ранее созданный каталог ~/newdir командой rm. Проверьте, был ли каталог удалён.</w:t>
      </w:r>
    </w:p>
    <w:p>
      <w:pPr>
        <w:numPr>
          <w:ilvl w:val="1"/>
          <w:numId w:val="1003"/>
        </w:numPr>
        <w:pStyle w:val="Compact"/>
      </w:pPr>
      <w:r>
        <w:t xml:space="preserve">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припомощи команды history, выполните модификацию и исполнение нескольких команд из буфера команд.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упражнения.(рис. fig. 1)</w:t>
      </w:r>
    </w:p>
    <w:p>
      <w:pPr>
        <w:numPr>
          <w:ilvl w:val="0"/>
          <w:numId w:val="1000"/>
        </w:numPr>
        <w:pStyle w:val="CaptionedFigure"/>
      </w:pPr>
      <w:bookmarkStart w:id="25" w:name="fig:001"/>
      <w:r>
        <w:drawing>
          <wp:inline>
            <wp:extent cx="3312302" cy="831272"/>
            <wp:effectExtent b="0" l="0" r="0" t="0"/>
            <wp:docPr descr="Рис. 1: Полное имя вашего домашнего каталога" title="" id="23" name="Picture"/>
            <a:graphic>
              <a:graphicData uri="http://schemas.openxmlformats.org/drawingml/2006/picture">
                <pic:pic>
                  <pic:nvPicPr>
                    <pic:cNvPr descr="image/Image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02" cy="831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Рис. 1: Полное имя вашего домашнего каталога</w:t>
      </w:r>
    </w:p>
    <w:p>
      <w:pPr>
        <w:numPr>
          <w:ilvl w:val="0"/>
          <w:numId w:val="1004"/>
        </w:numPr>
      </w:pPr>
      <w:r>
        <w:t xml:space="preserve">Переход в каталог /tmp. (рис. fig. 2)</w:t>
      </w:r>
    </w:p>
    <w:p>
      <w:pPr>
        <w:numPr>
          <w:ilvl w:val="0"/>
          <w:numId w:val="1000"/>
        </w:numPr>
        <w:pStyle w:val="CaptionedFigure"/>
      </w:pPr>
      <w:bookmarkStart w:id="29" w:name="fig:002"/>
      <w:r>
        <w:drawing>
          <wp:inline>
            <wp:extent cx="3286724" cy="549918"/>
            <wp:effectExtent b="0" l="0" r="0" t="0"/>
            <wp:docPr descr="Рис. 2: 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Image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24" cy="549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Рис. 2: Переход в каталог /tmp</w:t>
      </w:r>
    </w:p>
    <w:p>
      <w:pPr>
        <w:numPr>
          <w:ilvl w:val="0"/>
          <w:numId w:val="1004"/>
        </w:numPr>
      </w:pPr>
      <w:r>
        <w:t xml:space="preserve">Вывел на экран содержимое каталога /tmp. (рис. fig. 7) (рис. fig. 8) (рис. fig. 9)</w:t>
      </w:r>
    </w:p>
    <w:p>
      <w:pPr>
        <w:numPr>
          <w:ilvl w:val="0"/>
          <w:numId w:val="1000"/>
        </w:numPr>
      </w:pPr>
      <w:bookmarkStart w:id="33" w:name="fig:003"/>
      <w:r>
        <w:drawing>
          <wp:inline>
            <wp:extent cx="5334000" cy="3052835"/>
            <wp:effectExtent b="0" l="0" r="0" t="0"/>
            <wp:docPr descr="ls" title="" id="31" name="Picture"/>
            <a:graphic>
              <a:graphicData uri="http://schemas.openxmlformats.org/drawingml/2006/picture">
                <pic:pic>
                  <pic:nvPicPr>
                    <pic:cNvPr descr="image/Image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bookmarkStart w:id="37" w:name="fig:004"/>
      <w:r>
        <w:drawing>
          <wp:inline>
            <wp:extent cx="5334000" cy="4224472"/>
            <wp:effectExtent b="0" l="0" r="0" t="0"/>
            <wp:docPr descr="ls -a" title="" id="35" name="Picture"/>
            <a:graphic>
              <a:graphicData uri="http://schemas.openxmlformats.org/drawingml/2006/picture">
                <pic:pic>
                  <pic:nvPicPr>
                    <pic:cNvPr descr="image/Image_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4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bookmarkStart w:id="41" w:name="fig:005"/>
      <w:r>
        <w:drawing>
          <wp:inline>
            <wp:extent cx="5334000" cy="4647714"/>
            <wp:effectExtent b="0" l="0" r="0" t="0"/>
            <wp:docPr descr="ls -l" title="" id="39" name="Picture"/>
            <a:graphic>
              <a:graphicData uri="http://schemas.openxmlformats.org/drawingml/2006/picture">
                <pic:pic>
                  <pic:nvPicPr>
                    <pic:cNvPr descr="image/Image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7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4"/>
        </w:numPr>
      </w:pPr>
      <w:r>
        <w:t xml:space="preserve">Поиск в /var/spool подкаталога cron (рис. fig. 3)</w:t>
      </w:r>
    </w:p>
    <w:p>
      <w:pPr>
        <w:numPr>
          <w:ilvl w:val="0"/>
          <w:numId w:val="1000"/>
        </w:numPr>
        <w:pStyle w:val="CaptionedFigure"/>
      </w:pPr>
      <w:bookmarkStart w:id="45" w:name="fig:006"/>
      <w:r>
        <w:drawing>
          <wp:inline>
            <wp:extent cx="5334000" cy="903438"/>
            <wp:effectExtent b="0" l="0" r="0" t="0"/>
            <wp:docPr descr="Рис. 3: Поиск в /var/spool подкаталога cron" title="" id="43" name="Picture"/>
            <a:graphic>
              <a:graphicData uri="http://schemas.openxmlformats.org/drawingml/2006/picture">
                <pic:pic>
                  <pic:nvPicPr>
                    <pic:cNvPr descr="image/Image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Рис. 3: Поиск в /var/spool подкаталога cron</w:t>
      </w:r>
    </w:p>
    <w:p>
      <w:pPr>
        <w:numPr>
          <w:ilvl w:val="0"/>
          <w:numId w:val="1004"/>
        </w:numPr>
      </w:pPr>
      <w:r>
        <w:t xml:space="preserve">Перешел в домашний каталог и вывел на экран его содержимое. (рис. fig. 4)</w:t>
      </w:r>
    </w:p>
    <w:p>
      <w:pPr>
        <w:numPr>
          <w:ilvl w:val="0"/>
          <w:numId w:val="1000"/>
        </w:numPr>
        <w:pStyle w:val="CaptionedFigure"/>
      </w:pPr>
      <w:bookmarkStart w:id="49" w:name="fig:007"/>
      <w:r>
        <w:drawing>
          <wp:inline>
            <wp:extent cx="5334000" cy="1963727"/>
            <wp:effectExtent b="0" l="0" r="0" t="0"/>
            <wp:docPr descr="Рис. 4: Вывод содержимого домашнего каталога" title="" id="47" name="Picture"/>
            <a:graphic>
              <a:graphicData uri="http://schemas.openxmlformats.org/drawingml/2006/picture">
                <pic:pic>
                  <pic:nvPicPr>
                    <pic:cNvPr descr="image/Image_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Рис. 4: Вывод содержимого домашнего каталога</w:t>
      </w:r>
    </w:p>
    <w:p>
      <w:pPr>
        <w:numPr>
          <w:ilvl w:val="0"/>
          <w:numId w:val="1004"/>
        </w:numPr>
      </w:pPr>
      <w:r>
        <w:t xml:space="preserve">В домашнем каталоге создал новый каталог с именем newdir.(рис. fig. 5)</w:t>
      </w:r>
    </w:p>
    <w:p>
      <w:pPr>
        <w:numPr>
          <w:ilvl w:val="0"/>
          <w:numId w:val="1000"/>
        </w:numPr>
        <w:pStyle w:val="CaptionedFigure"/>
      </w:pPr>
      <w:bookmarkStart w:id="53" w:name="fig:008"/>
      <w:r>
        <w:drawing>
          <wp:inline>
            <wp:extent cx="3823854" cy="217409"/>
            <wp:effectExtent b="0" l="0" r="0" t="0"/>
            <wp:docPr descr="Рис. 5: Создание нового каталога" title="" id="51" name="Picture"/>
            <a:graphic>
              <a:graphicData uri="http://schemas.openxmlformats.org/drawingml/2006/picture">
                <pic:pic>
                  <pic:nvPicPr>
                    <pic:cNvPr descr="image/Image_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854" cy="217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Рис. 5: Создание нового каталога</w:t>
      </w:r>
    </w:p>
    <w:p>
      <w:pPr>
        <w:numPr>
          <w:ilvl w:val="0"/>
          <w:numId w:val="1004"/>
        </w:numPr>
      </w:pPr>
      <w:r>
        <w:t xml:space="preserve">В каталоге ~/newdir создайте новый каталог с именем morefun. (рис. fig. 6)</w:t>
      </w:r>
    </w:p>
    <w:p>
      <w:pPr>
        <w:numPr>
          <w:ilvl w:val="0"/>
          <w:numId w:val="1000"/>
        </w:numPr>
        <w:pStyle w:val="CaptionedFigure"/>
      </w:pPr>
      <w:bookmarkStart w:id="57" w:name="fig:009"/>
      <w:r>
        <w:drawing>
          <wp:inline>
            <wp:extent cx="4808593" cy="242987"/>
            <wp:effectExtent b="0" l="0" r="0" t="0"/>
            <wp:docPr descr="Рис. 6: Создание нового каталога" title="" id="55" name="Picture"/>
            <a:graphic>
              <a:graphicData uri="http://schemas.openxmlformats.org/drawingml/2006/picture">
                <pic:pic>
                  <pic:nvPicPr>
                    <pic:cNvPr descr="image/Image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93" cy="2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Рис. 6: Создание нового каталога</w:t>
      </w:r>
    </w:p>
    <w:p>
      <w:pPr>
        <w:numPr>
          <w:ilvl w:val="0"/>
          <w:numId w:val="1004"/>
        </w:numPr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 {#fig:010 width=70%} {#fig:011 width=70%}{#fig:012 width=70%}</w:t>
      </w:r>
    </w:p>
    <w:p>
      <w:pPr>
        <w:numPr>
          <w:ilvl w:val="0"/>
          <w:numId w:val="1000"/>
        </w:numPr>
      </w:pPr>
      <w:bookmarkStart w:id="61" w:name="fig:010"/>
      <w:r>
        <w:drawing>
          <wp:inline>
            <wp:extent cx="5256201" cy="217409"/>
            <wp:effectExtent b="0" l="0" r="0" t="0"/>
            <wp:docPr descr="Создание новых каталогов" title="" id="59" name="Picture"/>
            <a:graphic>
              <a:graphicData uri="http://schemas.openxmlformats.org/drawingml/2006/picture">
                <pic:pic>
                  <pic:nvPicPr>
                    <pic:cNvPr descr="image/Image_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01" cy="217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 </w:t>
      </w:r>
      <w:bookmarkStart w:id="65" w:name="fig:011"/>
      <w:r>
        <w:drawing>
          <wp:inline>
            <wp:extent cx="5281779" cy="294142"/>
            <wp:effectExtent b="0" l="0" r="0" t="0"/>
            <wp:docPr descr="Удаление каталогов" title="" id="63" name="Picture"/>
            <a:graphic>
              <a:graphicData uri="http://schemas.openxmlformats.org/drawingml/2006/picture">
                <pic:pic>
                  <pic:nvPicPr>
                    <pic:cNvPr descr="image/Image_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79" cy="294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 </w:t>
      </w:r>
      <w:bookmarkStart w:id="69" w:name="fig:012"/>
      <w:r>
        <w:drawing>
          <wp:inline>
            <wp:extent cx="5334000" cy="766562"/>
            <wp:effectExtent b="0" l="0" r="0" t="0"/>
            <wp:docPr descr="Проверка каталогов" title="" id="67" name="Picture"/>
            <a:graphic>
              <a:graphicData uri="http://schemas.openxmlformats.org/drawingml/2006/picture">
                <pic:pic>
                  <pic:nvPicPr>
                    <pic:cNvPr descr="image/Image_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numPr>
          <w:ilvl w:val="0"/>
          <w:numId w:val="1004"/>
        </w:numPr>
      </w:pPr>
      <w:r>
        <w:t xml:space="preserve">Попробуйте удалить ранее созданный каталог ~/newdir командой rm. Проверьте, был ли каталог удалён.</w:t>
      </w:r>
    </w:p>
    <w:p>
      <w:pPr>
        <w:numPr>
          <w:ilvl w:val="0"/>
          <w:numId w:val="1004"/>
        </w:numPr>
      </w:pPr>
      <w:r>
        <w:t xml:space="preserve">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4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4"/>
        </w:numPr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4"/>
        </w:numPr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4"/>
        </w:numPr>
      </w:pPr>
      <w:r>
        <w:t xml:space="preserve">Используя информацию, полученную припомощи команды history, выполните модификацию и исполнение нескольких команд из буфера команд.</w:t>
      </w:r>
    </w:p>
    <w:p>
      <w:pPr>
        <w:numPr>
          <w:ilvl w:val="0"/>
          <w:numId w:val="1004"/>
        </w:numPr>
      </w:pPr>
      <w:r>
        <w:t xml:space="preserve">Добавление задания(рис. fig. 2).</w:t>
      </w:r>
    </w:p>
    <w:p>
      <w:pPr>
        <w:numPr>
          <w:ilvl w:val="0"/>
          <w:numId w:val="1004"/>
        </w:numPr>
      </w:pPr>
      <w:r>
        <w:t xml:space="preserve">Добавление теоретического введения(рис. fig. 7).</w:t>
      </w:r>
    </w:p>
    <w:p>
      <w:pPr>
        <w:numPr>
          <w:ilvl w:val="0"/>
          <w:numId w:val="1000"/>
        </w:numPr>
        <w:pStyle w:val="CaptionedFigure"/>
      </w:pPr>
      <w:bookmarkStart w:id="72" w:name="fig:003"/>
      <w:r>
        <w:drawing>
          <wp:inline>
            <wp:extent cx="5334000" cy="3052835"/>
            <wp:effectExtent b="0" l="0" r="0" t="0"/>
            <wp:docPr descr="Рис. 7: Добавление теоретического введения" title="" id="70" name="Picture"/>
            <a:graphic>
              <a:graphicData uri="http://schemas.openxmlformats.org/drawingml/2006/picture">
                <pic:pic>
                  <pic:nvPicPr>
                    <pic:cNvPr descr="image/Image_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00"/>
        </w:numPr>
        <w:pStyle w:val="ImageCaption"/>
      </w:pPr>
      <w:r>
        <w:t xml:space="preserve">Рис. 7: Добавление теоретического введения</w:t>
      </w:r>
    </w:p>
    <w:p>
      <w:pPr>
        <w:numPr>
          <w:ilvl w:val="0"/>
          <w:numId w:val="1004"/>
        </w:numPr>
      </w:pPr>
      <w:r>
        <w:t xml:space="preserve">Добавление выполнения лабораторной работы(рис. fig. 8).</w:t>
      </w:r>
    </w:p>
    <w:p>
      <w:pPr>
        <w:numPr>
          <w:ilvl w:val="0"/>
          <w:numId w:val="1000"/>
        </w:numPr>
        <w:pStyle w:val="CaptionedFigure"/>
      </w:pPr>
      <w:bookmarkStart w:id="75" w:name="fig:004"/>
      <w:r>
        <w:drawing>
          <wp:inline>
            <wp:extent cx="5334000" cy="4224472"/>
            <wp:effectExtent b="0" l="0" r="0" t="0"/>
            <wp:docPr descr="Рис. 8: Добавление выполнения лабораторной работы" title="" id="73" name="Picture"/>
            <a:graphic>
              <a:graphicData uri="http://schemas.openxmlformats.org/drawingml/2006/picture">
                <pic:pic>
                  <pic:nvPicPr>
                    <pic:cNvPr descr="image/Image_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4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numPr>
          <w:ilvl w:val="0"/>
          <w:numId w:val="1000"/>
        </w:numPr>
        <w:pStyle w:val="ImageCaption"/>
      </w:pPr>
      <w:r>
        <w:t xml:space="preserve">Рис. 8: Добавление выполнения лабораторной работы</w:t>
      </w:r>
    </w:p>
    <w:p>
      <w:pPr>
        <w:numPr>
          <w:ilvl w:val="0"/>
          <w:numId w:val="1004"/>
        </w:numPr>
      </w:pPr>
      <w:r>
        <w:t xml:space="preserve">Добавление контрольных вопросов(рис. fig. 9).</w:t>
      </w:r>
    </w:p>
    <w:p>
      <w:pPr>
        <w:numPr>
          <w:ilvl w:val="0"/>
          <w:numId w:val="1000"/>
        </w:numPr>
        <w:pStyle w:val="CaptionedFigure"/>
      </w:pPr>
      <w:bookmarkStart w:id="78" w:name="fig:005"/>
      <w:r>
        <w:drawing>
          <wp:inline>
            <wp:extent cx="5334000" cy="4647714"/>
            <wp:effectExtent b="0" l="0" r="0" t="0"/>
            <wp:docPr descr="Рис. 9: Добавление контрольных вопросов" title="" id="76" name="Picture"/>
            <a:graphic>
              <a:graphicData uri="http://schemas.openxmlformats.org/drawingml/2006/picture">
                <pic:pic>
                  <pic:nvPicPr>
                    <pic:cNvPr descr="image/Image_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7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numPr>
          <w:ilvl w:val="0"/>
          <w:numId w:val="1000"/>
        </w:numPr>
        <w:pStyle w:val="ImageCaption"/>
      </w:pPr>
      <w:r>
        <w:t xml:space="preserve">Рис. 9: Добавление контрольных вопросов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Научился оформлять отчёты с помощью легковесного языка разметки Markdown.</w:t>
      </w:r>
    </w:p>
    <w:bookmarkEnd w:id="80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Поляков Глеб Сергеевич</dc:creator>
  <dc:language>ru-RU</dc:language>
  <cp:keywords/>
  <dcterms:created xsi:type="dcterms:W3CDTF">2023-03-04T20:56:08Z</dcterms:created>
  <dcterms:modified xsi:type="dcterms:W3CDTF">2023-03-04T20:56:08Z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Markdown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