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A8E3" w14:textId="77777777" w:rsidR="00FC7B32" w:rsidRDefault="00000000">
      <w:pPr>
        <w:pStyle w:val="Heading1"/>
      </w:pPr>
      <w:r>
        <w:t>Residential Property Purchase – Sample Overview</w:t>
      </w:r>
    </w:p>
    <w:p w14:paraId="7BF1B1B3" w14:textId="77777777" w:rsidR="00FC7B32" w:rsidRDefault="00000000">
      <w:pPr>
        <w:pStyle w:val="Heading2"/>
      </w:pPr>
      <w:r>
        <w:t>1. Offer and Acceptance</w:t>
      </w:r>
    </w:p>
    <w:p w14:paraId="023B2ACD" w14:textId="77777777" w:rsidR="00FC7B32" w:rsidRDefault="00000000">
      <w:r>
        <w:t>An offer to purchase a residential property is subject to acceptance by the seller. Once accepted, the parties proceed toward exchange of contracts, subject to legal, financial, and survey-related checks.</w:t>
      </w:r>
    </w:p>
    <w:p w14:paraId="32E5A269" w14:textId="77777777" w:rsidR="00FC7B32" w:rsidRDefault="00000000">
      <w:pPr>
        <w:pStyle w:val="Heading2"/>
      </w:pPr>
      <w:r>
        <w:t>2. Conveyancing Process</w:t>
      </w:r>
    </w:p>
    <w:p w14:paraId="2E9468DE" w14:textId="77777777" w:rsidR="00FC7B32" w:rsidRDefault="00000000">
      <w:r>
        <w:t>The conveyancing process involves investigating title, carrying out local authority searches, and reviewing contractual documentation. A solicitor or licensed conveyancer acts on behalf of the buyer to ensure compliance with applicable property law.</w:t>
      </w:r>
    </w:p>
    <w:p w14:paraId="0E87EB83" w14:textId="77777777" w:rsidR="00FC7B32" w:rsidRDefault="00000000">
      <w:pPr>
        <w:pStyle w:val="Heading2"/>
      </w:pPr>
      <w:r>
        <w:t>3. Exchange and Completion</w:t>
      </w:r>
    </w:p>
    <w:p w14:paraId="0F62B26C" w14:textId="77777777" w:rsidR="00FC7B32" w:rsidRDefault="00000000">
      <w:r>
        <w:t>Upon exchange of contracts, the transaction becomes legally binding. Completion occurs when the purchase funds are transferred and legal ownership passes to the buyer.</w:t>
      </w:r>
    </w:p>
    <w:p w14:paraId="586384B1" w14:textId="77777777" w:rsidR="00FC7B32" w:rsidRDefault="00000000">
      <w:pPr>
        <w:pStyle w:val="Heading2"/>
      </w:pPr>
      <w:r>
        <w:t>4. Taxes and Fees</w:t>
      </w:r>
    </w:p>
    <w:p w14:paraId="7CE661A0" w14:textId="77777777" w:rsidR="00FC7B32" w:rsidRDefault="00000000">
      <w:r>
        <w:t>The buyer may be required to pay Stamp Duty Land Tax and associated legal and registration fees. The exact amount payable depends on the purchase price and the buyer’s individual circumstances.</w:t>
      </w:r>
    </w:p>
    <w:sectPr w:rsidR="00FC7B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339509">
    <w:abstractNumId w:val="8"/>
  </w:num>
  <w:num w:numId="2" w16cid:durableId="672610865">
    <w:abstractNumId w:val="6"/>
  </w:num>
  <w:num w:numId="3" w16cid:durableId="1092704136">
    <w:abstractNumId w:val="5"/>
  </w:num>
  <w:num w:numId="4" w16cid:durableId="1540359924">
    <w:abstractNumId w:val="4"/>
  </w:num>
  <w:num w:numId="5" w16cid:durableId="946737063">
    <w:abstractNumId w:val="7"/>
  </w:num>
  <w:num w:numId="6" w16cid:durableId="1010255755">
    <w:abstractNumId w:val="3"/>
  </w:num>
  <w:num w:numId="7" w16cid:durableId="1816142120">
    <w:abstractNumId w:val="2"/>
  </w:num>
  <w:num w:numId="8" w16cid:durableId="1622491493">
    <w:abstractNumId w:val="1"/>
  </w:num>
  <w:num w:numId="9" w16cid:durableId="965358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47A93"/>
    <w:rsid w:val="00F408F7"/>
    <w:rsid w:val="00FC693F"/>
    <w:rsid w:val="00FC7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BB9E408-B651-41CC-99AA-A71FEA9C8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138</Words>
  <Characters>820</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gurvinder kaur</cp:lastModifiedBy>
  <cp:revision>2</cp:revision>
  <dcterms:created xsi:type="dcterms:W3CDTF">2013-12-23T23:15:00Z</dcterms:created>
  <dcterms:modified xsi:type="dcterms:W3CDTF">2026-01-22T19:38:00Z</dcterms:modified>
  <cp:category/>
</cp:coreProperties>
</file>