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54d8epv6jw0y" w:id="0"/>
      <w:bookmarkEnd w:id="0"/>
      <w:r w:rsidDel="00000000" w:rsidR="00000000" w:rsidRPr="00000000">
        <w:rPr>
          <w:rtl w:val="0"/>
        </w:rPr>
        <w:t xml:space="preserve">Learning Plan for New Hires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About this document: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Here we outline the following in respect to IM’s new-hire training.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critical services.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Ownership for each Service, Workshop for each Service.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Outline for content (workshop to last about 2 days).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Proposal for one workshop that combines (all?) the services.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We have divided the work between Steven, Stuti, and Tejus because the Haliburton folks seem both uninterested and busy.  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to99r5ub51l9" w:id="1"/>
      <w:bookmarkEnd w:id="1"/>
      <w:r w:rsidDel="00000000" w:rsidR="00000000" w:rsidRPr="00000000">
        <w:rPr>
          <w:rtl w:val="0"/>
        </w:rPr>
        <w:t xml:space="preserve">Overview / Background </w:t>
      </w:r>
    </w:p>
    <w:p w:rsidR="00000000" w:rsidDel="00000000" w:rsidP="00000000" w:rsidRDefault="00000000" w:rsidRPr="00000000" w14:paraId="0000000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IM/Data Management can be divided into four pillars which serve as themes for the use cases  We are to create workshops for each of the highlighted 7 (the Data Science will be tackled as an individual component).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4 Pillars: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Databases - </w:t>
      </w:r>
      <w:r w:rsidDel="00000000" w:rsidR="00000000" w:rsidRPr="00000000">
        <w:rPr>
          <w:b w:val="1"/>
          <w:rtl w:val="0"/>
        </w:rPr>
        <w:t xml:space="preserve">DBCS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ExaCS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ADWC</w:t>
      </w:r>
      <w:r w:rsidDel="00000000" w:rsidR="00000000" w:rsidRPr="00000000">
        <w:rPr>
          <w:rtl w:val="0"/>
        </w:rPr>
        <w:t xml:space="preserve">, DataHub, DB-Backup, MySQL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Big Data - </w:t>
      </w:r>
      <w:r w:rsidDel="00000000" w:rsidR="00000000" w:rsidRPr="00000000">
        <w:rPr>
          <w:b w:val="1"/>
          <w:rtl w:val="0"/>
        </w:rPr>
        <w:t xml:space="preserve">BDC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EHCS</w:t>
      </w:r>
      <w:r w:rsidDel="00000000" w:rsidR="00000000" w:rsidRPr="00000000">
        <w:rPr>
          <w:rtl w:val="0"/>
        </w:rPr>
        <w:t xml:space="preserve">, BDCS, BD-SQL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(everything + DVD)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Integration - DIPC, ODI, </w:t>
      </w:r>
      <w:r w:rsidDel="00000000" w:rsidR="00000000" w:rsidRPr="00000000">
        <w:rPr>
          <w:b w:val="1"/>
          <w:rtl w:val="0"/>
        </w:rPr>
        <w:t xml:space="preserve">GGCS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Science - </w:t>
      </w:r>
      <w:r w:rsidDel="00000000" w:rsidR="00000000" w:rsidRPr="00000000">
        <w:rPr>
          <w:b w:val="1"/>
          <w:rtl w:val="0"/>
        </w:rPr>
        <w:t xml:space="preserve">ORA, OAA, OML, ML on BDC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o1owxyxa8gji" w:id="2"/>
      <w:bookmarkEnd w:id="2"/>
      <w:r w:rsidDel="00000000" w:rsidR="00000000" w:rsidRPr="00000000">
        <w:rPr>
          <w:rtl w:val="0"/>
        </w:rPr>
        <w:t xml:space="preserve">Current Ownership and Status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the schedule I’ve broken down the workshops into 3 deliverables;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D0 - Content Ideation &amp; Proposal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D2 - Content Development &amp; Assembly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D3 - Content Qualification &amp; Testing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2130"/>
        <w:gridCol w:w="1590"/>
        <w:gridCol w:w="1880"/>
        <w:gridCol w:w="1880"/>
        <w:tblGridChange w:id="0">
          <w:tblGrid>
            <w:gridCol w:w="1880"/>
            <w:gridCol w:w="2130"/>
            <w:gridCol w:w="1590"/>
            <w:gridCol w:w="1880"/>
            <w:gridCol w:w="188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ADWCS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Stuti / Tejus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EHCS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GGCS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Tejus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Science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Steven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Steven/Stuti/Tejus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contextualSpacing w:val="0"/>
        <w:rPr/>
      </w:pPr>
      <w:bookmarkStart w:colFirst="0" w:colLast="0" w:name="_vnso285zyz0q" w:id="3"/>
      <w:bookmarkEnd w:id="3"/>
      <w:r w:rsidDel="00000000" w:rsidR="00000000" w:rsidRPr="00000000">
        <w:rPr>
          <w:rtl w:val="0"/>
        </w:rPr>
        <w:t xml:space="preserve">Demo Content Description</w:t>
      </w:r>
    </w:p>
    <w:p w:rsidR="00000000" w:rsidDel="00000000" w:rsidP="00000000" w:rsidRDefault="00000000" w:rsidRPr="00000000" w14:paraId="0000004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overall goal for the workshops isn’t to have the new-hires memorize content but to enable productivity.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contextualSpacing w:val="0"/>
        <w:rPr/>
      </w:pPr>
      <w:bookmarkStart w:colFirst="0" w:colLast="0" w:name="_unh5nmstaz84" w:id="4"/>
      <w:bookmarkEnd w:id="4"/>
      <w:r w:rsidDel="00000000" w:rsidR="00000000" w:rsidRPr="00000000">
        <w:rPr>
          <w:rtl w:val="0"/>
        </w:rPr>
        <w:t xml:space="preserve">DBCS</w:t>
      </w:r>
    </w:p>
    <w:p w:rsidR="00000000" w:rsidDel="00000000" w:rsidP="00000000" w:rsidRDefault="00000000" w:rsidRPr="00000000" w14:paraId="000000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content for this demo will be largely borrowed from the workshops by Pat Davies Team. On Oracle’s GitHub there are 4 workshops dedicated to different aspects of DBCS although most requests we get are for sizing DBCS and not working with it. </w:t>
      </w:r>
    </w:p>
    <w:p w:rsidR="00000000" w:rsidDel="00000000" w:rsidP="00000000" w:rsidRDefault="00000000" w:rsidRPr="00000000" w14:paraId="00000048">
      <w:pPr>
        <w:pStyle w:val="Heading3"/>
        <w:contextualSpacing w:val="0"/>
        <w:rPr/>
      </w:pPr>
      <w:bookmarkStart w:colFirst="0" w:colLast="0" w:name="_gwhzkrib4h6s" w:id="5"/>
      <w:bookmarkEnd w:id="5"/>
      <w:r w:rsidDel="00000000" w:rsidR="00000000" w:rsidRPr="00000000">
        <w:rPr>
          <w:rtl w:val="0"/>
        </w:rPr>
        <w:br w:type="textWrapping"/>
        <w:t xml:space="preserve">EXaCS</w:t>
      </w:r>
    </w:p>
    <w:p w:rsidR="00000000" w:rsidDel="00000000" w:rsidP="00000000" w:rsidRDefault="00000000" w:rsidRPr="00000000" w14:paraId="0000004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Steven has nothing so far, there’s the Otube video that Danny made but because Exadata is really just OracleDB with special hardware the new-hires might be best served by getting an overview of what Exadata is and intro to the Sizing tool. </w:t>
      </w:r>
    </w:p>
    <w:p w:rsidR="00000000" w:rsidDel="00000000" w:rsidP="00000000" w:rsidRDefault="00000000" w:rsidRPr="00000000" w14:paraId="0000004A">
      <w:pPr>
        <w:pStyle w:val="Heading3"/>
        <w:contextualSpacing w:val="0"/>
        <w:rPr/>
      </w:pPr>
      <w:bookmarkStart w:colFirst="0" w:colLast="0" w:name="_uxymwqpf3q35" w:id="6"/>
      <w:bookmarkEnd w:id="6"/>
      <w:r w:rsidDel="00000000" w:rsidR="00000000" w:rsidRPr="00000000">
        <w:rPr>
          <w:rtl w:val="0"/>
        </w:rPr>
        <w:br w:type="textWrapping"/>
        <w:t xml:space="preserve">ADWCS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We were going to borrow Tom’s workshop for this. </w:t>
      </w:r>
    </w:p>
    <w:p w:rsidR="00000000" w:rsidDel="00000000" w:rsidP="00000000" w:rsidRDefault="00000000" w:rsidRPr="00000000" w14:paraId="0000004C">
      <w:pPr>
        <w:pStyle w:val="Heading3"/>
        <w:contextualSpacing w:val="0"/>
        <w:rPr/>
      </w:pPr>
      <w:bookmarkStart w:colFirst="0" w:colLast="0" w:name="_li2qeqlp3s9f" w:id="7"/>
      <w:bookmarkEnd w:id="7"/>
      <w:r w:rsidDel="00000000" w:rsidR="00000000" w:rsidRPr="00000000">
        <w:rPr>
          <w:rtl w:val="0"/>
        </w:rPr>
        <w:br w:type="textWrapping"/>
      </w:r>
      <w:commentRangeStart w:id="0"/>
      <w:r w:rsidDel="00000000" w:rsidR="00000000" w:rsidRPr="00000000">
        <w:rPr>
          <w:rtl w:val="0"/>
        </w:rPr>
        <w:t xml:space="preserve">BDC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We will base largely off David Bayard’s journeys.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contextualSpacing w:val="0"/>
        <w:rPr/>
      </w:pPr>
      <w:bookmarkStart w:colFirst="0" w:colLast="0" w:name="_xzbg8hzbq9gz" w:id="8"/>
      <w:bookmarkEnd w:id="8"/>
      <w:r w:rsidDel="00000000" w:rsidR="00000000" w:rsidRPr="00000000">
        <w:rPr>
          <w:rtl w:val="0"/>
        </w:rPr>
        <w:br w:type="textWrapping"/>
        <w:t xml:space="preserve">EHCS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There are a lot of ways EHCS can be done. It can be combined with golden-gate and DBCS (see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https://www.confluent.io/blog/streaming-data-oracle-using-oracle-goldengate-kafka-connect/</w:t>
        </w:r>
      </w:hyperlink>
      <w:r w:rsidDel="00000000" w:rsidR="00000000" w:rsidRPr="00000000">
        <w:rPr>
          <w:rtl w:val="0"/>
        </w:rPr>
        <w:t xml:space="preserve">) it can be used with BDC to capture big data, or be used as a data-store for an app. Steven plans on combining it with BDC as part of that workshop (like in journey 2). </w:t>
      </w:r>
    </w:p>
    <w:p w:rsidR="00000000" w:rsidDel="00000000" w:rsidP="00000000" w:rsidRDefault="00000000" w:rsidRPr="00000000" w14:paraId="00000050">
      <w:pPr>
        <w:pStyle w:val="Heading3"/>
        <w:contextualSpacing w:val="0"/>
        <w:rPr/>
      </w:pPr>
      <w:bookmarkStart w:colFirst="0" w:colLast="0" w:name="_4uyxjs4wmssv" w:id="9"/>
      <w:bookmarkEnd w:id="9"/>
      <w:r w:rsidDel="00000000" w:rsidR="00000000" w:rsidRPr="00000000">
        <w:rPr>
          <w:rtl w:val="0"/>
        </w:rPr>
        <w:br w:type="textWrapping"/>
      </w:r>
      <w:commentRangeStart w:id="2"/>
      <w:r w:rsidDel="00000000" w:rsidR="00000000" w:rsidRPr="00000000">
        <w:rPr>
          <w:rtl w:val="0"/>
        </w:rPr>
        <w:t xml:space="preserve">GGCS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A Golden Gate demo already exists on Oracle’s Github, although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contextualSpacing w:val="0"/>
        <w:rPr/>
      </w:pPr>
      <w:bookmarkStart w:colFirst="0" w:colLast="0" w:name="_4m393lny7e3" w:id="10"/>
      <w:bookmarkEnd w:id="10"/>
      <w:r w:rsidDel="00000000" w:rsidR="00000000" w:rsidRPr="00000000">
        <w:rPr>
          <w:rtl w:val="0"/>
        </w:rPr>
        <w:t xml:space="preserve">Data Science </w:t>
      </w:r>
    </w:p>
    <w:p w:rsidR="00000000" w:rsidDel="00000000" w:rsidP="00000000" w:rsidRDefault="00000000" w:rsidRPr="00000000" w14:paraId="000000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Steven is working on learning the components so that an independent demo can be made, or so these components can be included into one or more of the other demos. </w:t>
        <w:br w:type="textWrapping"/>
      </w:r>
    </w:p>
    <w:p w:rsidR="00000000" w:rsidDel="00000000" w:rsidP="00000000" w:rsidRDefault="00000000" w:rsidRPr="00000000" w14:paraId="00000055">
      <w:pPr>
        <w:pStyle w:val="Heading3"/>
        <w:contextualSpacing w:val="0"/>
        <w:rPr/>
      </w:pPr>
      <w:bookmarkStart w:colFirst="0" w:colLast="0" w:name="_krmhcp9vx6lo" w:id="11"/>
      <w:bookmarkEnd w:id="11"/>
      <w:r w:rsidDel="00000000" w:rsidR="00000000" w:rsidRPr="00000000">
        <w:rPr>
          <w:rtl w:val="0"/>
        </w:rPr>
        <w:t xml:space="preserve">All Services 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This will be tricky - let us think about this. This is likely to be a slight deviation of SNC Lavalin or Pandora. 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teven Black" w:id="1" w:date="2018-03-26T21:31:58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+tejus.subrahmanya@gmail.com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Tejus Subrahmanya_</w:t>
      </w:r>
    </w:p>
  </w:comment>
  <w:comment w:author="Steven Black" w:id="2" w:date="2018-03-26T21:23:08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+tejus.subrahmanya@gmail.com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Tejus Subrahmanya_</w:t>
      </w:r>
    </w:p>
  </w:comment>
  <w:comment w:author="Steven Black" w:id="0" w:date="2018-03-26T21:23:18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+stutideshpande.19@gmail.com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Stuti Deshpande_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confluent.io/blog/streaming-data-oracle-using-oracle-goldengate-kafka-conn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