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A29" w:rsidRDefault="00077A29" w:rsidP="00077A29">
      <w:pPr>
        <w:pStyle w:val="NoSpacing"/>
        <w:rPr>
          <w:b/>
        </w:rPr>
      </w:pPr>
      <w:r w:rsidRPr="00077A29">
        <w:rPr>
          <w:b/>
        </w:rPr>
        <w:t xml:space="preserve">Medical Physics 710 / BME 710 </w:t>
      </w:r>
      <w:r w:rsidRPr="00077A29">
        <w:rPr>
          <w:b/>
        </w:rPr>
        <w:tab/>
      </w:r>
      <w:r w:rsidRPr="00077A29">
        <w:rPr>
          <w:b/>
        </w:rPr>
        <w:tab/>
      </w:r>
      <w:r w:rsidRPr="00077A29">
        <w:rPr>
          <w:b/>
        </w:rPr>
        <w:tab/>
      </w:r>
      <w:r w:rsidRPr="00077A29">
        <w:rPr>
          <w:b/>
        </w:rPr>
        <w:tab/>
      </w:r>
      <w:r w:rsidRPr="00077A29">
        <w:rPr>
          <w:b/>
        </w:rPr>
        <w:tab/>
      </w:r>
      <w:r w:rsidRPr="00077A29">
        <w:rPr>
          <w:b/>
        </w:rPr>
        <w:tab/>
      </w:r>
      <w:proofErr w:type="gramStart"/>
      <w:r w:rsidRPr="00077A29">
        <w:rPr>
          <w:b/>
        </w:rPr>
        <w:t>Due</w:t>
      </w:r>
      <w:proofErr w:type="gramEnd"/>
      <w:r w:rsidRPr="00077A29">
        <w:rPr>
          <w:b/>
        </w:rPr>
        <w:t>:  Nov. 12th, 2018</w:t>
      </w:r>
    </w:p>
    <w:p w:rsidR="00077A29" w:rsidRPr="00077A29" w:rsidRDefault="00077A29" w:rsidP="00077A29">
      <w:pPr>
        <w:pStyle w:val="NoSpacing"/>
        <w:rPr>
          <w:b/>
        </w:rPr>
      </w:pPr>
    </w:p>
    <w:p w:rsidR="00077A29" w:rsidRPr="00077A29" w:rsidRDefault="00077A29" w:rsidP="00077A29">
      <w:pPr>
        <w:pStyle w:val="NoSpacing"/>
        <w:rPr>
          <w:b/>
        </w:rPr>
      </w:pPr>
      <w:r>
        <w:t xml:space="preserve">Journal Discussion 8, Quiz #6: </w:t>
      </w:r>
      <w:proofErr w:type="spellStart"/>
      <w:r w:rsidRPr="00077A29">
        <w:rPr>
          <w:b/>
        </w:rPr>
        <w:t>Simonis</w:t>
      </w:r>
      <w:proofErr w:type="spellEnd"/>
      <w:r w:rsidRPr="00077A29">
        <w:rPr>
          <w:b/>
        </w:rPr>
        <w:t xml:space="preserve"> et al., MRM 2016, Improving the Arterial Input Function in</w:t>
      </w:r>
    </w:p>
    <w:p w:rsidR="00077A29" w:rsidRDefault="00077A29" w:rsidP="00077A29">
      <w:pPr>
        <w:pStyle w:val="NoSpacing"/>
        <w:rPr>
          <w:b/>
        </w:rPr>
      </w:pPr>
      <w:r w:rsidRPr="00077A29">
        <w:rPr>
          <w:b/>
        </w:rPr>
        <w:t>Dynamic Contrast Enhanced MRI by Fitting the Signal in the Complex Plane</w:t>
      </w:r>
    </w:p>
    <w:p w:rsidR="00077A29" w:rsidRPr="00077A29" w:rsidRDefault="00077A29" w:rsidP="00077A29">
      <w:pPr>
        <w:pStyle w:val="NoSpacing"/>
        <w:rPr>
          <w:b/>
        </w:rPr>
      </w:pPr>
    </w:p>
    <w:p w:rsidR="00077A29" w:rsidRPr="00077A29" w:rsidRDefault="00077A29" w:rsidP="00077A29">
      <w:pPr>
        <w:pStyle w:val="NoSpacing"/>
        <w:rPr>
          <w:i/>
        </w:rPr>
      </w:pPr>
      <w:r>
        <w:t xml:space="preserve">Name: </w:t>
      </w:r>
      <w:r>
        <w:tab/>
        <w:t xml:space="preserve"> </w:t>
      </w:r>
      <w:r w:rsidRPr="00077A29">
        <w:rPr>
          <w:i/>
        </w:rPr>
        <w:t>Grant Roberts</w:t>
      </w:r>
    </w:p>
    <w:p w:rsidR="00077A29" w:rsidRDefault="00077A29" w:rsidP="00077A29">
      <w:pPr>
        <w:pStyle w:val="NoSpacing"/>
      </w:pPr>
    </w:p>
    <w:p w:rsidR="00077A29" w:rsidRDefault="00077A29" w:rsidP="00077A29">
      <w:pPr>
        <w:pStyle w:val="NoSpacing"/>
      </w:pPr>
      <w:r w:rsidRPr="00077A29">
        <w:rPr>
          <w:b/>
        </w:rPr>
        <w:t>Due</w:t>
      </w:r>
      <w:r>
        <w:t xml:space="preserve">: Nov 12th at the beginning of class. Please turn in by hand, email, or submission to </w:t>
      </w:r>
      <w:proofErr w:type="spellStart"/>
      <w:r>
        <w:t>Learn@UW</w:t>
      </w:r>
      <w:proofErr w:type="spellEnd"/>
      <w:r>
        <w:t>.</w:t>
      </w:r>
    </w:p>
    <w:p w:rsidR="00077A29" w:rsidRDefault="00077A29" w:rsidP="00077A29">
      <w:pPr>
        <w:pStyle w:val="NoSpacing"/>
      </w:pPr>
    </w:p>
    <w:p w:rsidR="00077A29" w:rsidRDefault="00077A29" w:rsidP="00077A29">
      <w:pPr>
        <w:pStyle w:val="Heading1"/>
      </w:pPr>
      <w:r>
        <w:t>Question 1 (2.5 points)</w:t>
      </w:r>
    </w:p>
    <w:p w:rsidR="00077A29" w:rsidRPr="009E7291" w:rsidRDefault="00077A29" w:rsidP="00077A29">
      <w:pPr>
        <w:pStyle w:val="NoSpacing"/>
        <w:rPr>
          <w:b/>
        </w:rPr>
      </w:pPr>
      <w:r w:rsidRPr="009E7291">
        <w:rPr>
          <w:b/>
        </w:rPr>
        <w:t>1. What is the novelty / what is unique about the way the AI</w:t>
      </w:r>
      <w:r w:rsidR="00706AF3" w:rsidRPr="009E7291">
        <w:rPr>
          <w:b/>
        </w:rPr>
        <w:t>F is estimated in this article?</w:t>
      </w:r>
    </w:p>
    <w:p w:rsidR="00077A29" w:rsidRDefault="00077A29" w:rsidP="00077A29">
      <w:pPr>
        <w:pStyle w:val="NoSpacing"/>
      </w:pPr>
    </w:p>
    <w:p w:rsidR="00077A29" w:rsidRPr="00706AF3" w:rsidRDefault="00706AF3" w:rsidP="00077A29">
      <w:pPr>
        <w:pStyle w:val="NoSpacing"/>
        <w:rPr>
          <w:rFonts w:ascii="Times New Roman" w:hAnsi="Times New Roman" w:cs="Times New Roman"/>
        </w:rPr>
      </w:pPr>
      <w:r>
        <w:rPr>
          <w:rFonts w:ascii="Times New Roman" w:hAnsi="Times New Roman" w:cs="Times New Roman"/>
        </w:rPr>
        <w:t xml:space="preserve">AIF is measured using complex data directly, incorporating </w:t>
      </w:r>
      <w:r>
        <w:rPr>
          <w:rFonts w:ascii="Times New Roman" w:hAnsi="Times New Roman" w:cs="Times New Roman"/>
          <w:i/>
        </w:rPr>
        <w:t>both</w:t>
      </w:r>
      <w:r>
        <w:rPr>
          <w:rFonts w:ascii="Times New Roman" w:hAnsi="Times New Roman" w:cs="Times New Roman"/>
        </w:rPr>
        <w:t xml:space="preserve"> magnitude and phase information. This is helpful because saturation and nonlinear behavior of the magnitude signal occur at high concentrations, and phase errors occur at low concentrations. The combination avoids shortcoming of using magnitude and phase alone.</w:t>
      </w:r>
    </w:p>
    <w:p w:rsidR="00077A29" w:rsidRDefault="00077A29" w:rsidP="00077A29">
      <w:pPr>
        <w:pStyle w:val="Heading1"/>
      </w:pPr>
      <w:r>
        <w:t>Question 2 (2.5 points)</w:t>
      </w:r>
    </w:p>
    <w:p w:rsidR="00077A29" w:rsidRPr="009E7291" w:rsidRDefault="00077A29" w:rsidP="00077A29">
      <w:pPr>
        <w:pStyle w:val="NoSpacing"/>
        <w:rPr>
          <w:b/>
        </w:rPr>
      </w:pPr>
      <w:r w:rsidRPr="009E7291">
        <w:rPr>
          <w:b/>
        </w:rPr>
        <w:t>2. What is used as a comparison for AIF values in the in vivo study? Is that a good surrogate for a gold standard?</w:t>
      </w:r>
    </w:p>
    <w:p w:rsidR="00077A29" w:rsidRDefault="00077A29" w:rsidP="00077A29">
      <w:pPr>
        <w:pStyle w:val="NoSpacing"/>
      </w:pPr>
    </w:p>
    <w:p w:rsidR="00077A29" w:rsidRPr="00E3454F" w:rsidRDefault="009E7291" w:rsidP="00077A29">
      <w:pPr>
        <w:pStyle w:val="NoSpacing"/>
        <w:rPr>
          <w:rFonts w:ascii="Times New Roman" w:hAnsi="Times New Roman" w:cs="Times New Roman"/>
        </w:rPr>
      </w:pPr>
      <w:r>
        <w:rPr>
          <w:rFonts w:ascii="Times New Roman" w:hAnsi="Times New Roman" w:cs="Times New Roman"/>
        </w:rPr>
        <w:t xml:space="preserve">DCE-CT was used for comparison. This is a good gold standard because the CA concentration is directly proportional to the signal loss, as shown on radiographic images. In other words, since there is a linear relationship between absorption of x-rays due to iodine presence </w:t>
      </w:r>
      <w:r w:rsidR="00281D32">
        <w:rPr>
          <w:rFonts w:ascii="Times New Roman" w:hAnsi="Times New Roman" w:cs="Times New Roman"/>
        </w:rPr>
        <w:t xml:space="preserve">(electron density) </w:t>
      </w:r>
      <w:r>
        <w:rPr>
          <w:rFonts w:ascii="Times New Roman" w:hAnsi="Times New Roman" w:cs="Times New Roman"/>
        </w:rPr>
        <w:t>and signal loss, represented on the image. This is unlike DCE-MRI where there is a non-linear relationship between signal and concentration.</w:t>
      </w:r>
    </w:p>
    <w:p w:rsidR="00077A29" w:rsidRDefault="00077A29" w:rsidP="00077A29">
      <w:pPr>
        <w:pStyle w:val="Heading1"/>
      </w:pPr>
      <w:r>
        <w:t>Question 3 (2.5 points)</w:t>
      </w:r>
    </w:p>
    <w:p w:rsidR="00077A29" w:rsidRPr="009E7291" w:rsidRDefault="00077A29" w:rsidP="00077A29">
      <w:pPr>
        <w:pStyle w:val="NoSpacing"/>
        <w:rPr>
          <w:b/>
        </w:rPr>
      </w:pPr>
      <w:r w:rsidRPr="009E7291">
        <w:rPr>
          <w:b/>
        </w:rPr>
        <w:t>3. Why does the magnitude model overestimates S0?</w:t>
      </w:r>
    </w:p>
    <w:p w:rsidR="00077A29" w:rsidRDefault="00077A29" w:rsidP="00077A29">
      <w:pPr>
        <w:pStyle w:val="NoSpacing"/>
      </w:pPr>
    </w:p>
    <w:p w:rsidR="00077A29" w:rsidRPr="009E7291" w:rsidRDefault="009E7291" w:rsidP="009E7291">
      <w:pPr>
        <w:autoSpaceDE w:val="0"/>
        <w:autoSpaceDN w:val="0"/>
        <w:adjustRightInd w:val="0"/>
        <w:spacing w:after="0" w:line="240" w:lineRule="auto"/>
        <w:rPr>
          <w:rFonts w:ascii="Times New Roman" w:hAnsi="Times New Roman" w:cs="Times New Roman"/>
          <w:color w:val="231F20"/>
        </w:rPr>
      </w:pPr>
      <w:r w:rsidRPr="009E7291">
        <w:rPr>
          <w:rFonts w:ascii="Times New Roman" w:hAnsi="Times New Roman" w:cs="Times New Roman"/>
          <w:color w:val="231F20"/>
        </w:rPr>
        <w:t>Inflow effects l</w:t>
      </w:r>
      <w:r w:rsidRPr="009E7291">
        <w:rPr>
          <w:rFonts w:ascii="Times New Roman" w:hAnsi="Times New Roman" w:cs="Times New Roman"/>
          <w:color w:val="231F20"/>
        </w:rPr>
        <w:t xml:space="preserve">ead to higher signal magnitudes </w:t>
      </w:r>
      <w:r w:rsidRPr="009E7291">
        <w:rPr>
          <w:rFonts w:ascii="Times New Roman" w:hAnsi="Times New Roman" w:cs="Times New Roman"/>
          <w:color w:val="231F20"/>
        </w:rPr>
        <w:t>than described</w:t>
      </w:r>
      <w:r w:rsidRPr="009E7291">
        <w:rPr>
          <w:rFonts w:ascii="Times New Roman" w:hAnsi="Times New Roman" w:cs="Times New Roman"/>
          <w:color w:val="231F20"/>
        </w:rPr>
        <w:t xml:space="preserve"> by the model, mainly at low CA </w:t>
      </w:r>
      <w:r w:rsidRPr="009E7291">
        <w:rPr>
          <w:rFonts w:ascii="Times New Roman" w:hAnsi="Times New Roman" w:cs="Times New Roman"/>
          <w:color w:val="231F20"/>
        </w:rPr>
        <w:t>concentrations. The magnitude model, therefore, overestimates</w:t>
      </w:r>
      <w:r w:rsidRPr="009E7291">
        <w:rPr>
          <w:rFonts w:ascii="Times New Roman" w:hAnsi="Times New Roman" w:cs="Times New Roman"/>
          <w:color w:val="231F20"/>
        </w:rPr>
        <w:t xml:space="preserve"> </w:t>
      </w:r>
      <w:r w:rsidRPr="009E7291">
        <w:rPr>
          <w:rFonts w:ascii="Times New Roman" w:hAnsi="Times New Roman" w:cs="Times New Roman"/>
          <w:color w:val="231F20"/>
        </w:rPr>
        <w:t>S0, leading to an un</w:t>
      </w:r>
      <w:r w:rsidRPr="009E7291">
        <w:rPr>
          <w:rFonts w:ascii="Times New Roman" w:hAnsi="Times New Roman" w:cs="Times New Roman"/>
          <w:color w:val="231F20"/>
        </w:rPr>
        <w:t xml:space="preserve">derestimation of all subsequent </w:t>
      </w:r>
      <w:r w:rsidRPr="009E7291">
        <w:rPr>
          <w:rFonts w:ascii="Times New Roman" w:hAnsi="Times New Roman" w:cs="Times New Roman"/>
          <w:color w:val="231F20"/>
        </w:rPr>
        <w:t>concentration values</w:t>
      </w:r>
      <w:r>
        <w:rPr>
          <w:rFonts w:ascii="Times New Roman" w:hAnsi="Times New Roman" w:cs="Times New Roman"/>
          <w:color w:val="231F20"/>
        </w:rPr>
        <w:t>.</w:t>
      </w:r>
    </w:p>
    <w:p w:rsidR="00077A29" w:rsidRDefault="00077A29" w:rsidP="00077A29">
      <w:pPr>
        <w:pStyle w:val="Heading1"/>
      </w:pPr>
      <w:r>
        <w:t>Question 4 (2.5 points)</w:t>
      </w:r>
    </w:p>
    <w:p w:rsidR="00316384" w:rsidRDefault="00077A29" w:rsidP="00077A29">
      <w:pPr>
        <w:pStyle w:val="NoSpacing"/>
        <w:rPr>
          <w:b/>
        </w:rPr>
      </w:pPr>
      <w:r w:rsidRPr="009E7291">
        <w:rPr>
          <w:b/>
        </w:rPr>
        <w:t>Could complex signal fitting also be applied for concentration estimation in tissue? If so, what changes would have to be incorporated compared to fitting in arteries?</w:t>
      </w:r>
    </w:p>
    <w:p w:rsidR="009E7291" w:rsidRDefault="009E7291" w:rsidP="00077A29">
      <w:pPr>
        <w:pStyle w:val="NoSpacing"/>
        <w:rPr>
          <w:b/>
        </w:rPr>
      </w:pPr>
    </w:p>
    <w:p w:rsidR="009E7291" w:rsidRPr="009E7291" w:rsidRDefault="009E7291" w:rsidP="009E7291">
      <w:pPr>
        <w:pStyle w:val="NoSpacing"/>
        <w:rPr>
          <w:rFonts w:ascii="Times New Roman" w:hAnsi="Times New Roman" w:cs="Times New Roman"/>
        </w:rPr>
      </w:pPr>
      <w:r>
        <w:rPr>
          <w:rFonts w:ascii="Times New Roman" w:hAnsi="Times New Roman" w:cs="Times New Roman"/>
        </w:rPr>
        <w:t>In this case, the T</w:t>
      </w:r>
      <w:r>
        <w:rPr>
          <w:rFonts w:ascii="Times New Roman" w:hAnsi="Times New Roman" w:cs="Times New Roman"/>
        </w:rPr>
        <w:softHyphen/>
      </w:r>
      <w:r>
        <w:rPr>
          <w:rFonts w:ascii="Times New Roman" w:hAnsi="Times New Roman" w:cs="Times New Roman"/>
          <w:vertAlign w:val="subscript"/>
        </w:rPr>
        <w:t>1</w:t>
      </w:r>
      <w:r>
        <w:rPr>
          <w:rFonts w:ascii="Times New Roman" w:hAnsi="Times New Roman" w:cs="Times New Roman"/>
        </w:rPr>
        <w:t xml:space="preserve"> and T2</w:t>
      </w:r>
      <w:r>
        <w:rPr>
          <w:rFonts w:ascii="Times New Roman" w:hAnsi="Times New Roman" w:cs="Times New Roman"/>
          <w:vertAlign w:val="superscript"/>
        </w:rPr>
        <w:t>*</w:t>
      </w:r>
      <w:r>
        <w:rPr>
          <w:rFonts w:ascii="Times New Roman" w:hAnsi="Times New Roman" w:cs="Times New Roman"/>
        </w:rPr>
        <w:t xml:space="preserve"> cannot be assumed as it was for blood. This now needs to be explicitly calculated and is dependent on tissue. A T1 and T2</w:t>
      </w:r>
      <w:r>
        <w:rPr>
          <w:rFonts w:ascii="Times New Roman" w:hAnsi="Times New Roman" w:cs="Times New Roman"/>
          <w:vertAlign w:val="superscript"/>
        </w:rPr>
        <w:t>*</w:t>
      </w:r>
      <w:r>
        <w:rPr>
          <w:rFonts w:ascii="Times New Roman" w:hAnsi="Times New Roman" w:cs="Times New Roman"/>
        </w:rPr>
        <w:t xml:space="preserve"> map could be registered to the DCE-MRI and could be used to estimate </w:t>
      </w:r>
      <w:r>
        <w:rPr>
          <w:rFonts w:ascii="Times New Roman" w:hAnsi="Times New Roman" w:cs="Times New Roman"/>
        </w:rPr>
        <w:t>T1 and T2</w:t>
      </w:r>
      <w:r>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in tissue.</w:t>
      </w:r>
    </w:p>
    <w:p w:rsidR="00077A29" w:rsidRDefault="00077A29" w:rsidP="00077A29">
      <w:pPr>
        <w:pStyle w:val="NoSpacing"/>
      </w:pPr>
      <w:bookmarkStart w:id="0" w:name="_GoBack"/>
      <w:bookmarkEnd w:id="0"/>
    </w:p>
    <w:p w:rsidR="00077A29" w:rsidRPr="00E3454F" w:rsidRDefault="00077A29" w:rsidP="00077A29">
      <w:pPr>
        <w:pStyle w:val="NoSpacing"/>
        <w:rPr>
          <w:rFonts w:ascii="Times New Roman" w:hAnsi="Times New Roman" w:cs="Times New Roman"/>
        </w:rPr>
      </w:pPr>
    </w:p>
    <w:sectPr w:rsidR="00077A29" w:rsidRPr="00E34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1NjM0MzayNDE3NTFR0lEKTi0uzszPAykwqgUAxKJQfywAAAA="/>
  </w:docVars>
  <w:rsids>
    <w:rsidRoot w:val="00077A29"/>
    <w:rsid w:val="00077A29"/>
    <w:rsid w:val="00281D32"/>
    <w:rsid w:val="00316384"/>
    <w:rsid w:val="00706AF3"/>
    <w:rsid w:val="009E7291"/>
    <w:rsid w:val="00A551AF"/>
    <w:rsid w:val="00E34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579E"/>
  <w15:chartTrackingRefBased/>
  <w15:docId w15:val="{A605BC94-0EE2-4BFB-9DD3-83BE3C37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7A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A29"/>
    <w:pPr>
      <w:spacing w:after="0" w:line="240" w:lineRule="auto"/>
    </w:pPr>
  </w:style>
  <w:style w:type="character" w:customStyle="1" w:styleId="Heading1Char">
    <w:name w:val="Heading 1 Char"/>
    <w:basedOn w:val="DefaultParagraphFont"/>
    <w:link w:val="Heading1"/>
    <w:uiPriority w:val="9"/>
    <w:rsid w:val="00077A2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281D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1D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UWMP</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Roberts</dc:creator>
  <cp:keywords/>
  <dc:description/>
  <cp:lastModifiedBy>Grant Roberts</cp:lastModifiedBy>
  <cp:revision>5</cp:revision>
  <cp:lastPrinted>2018-11-13T20:20:00Z</cp:lastPrinted>
  <dcterms:created xsi:type="dcterms:W3CDTF">2018-11-12T22:42:00Z</dcterms:created>
  <dcterms:modified xsi:type="dcterms:W3CDTF">2018-11-13T20:21:00Z</dcterms:modified>
</cp:coreProperties>
</file>