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0C93C60E" w14:textId="515418F3" w:rsidR="00BE6704" w:rsidRPr="00B30EBB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Peret, A., Hoffman, C. A., Koscik, R. L., Jonaitis, E. M., Rivera-Rivera, L. A., Cody, K. A., Rowley, H. A., Johnson, S. C., Wieben, O., Johnson, K. M., &amp; Eisenmenger, L. B. Normative Cerebral Blood Flow and Pulsatility in Cognitively Unimpaired Older Adults using 4D Flow MRI. </w:t>
      </w:r>
      <w:r w:rsidRPr="00B30EBB">
        <w:rPr>
          <w:rFonts w:ascii="Arial" w:hAnsi="Arial" w:cs="Arial"/>
          <w:i/>
          <w:iCs/>
          <w:sz w:val="22"/>
          <w:szCs w:val="22"/>
        </w:rPr>
        <w:t>Accepted to Radiology</w:t>
      </w:r>
      <w:r w:rsidRPr="00B30EBB">
        <w:rPr>
          <w:rFonts w:ascii="Arial" w:hAnsi="Arial" w:cs="Arial"/>
          <w:sz w:val="22"/>
          <w:szCs w:val="22"/>
        </w:rPr>
        <w:t xml:space="preserve">. </w:t>
      </w:r>
    </w:p>
    <w:p w14:paraId="4BB40036" w14:textId="5CF92389" w:rsidR="00BE6704" w:rsidRPr="00B30EBB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S.*</w:t>
      </w:r>
      <w:r w:rsidRPr="00B30EBB">
        <w:rPr>
          <w:rFonts w:ascii="Arial" w:hAnsi="Arial" w:cs="Arial"/>
          <w:sz w:val="22"/>
          <w:szCs w:val="22"/>
        </w:rPr>
        <w:t>, Hoffman, C. A.*, Rivera-Rivera, L. A., Berman, S. E., Eisenmenger, L. B., &amp; Wieben, O (2023). Automated Hemodynamic Assessment for Cranial 4D Flow MRI.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Pr="00B30EBB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B30EBB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5CD5244C" w14:textId="6C017A90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Eisenmenger, L.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B.*, Peret, A.*,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Famakin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B. M.,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A., </w:t>
      </w:r>
      <w:r w:rsidRPr="00B30EBB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Bockholt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H. J., Johnson, K. M., &amp; Paulsen, J. S. (2022). Vascular Contributions to Alzheimer’s Disease.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B30EBB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Capel, K. W.,</w:t>
      </w:r>
      <w:r w:rsidRPr="00B30EB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Kuner, A. D., Manunga, J., Chang, W.,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Peret, A., Wieben, O., Johnson, K. M., &amp; Eisenmenger, L. B.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Beyond Time-of-Flight MRA: Review of Flow Imaging Techniques.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Accepted to </w:t>
      </w:r>
      <w:proofErr w:type="spellStart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2B7822E7" w14:textId="5BB34B28" w:rsidR="00BE6704" w:rsidRPr="00B30EBB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 xml:space="preserve">Eisenmenger, L. B.*, Peret, A.*,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Tang, C., Kuner, A., Grayev, A., Field, A., Rowley, H. A., &amp; Kennedy, T. When Less is More: FAST MR Protocols for Neuroradiology. 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Accepted in </w:t>
      </w:r>
      <w:proofErr w:type="spellStart"/>
      <w:r w:rsidRPr="00B30EBB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B30EBB">
        <w:rPr>
          <w:rFonts w:ascii="Arial" w:hAnsi="Arial" w:cs="Arial"/>
          <w:i/>
          <w:iCs/>
          <w:sz w:val="22"/>
          <w:szCs w:val="22"/>
        </w:rPr>
        <w:t>.</w:t>
      </w:r>
      <w:r w:rsidRPr="00B30EBB">
        <w:rPr>
          <w:rFonts w:ascii="Arial" w:hAnsi="Arial" w:cs="Arial"/>
          <w:sz w:val="22"/>
          <w:szCs w:val="22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5506E6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5506E6">
        <w:rPr>
          <w:rFonts w:ascii="Arial" w:hAnsi="Arial" w:cs="Arial"/>
          <w:sz w:val="22"/>
          <w:szCs w:val="22"/>
        </w:rPr>
        <w:t xml:space="preserve">, A., </w:t>
      </w:r>
      <w:r w:rsidRPr="005506E6">
        <w:rPr>
          <w:rFonts w:ascii="Arial" w:hAnsi="Arial" w:cs="Arial"/>
          <w:sz w:val="22"/>
          <w:szCs w:val="22"/>
        </w:rPr>
        <w:t xml:space="preserve">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 xml:space="preserve">Irregular Right Heart Flow Dynamics in </w:t>
      </w:r>
      <w:r w:rsidRPr="00FD316E">
        <w:rPr>
          <w:sz w:val="22"/>
          <w:szCs w:val="22"/>
        </w:rPr>
        <w:lastRenderedPageBreak/>
        <w:t>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46B14EB3" w14:textId="70F92FFD" w:rsidR="00BE6704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874CE">
        <w:rPr>
          <w:rFonts w:ascii="Arial" w:hAnsi="Arial" w:cs="Arial"/>
          <w:b/>
          <w:bCs/>
          <w:sz w:val="22"/>
          <w:szCs w:val="22"/>
        </w:rPr>
        <w:t>Roberts, G. S.,</w:t>
      </w:r>
      <w:r>
        <w:rPr>
          <w:rFonts w:ascii="Arial" w:hAnsi="Arial" w:cs="Arial"/>
          <w:sz w:val="22"/>
          <w:szCs w:val="22"/>
        </w:rPr>
        <w:t xml:space="preserve"> </w:t>
      </w:r>
      <w:r w:rsidR="00E72B9A">
        <w:rPr>
          <w:rFonts w:ascii="Arial" w:hAnsi="Arial" w:cs="Arial"/>
          <w:sz w:val="22"/>
          <w:szCs w:val="22"/>
        </w:rPr>
        <w:t xml:space="preserve">Breidenbach, B. M., </w:t>
      </w:r>
      <w:r>
        <w:rPr>
          <w:rFonts w:ascii="Arial" w:hAnsi="Arial" w:cs="Arial"/>
          <w:sz w:val="22"/>
          <w:szCs w:val="22"/>
        </w:rPr>
        <w:t>Rice, J.</w:t>
      </w:r>
      <w:r w:rsidR="00E72B9A">
        <w:rPr>
          <w:rFonts w:ascii="Arial" w:hAnsi="Arial" w:cs="Arial"/>
          <w:sz w:val="22"/>
          <w:szCs w:val="22"/>
        </w:rPr>
        <w:t xml:space="preserve">, Naren, T., Bernhardt, Z. S., </w:t>
      </w:r>
      <w:proofErr w:type="spellStart"/>
      <w:r w:rsidR="00E72B9A">
        <w:rPr>
          <w:rFonts w:ascii="Arial" w:hAnsi="Arial" w:cs="Arial"/>
          <w:sz w:val="22"/>
          <w:szCs w:val="22"/>
        </w:rPr>
        <w:t>Fondakowski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J. F., </w:t>
      </w:r>
      <w:proofErr w:type="spellStart"/>
      <w:r w:rsidR="00E72B9A">
        <w:rPr>
          <w:rFonts w:ascii="Arial" w:hAnsi="Arial" w:cs="Arial"/>
          <w:sz w:val="22"/>
          <w:szCs w:val="22"/>
        </w:rPr>
        <w:t>Jarchow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M., Lose, S., </w:t>
      </w:r>
      <w:proofErr w:type="spellStart"/>
      <w:r w:rsidR="00E72B9A">
        <w:rPr>
          <w:rFonts w:ascii="Arial" w:hAnsi="Arial" w:cs="Arial"/>
          <w:sz w:val="22"/>
          <w:szCs w:val="22"/>
        </w:rPr>
        <w:t>Pandos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A., Kecskemeti, S., Eisenmenger, L. B., Johnson, K. M., Okonkwo, O., &amp; Wieben, O. Feasibility of Free-Breathing 2D Phase Contrast MRI for Aortic Pulse Wave Velocity Measurements. </w:t>
      </w:r>
      <w:r w:rsidR="00E72B9A">
        <w:rPr>
          <w:rFonts w:ascii="Arial" w:hAnsi="Arial" w:cs="Arial"/>
          <w:i/>
          <w:iCs/>
          <w:sz w:val="22"/>
          <w:szCs w:val="22"/>
        </w:rPr>
        <w:t>To Submit to JCMR.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BE6704">
        <w:rPr>
          <w:rFonts w:ascii="Arial" w:hAnsi="Arial" w:cs="Arial"/>
          <w:sz w:val="22"/>
          <w:szCs w:val="22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</w:rPr>
        <w:t>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E13377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Huang, A.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S.,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Roldan-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Pr="00E13377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E13377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E13377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Jolicoeur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B. W., Rivera-Rivera, L.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E13377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Jen, M., Nishant, V., Cheng, K.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Laluzerne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Pulsatility and Resistivity 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298D" w14:textId="77777777" w:rsidR="00600D2E" w:rsidRDefault="00600D2E">
      <w:r>
        <w:separator/>
      </w:r>
    </w:p>
  </w:endnote>
  <w:endnote w:type="continuationSeparator" w:id="0">
    <w:p w14:paraId="7ACB3812" w14:textId="77777777" w:rsidR="00600D2E" w:rsidRDefault="0060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EE9A" w14:textId="77777777" w:rsidR="00600D2E" w:rsidRDefault="00600D2E">
      <w:r>
        <w:separator/>
      </w:r>
    </w:p>
  </w:footnote>
  <w:footnote w:type="continuationSeparator" w:id="0">
    <w:p w14:paraId="2CA6EFF8" w14:textId="77777777" w:rsidR="00600D2E" w:rsidRDefault="00600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sFABy76Mk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84</cp:revision>
  <cp:lastPrinted>2023-03-13T14:10:00Z</cp:lastPrinted>
  <dcterms:created xsi:type="dcterms:W3CDTF">2022-02-28T20:58:00Z</dcterms:created>
  <dcterms:modified xsi:type="dcterms:W3CDTF">2023-03-13T14:10:00Z</dcterms:modified>
</cp:coreProperties>
</file>