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7777777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299B47A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781C2D">
        <w:rPr>
          <w:rFonts w:ascii="Arial" w:hAnsi="Arial" w:cs="Arial"/>
          <w:sz w:val="22"/>
          <w:szCs w:val="22"/>
        </w:rPr>
        <w:t>XXX</w:t>
      </w:r>
      <w:r>
        <w:rPr>
          <w:rFonts w:ascii="Arial" w:hAnsi="Arial" w:cs="Arial"/>
          <w:sz w:val="22"/>
          <w:szCs w:val="22"/>
        </w:rPr>
        <w:t>)-</w:t>
      </w:r>
      <w:r w:rsidR="00781C2D">
        <w:rPr>
          <w:rFonts w:ascii="Arial" w:hAnsi="Arial" w:cs="Arial"/>
          <w:sz w:val="22"/>
          <w:szCs w:val="22"/>
        </w:rPr>
        <w:t>XXX-XXXX</w:t>
      </w:r>
    </w:p>
    <w:p w14:paraId="7C82F85B" w14:textId="77777777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662DE78F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1111 Highland Ave., </w:t>
      </w:r>
      <w:r w:rsidR="009C54CE">
        <w:rPr>
          <w:rFonts w:ascii="Arial" w:hAnsi="Arial" w:cs="Arial"/>
          <w:sz w:val="22"/>
          <w:szCs w:val="22"/>
        </w:rPr>
        <w:t>XXXXX-XX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77777777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–presen</w:t>
      </w:r>
      <w:r w:rsidR="00F234AD">
        <w:rPr>
          <w:rFonts w:ascii="Arial" w:hAnsi="Arial" w:cs="Arial"/>
          <w:i/>
          <w:sz w:val="22"/>
          <w:szCs w:val="22"/>
        </w:rPr>
        <w:t>t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77777777" w:rsidR="009755FC" w:rsidRPr="007A77A5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Advanced vascular imaging, post-processing, Alzheimer’s disease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45FAA028" w14:textId="77777777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 xml:space="preserve">MR Alphabet Soup: Understanding the Principles of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lastRenderedPageBreak/>
        <w:t>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29DD7700" w14:textId="77777777" w:rsidR="00C80842" w:rsidRPr="005506E6" w:rsidRDefault="00C80842" w:rsidP="00C80842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Starekova, J., Roldán-Alzate,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302B016F" w14:textId="77777777" w:rsidR="00C80842" w:rsidRPr="00843F7E" w:rsidRDefault="00C80842" w:rsidP="00C80842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>Irregular Right Heart Flow Dynamics in 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7CE2CF45" w14:textId="77777777" w:rsidR="00C80842" w:rsidRPr="00843F7E" w:rsidRDefault="00C80842" w:rsidP="00854322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iCs/>
          <w:sz w:val="22"/>
          <w:szCs w:val="22"/>
        </w:rPr>
        <w:t xml:space="preserve">Oechtering,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>, Panagiotopoulos, N., Wieben, O., Roldan-Alzate,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24368301" w14:textId="77777777" w:rsidR="00C80842" w:rsidRDefault="00C80842" w:rsidP="00C80842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Pr="005506E6">
        <w:rPr>
          <w:rFonts w:ascii="Arial" w:hAnsi="Arial" w:cs="Arial"/>
          <w:sz w:val="22"/>
          <w:szCs w:val="22"/>
        </w:rPr>
        <w:t>, Loecher, M. W., Johnson, K. M., Spahic, A., Turski,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</w:p>
    <w:p w14:paraId="5A4C776E" w14:textId="77777777" w:rsidR="00C80842" w:rsidRPr="00021204" w:rsidRDefault="00C80842" w:rsidP="00C80842">
      <w:pPr>
        <w:numPr>
          <w:ilvl w:val="0"/>
          <w:numId w:val="41"/>
        </w:numPr>
        <w:rPr>
          <w:rFonts w:ascii="Arial" w:hAnsi="Arial" w:cs="Arial"/>
          <w:i/>
          <w:sz w:val="22"/>
          <w:szCs w:val="22"/>
        </w:rPr>
      </w:pPr>
      <w:r w:rsidRPr="00021204">
        <w:rPr>
          <w:rFonts w:ascii="Arial" w:hAnsi="Arial" w:cs="Arial"/>
          <w:iCs/>
          <w:sz w:val="22"/>
          <w:szCs w:val="22"/>
        </w:rPr>
        <w:t xml:space="preserve">Oechtering,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>, Panagiotopoulos, N., Wieben, O., Reeder, S.B., &amp; Roldan-Alzate,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0943F9A5" w14:textId="0B09C204" w:rsidR="00C80842" w:rsidRDefault="00C80842" w:rsidP="00D00C30">
      <w:pPr>
        <w:widowControl/>
        <w:numPr>
          <w:ilvl w:val="0"/>
          <w:numId w:val="39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0603C4">
        <w:rPr>
          <w:rFonts w:ascii="Arial" w:hAnsi="Arial" w:cs="Arial"/>
          <w:sz w:val="22"/>
          <w:szCs w:val="22"/>
        </w:rPr>
        <w:t>Capel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603C4">
        <w:rPr>
          <w:rFonts w:ascii="Arial" w:hAnsi="Arial" w:cs="Arial"/>
          <w:b/>
          <w:bCs/>
          <w:sz w:val="22"/>
          <w:szCs w:val="22"/>
        </w:rPr>
        <w:t>Roberts</w:t>
      </w:r>
      <w:r>
        <w:rPr>
          <w:rFonts w:ascii="Arial" w:hAnsi="Arial" w:cs="Arial"/>
          <w:b/>
          <w:bCs/>
          <w:sz w:val="22"/>
          <w:szCs w:val="22"/>
        </w:rPr>
        <w:t>,</w:t>
      </w:r>
      <w:r w:rsidRPr="000603C4">
        <w:rPr>
          <w:rFonts w:ascii="Arial" w:hAnsi="Arial" w:cs="Arial"/>
          <w:b/>
          <w:bCs/>
          <w:sz w:val="22"/>
          <w:szCs w:val="22"/>
        </w:rPr>
        <w:t xml:space="preserve"> G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 w:rsidRPr="000603C4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Manunga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J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Chang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Wieben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Johnson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&amp; </w:t>
      </w:r>
      <w:r w:rsidRPr="000603C4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L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 xml:space="preserve">B. </w:t>
      </w:r>
      <w:r w:rsidRPr="00EE6B89">
        <w:rPr>
          <w:rFonts w:ascii="Arial" w:hAnsi="Arial" w:cs="Arial"/>
          <w:snapToGrid/>
          <w:color w:val="000000"/>
          <w:sz w:val="22"/>
          <w:szCs w:val="22"/>
        </w:rPr>
        <w:t>Beyond Time-of-Flight MRA: Review of Flow Imaging Techniques</w:t>
      </w:r>
      <w:r w:rsidRPr="000603C4">
        <w:rPr>
          <w:rFonts w:ascii="Arial" w:hAnsi="Arial" w:cs="Arial"/>
          <w:snapToGrid/>
          <w:color w:val="000000"/>
          <w:sz w:val="22"/>
          <w:szCs w:val="22"/>
        </w:rPr>
        <w:t xml:space="preserve">. </w:t>
      </w:r>
      <w:r w:rsidRPr="000603C4">
        <w:rPr>
          <w:rFonts w:ascii="Arial" w:hAnsi="Arial" w:cs="Arial"/>
          <w:i/>
          <w:iCs/>
          <w:snapToGrid/>
          <w:color w:val="000000"/>
          <w:sz w:val="22"/>
          <w:szCs w:val="22"/>
        </w:rPr>
        <w:t>Submitted to Neurographics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>.</w:t>
      </w:r>
    </w:p>
    <w:p w14:paraId="65757C95" w14:textId="46DF4F1B" w:rsidR="00D44888" w:rsidRPr="004B0AE3" w:rsidRDefault="0009508E" w:rsidP="004B0AE3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Al-Subu, A., Hagen, S. A., Serlin, R. C., Eldridge, M., Wieben, O., &amp; Schrage, W. G. Reduced </w:t>
      </w:r>
      <w:r w:rsidR="00655A62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 xml:space="preserve">esting </w:t>
      </w:r>
      <w:r w:rsidR="00655A62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acrovascular and </w:t>
      </w:r>
      <w:r w:rsidR="00655A62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icrovascular </w:t>
      </w:r>
      <w:r w:rsidR="00655A62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erebral </w:t>
      </w:r>
      <w:r w:rsidR="00655A62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lood </w:t>
      </w:r>
      <w:r w:rsidR="00655A62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 xml:space="preserve">low in </w:t>
      </w:r>
      <w:r w:rsidR="00655A62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oung </w:t>
      </w:r>
      <w:r w:rsidR="00655A62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dults with </w:t>
      </w:r>
      <w:r w:rsidR="00655A62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etabolic </w:t>
      </w:r>
      <w:r w:rsidR="00655A6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yndrome: </w:t>
      </w:r>
      <w:r w:rsidR="00D00C30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xploring </w:t>
      </w:r>
      <w:r w:rsidR="00655A62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echanisms. </w:t>
      </w:r>
      <w:r>
        <w:rPr>
          <w:rFonts w:ascii="Arial" w:hAnsi="Arial" w:cs="Arial"/>
          <w:i/>
          <w:iCs/>
          <w:sz w:val="22"/>
          <w:szCs w:val="22"/>
        </w:rPr>
        <w:t xml:space="preserve">Submitted to </w:t>
      </w:r>
      <w:r w:rsidR="007850C3">
        <w:rPr>
          <w:rFonts w:ascii="Arial" w:hAnsi="Arial" w:cs="Arial"/>
          <w:i/>
          <w:iCs/>
          <w:sz w:val="22"/>
          <w:szCs w:val="22"/>
        </w:rPr>
        <w:t>JCBFM</w:t>
      </w:r>
      <w:r w:rsidR="00655A62">
        <w:rPr>
          <w:rFonts w:ascii="Arial" w:hAnsi="Arial" w:cs="Arial"/>
          <w:i/>
          <w:iCs/>
          <w:sz w:val="22"/>
          <w:szCs w:val="22"/>
        </w:rPr>
        <w:t>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069D2CDE" w14:textId="6E13AC3F" w:rsidR="008528A3" w:rsidRDefault="008528A3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 xml:space="preserve">, Peret, A., </w:t>
      </w:r>
      <w:r>
        <w:rPr>
          <w:rFonts w:ascii="Arial" w:hAnsi="Arial" w:cs="Arial"/>
          <w:sz w:val="22"/>
          <w:szCs w:val="22"/>
        </w:rPr>
        <w:t xml:space="preserve">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Normative Cerebral Blood Flow and Pulsatility in Cognitively Unimpaired Older Adults using 4D Flow MRI. </w:t>
      </w:r>
      <w:r>
        <w:rPr>
          <w:rFonts w:ascii="Arial" w:hAnsi="Arial" w:cs="Arial"/>
          <w:i/>
          <w:iCs/>
          <w:sz w:val="22"/>
          <w:szCs w:val="22"/>
        </w:rPr>
        <w:t>To Submit to Radiology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8DE3469" w14:textId="5FB897D2" w:rsidR="0056397D" w:rsidRPr="004B0AE3" w:rsidRDefault="0056397D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lastRenderedPageBreak/>
        <w:t>Roberts, G. S.</w:t>
      </w:r>
      <w:r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47A542A2" w14:textId="407169B1" w:rsidR="004B0AE3" w:rsidRPr="004B0AE3" w:rsidRDefault="004B0AE3" w:rsidP="004B0AE3">
      <w:pPr>
        <w:pStyle w:val="ListParagraph"/>
        <w:numPr>
          <w:ilvl w:val="0"/>
          <w:numId w:val="38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8528A3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 L. B.</w:t>
      </w:r>
      <w:r w:rsidRPr="008528A3">
        <w:rPr>
          <w:rFonts w:ascii="Arial" w:hAnsi="Arial" w:cs="Arial"/>
          <w:sz w:val="22"/>
          <w:szCs w:val="22"/>
        </w:rPr>
        <w:t xml:space="preserve">, </w:t>
      </w:r>
      <w:r w:rsidRPr="00854322">
        <w:rPr>
          <w:rFonts w:ascii="Arial" w:hAnsi="Arial" w:cs="Arial"/>
          <w:b/>
          <w:bCs/>
          <w:sz w:val="22"/>
          <w:szCs w:val="22"/>
        </w:rPr>
        <w:t>Roberts, G. S.</w:t>
      </w:r>
      <w:r w:rsidRPr="008528A3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Tang</w:t>
      </w:r>
      <w:r>
        <w:rPr>
          <w:rFonts w:ascii="Arial" w:hAnsi="Arial" w:cs="Arial"/>
          <w:sz w:val="22"/>
          <w:szCs w:val="22"/>
        </w:rPr>
        <w:t>, C.</w:t>
      </w:r>
      <w:r w:rsidRPr="008528A3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Grayev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28A3">
        <w:rPr>
          <w:rFonts w:ascii="Arial" w:hAnsi="Arial" w:cs="Arial"/>
          <w:sz w:val="22"/>
          <w:szCs w:val="22"/>
        </w:rPr>
        <w:t>Field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Rowley</w:t>
      </w:r>
      <w:r>
        <w:rPr>
          <w:rFonts w:ascii="Arial" w:hAnsi="Arial" w:cs="Arial"/>
          <w:sz w:val="22"/>
          <w:szCs w:val="22"/>
        </w:rPr>
        <w:t>, H. A.</w:t>
      </w:r>
      <w:r w:rsidRPr="008528A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&amp; </w:t>
      </w:r>
      <w:r w:rsidRPr="008528A3">
        <w:rPr>
          <w:rFonts w:ascii="Arial" w:hAnsi="Arial" w:cs="Arial"/>
          <w:sz w:val="22"/>
          <w:szCs w:val="22"/>
        </w:rPr>
        <w:t>Kennedy</w:t>
      </w:r>
      <w:r>
        <w:rPr>
          <w:rFonts w:ascii="Arial" w:hAnsi="Arial" w:cs="Arial"/>
          <w:sz w:val="22"/>
          <w:szCs w:val="22"/>
        </w:rPr>
        <w:t>, T.</w:t>
      </w:r>
      <w:r w:rsidRPr="008528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Tertiary Center Experience in Fast Neuroradiology Protocol Development and Implementation. </w:t>
      </w:r>
      <w:r>
        <w:rPr>
          <w:rFonts w:ascii="Arial" w:hAnsi="Arial" w:cs="Arial"/>
          <w:i/>
          <w:iCs/>
          <w:sz w:val="22"/>
          <w:szCs w:val="22"/>
        </w:rPr>
        <w:t>Submitted to Radiographics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17549DB" w14:textId="77431027" w:rsidR="00854322" w:rsidRPr="00D60C13" w:rsidRDefault="00854322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Hoffman, C. A., </w:t>
      </w:r>
      <w:r w:rsidRPr="00D572A8"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Berman, S. E., Eisenmenger, L. B., &amp; Wieben, O. Automated Post-Processing of Cranial 4D Flow MRI. </w:t>
      </w:r>
      <w:r>
        <w:rPr>
          <w:rFonts w:ascii="Arial" w:hAnsi="Arial" w:cs="Arial"/>
          <w:i/>
          <w:iCs/>
          <w:sz w:val="22"/>
          <w:szCs w:val="22"/>
        </w:rPr>
        <w:t xml:space="preserve">To </w:t>
      </w:r>
      <w:r w:rsidR="00D572A8">
        <w:rPr>
          <w:rFonts w:ascii="Arial" w:hAnsi="Arial" w:cs="Arial"/>
          <w:i/>
          <w:iCs/>
          <w:sz w:val="22"/>
          <w:szCs w:val="22"/>
        </w:rPr>
        <w:t>Res</w:t>
      </w:r>
      <w:r>
        <w:rPr>
          <w:rFonts w:ascii="Arial" w:hAnsi="Arial" w:cs="Arial"/>
          <w:i/>
          <w:iCs/>
          <w:sz w:val="22"/>
          <w:szCs w:val="22"/>
        </w:rPr>
        <w:t>ubmit to MRM.</w:t>
      </w:r>
    </w:p>
    <w:p w14:paraId="2FDB5392" w14:textId="25EC86EE" w:rsidR="00D60C13" w:rsidRPr="00CF7E78" w:rsidRDefault="007D037A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Huang, A.</w:t>
      </w:r>
      <w:r w:rsidR="00284C37">
        <w:rPr>
          <w:rFonts w:ascii="Arial" w:hAnsi="Arial" w:cs="Arial"/>
          <w:sz w:val="22"/>
          <w:szCs w:val="22"/>
        </w:rPr>
        <w:t xml:space="preserve">, </w:t>
      </w:r>
      <w:r w:rsidR="00284C37">
        <w:rPr>
          <w:rFonts w:ascii="Arial" w:hAnsi="Arial" w:cs="Arial"/>
          <w:b/>
          <w:bCs/>
          <w:sz w:val="22"/>
          <w:szCs w:val="22"/>
        </w:rPr>
        <w:t>Roberts, G. S.</w:t>
      </w:r>
      <w:r w:rsidR="00284C37">
        <w:rPr>
          <w:rFonts w:ascii="Arial" w:hAnsi="Arial" w:cs="Arial"/>
          <w:sz w:val="22"/>
          <w:szCs w:val="22"/>
        </w:rPr>
        <w:t xml:space="preserve">, Reeder, S. B., </w:t>
      </w:r>
      <w:r w:rsidR="008F66D7">
        <w:rPr>
          <w:rFonts w:ascii="Arial" w:hAnsi="Arial" w:cs="Arial"/>
          <w:sz w:val="22"/>
          <w:szCs w:val="22"/>
        </w:rPr>
        <w:t xml:space="preserve">&amp; </w:t>
      </w:r>
      <w:r w:rsidR="00284C37">
        <w:rPr>
          <w:rFonts w:ascii="Arial" w:hAnsi="Arial" w:cs="Arial"/>
          <w:sz w:val="22"/>
          <w:szCs w:val="22"/>
        </w:rPr>
        <w:t>Oec</w:t>
      </w:r>
      <w:r w:rsidR="008F66D7">
        <w:rPr>
          <w:rFonts w:ascii="Arial" w:hAnsi="Arial" w:cs="Arial"/>
          <w:sz w:val="22"/>
          <w:szCs w:val="22"/>
        </w:rPr>
        <w:t xml:space="preserve">htering, T. H. Reference Values for 4D Flow Magnetic Resonance Imaging of the Portal Venous System. </w:t>
      </w:r>
      <w:r w:rsidR="008F66D7">
        <w:rPr>
          <w:rFonts w:ascii="Arial" w:hAnsi="Arial" w:cs="Arial"/>
          <w:i/>
          <w:iCs/>
          <w:sz w:val="22"/>
          <w:szCs w:val="22"/>
        </w:rPr>
        <w:t xml:space="preserve">To Submit to </w:t>
      </w:r>
      <w:r w:rsidR="00AB3C81">
        <w:rPr>
          <w:rFonts w:ascii="Arial" w:hAnsi="Arial" w:cs="Arial"/>
          <w:i/>
          <w:iCs/>
          <w:sz w:val="22"/>
          <w:szCs w:val="22"/>
        </w:rPr>
        <w:t>Abd. Radiol.</w:t>
      </w:r>
    </w:p>
    <w:p w14:paraId="5B0121D9" w14:textId="77777777" w:rsidR="00C80842" w:rsidRPr="003C4E71" w:rsidRDefault="00C80842" w:rsidP="00C80842">
      <w:pPr>
        <w:ind w:left="360"/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16498F7D" w14:textId="0C9CB0A0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Pandos,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Naren,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Spahic,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Panagiotopoulos, N., Roldan-Alzate, A., Johnson, K. M., Wieben, O., Sirlin, C. B., Reeder, S. B., &amp; Oechtering,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7777777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Oechtering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33nd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A., Kecskemeti,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Kecskemeti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Meram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Medero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Laeseke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Society for Magnetic Resonance Angiography 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5615940F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Jennifer Fondakowski – Undergraduate Student in 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Alma Spahic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C2E3E" w14:textId="77777777" w:rsidR="00DB308F" w:rsidRDefault="00DB308F">
      <w:r>
        <w:separator/>
      </w:r>
    </w:p>
  </w:endnote>
  <w:endnote w:type="continuationSeparator" w:id="0">
    <w:p w14:paraId="1F017F6A" w14:textId="77777777" w:rsidR="00DB308F" w:rsidRDefault="00DB3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BD7A4" w14:textId="77777777" w:rsidR="00DB308F" w:rsidRDefault="00DB308F">
      <w:r>
        <w:separator/>
      </w:r>
    </w:p>
  </w:footnote>
  <w:footnote w:type="continuationSeparator" w:id="0">
    <w:p w14:paraId="6C3D49AB" w14:textId="77777777" w:rsidR="00DB308F" w:rsidRDefault="00DB3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MqwFAGlRJIItAAAA"/>
  </w:docVars>
  <w:rsids>
    <w:rsidRoot w:val="00C23FEF"/>
    <w:rsid w:val="000126C7"/>
    <w:rsid w:val="00021204"/>
    <w:rsid w:val="000603C4"/>
    <w:rsid w:val="00066201"/>
    <w:rsid w:val="00072F5C"/>
    <w:rsid w:val="0007472B"/>
    <w:rsid w:val="00086475"/>
    <w:rsid w:val="0009508E"/>
    <w:rsid w:val="000A5961"/>
    <w:rsid w:val="000A6208"/>
    <w:rsid w:val="000B3E55"/>
    <w:rsid w:val="000D2266"/>
    <w:rsid w:val="000E2BA4"/>
    <w:rsid w:val="000F740F"/>
    <w:rsid w:val="00101615"/>
    <w:rsid w:val="0011299F"/>
    <w:rsid w:val="00131259"/>
    <w:rsid w:val="00131C19"/>
    <w:rsid w:val="001444F1"/>
    <w:rsid w:val="0014635E"/>
    <w:rsid w:val="00162512"/>
    <w:rsid w:val="00174D9F"/>
    <w:rsid w:val="0018106F"/>
    <w:rsid w:val="001967A3"/>
    <w:rsid w:val="001A3E29"/>
    <w:rsid w:val="001A4D12"/>
    <w:rsid w:val="001B1E41"/>
    <w:rsid w:val="001E4751"/>
    <w:rsid w:val="001E6D7C"/>
    <w:rsid w:val="001E776C"/>
    <w:rsid w:val="002026A8"/>
    <w:rsid w:val="002179BE"/>
    <w:rsid w:val="00221893"/>
    <w:rsid w:val="00223925"/>
    <w:rsid w:val="0023264E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C0137"/>
    <w:rsid w:val="002C73AC"/>
    <w:rsid w:val="002D22B5"/>
    <w:rsid w:val="002D646F"/>
    <w:rsid w:val="002E6C9D"/>
    <w:rsid w:val="002F0CA6"/>
    <w:rsid w:val="003171E7"/>
    <w:rsid w:val="0033247C"/>
    <w:rsid w:val="00351A0A"/>
    <w:rsid w:val="003574B5"/>
    <w:rsid w:val="0037089A"/>
    <w:rsid w:val="003A307C"/>
    <w:rsid w:val="003C1C5E"/>
    <w:rsid w:val="003C4E71"/>
    <w:rsid w:val="003C74D1"/>
    <w:rsid w:val="003E367F"/>
    <w:rsid w:val="003E51DD"/>
    <w:rsid w:val="00430D19"/>
    <w:rsid w:val="00433764"/>
    <w:rsid w:val="00434C96"/>
    <w:rsid w:val="00437431"/>
    <w:rsid w:val="00466028"/>
    <w:rsid w:val="00467EB3"/>
    <w:rsid w:val="0047510B"/>
    <w:rsid w:val="00480ECA"/>
    <w:rsid w:val="004901A3"/>
    <w:rsid w:val="00494215"/>
    <w:rsid w:val="00497C25"/>
    <w:rsid w:val="004B0AE3"/>
    <w:rsid w:val="004B5D44"/>
    <w:rsid w:val="004C0311"/>
    <w:rsid w:val="004D1A90"/>
    <w:rsid w:val="004E4CDF"/>
    <w:rsid w:val="004F43BE"/>
    <w:rsid w:val="0050723C"/>
    <w:rsid w:val="00513290"/>
    <w:rsid w:val="00530614"/>
    <w:rsid w:val="00532E65"/>
    <w:rsid w:val="00536582"/>
    <w:rsid w:val="005479A9"/>
    <w:rsid w:val="005506E6"/>
    <w:rsid w:val="0056397D"/>
    <w:rsid w:val="005774A3"/>
    <w:rsid w:val="005825F9"/>
    <w:rsid w:val="00582C16"/>
    <w:rsid w:val="00587E50"/>
    <w:rsid w:val="00592DDA"/>
    <w:rsid w:val="0059328A"/>
    <w:rsid w:val="005B11A7"/>
    <w:rsid w:val="005F355D"/>
    <w:rsid w:val="0060194A"/>
    <w:rsid w:val="00605BEB"/>
    <w:rsid w:val="006221D0"/>
    <w:rsid w:val="006368EB"/>
    <w:rsid w:val="00643B59"/>
    <w:rsid w:val="00651562"/>
    <w:rsid w:val="00651C8F"/>
    <w:rsid w:val="00655A62"/>
    <w:rsid w:val="006816A7"/>
    <w:rsid w:val="00681ED9"/>
    <w:rsid w:val="00686D0C"/>
    <w:rsid w:val="00690A21"/>
    <w:rsid w:val="006A3F9E"/>
    <w:rsid w:val="006C7917"/>
    <w:rsid w:val="00705979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A0942"/>
    <w:rsid w:val="008F66D7"/>
    <w:rsid w:val="009131A6"/>
    <w:rsid w:val="00944238"/>
    <w:rsid w:val="00946AD5"/>
    <w:rsid w:val="0094700D"/>
    <w:rsid w:val="009558AA"/>
    <w:rsid w:val="009755FC"/>
    <w:rsid w:val="009802C6"/>
    <w:rsid w:val="0098432B"/>
    <w:rsid w:val="009B2518"/>
    <w:rsid w:val="009C54CE"/>
    <w:rsid w:val="009C7FA3"/>
    <w:rsid w:val="009E7A15"/>
    <w:rsid w:val="00A42C3B"/>
    <w:rsid w:val="00A504D0"/>
    <w:rsid w:val="00A61883"/>
    <w:rsid w:val="00AB3C81"/>
    <w:rsid w:val="00AB4D80"/>
    <w:rsid w:val="00AE62F8"/>
    <w:rsid w:val="00AE703A"/>
    <w:rsid w:val="00AF0427"/>
    <w:rsid w:val="00B06315"/>
    <w:rsid w:val="00B17039"/>
    <w:rsid w:val="00B170D7"/>
    <w:rsid w:val="00B1723F"/>
    <w:rsid w:val="00B527E4"/>
    <w:rsid w:val="00B70341"/>
    <w:rsid w:val="00B72032"/>
    <w:rsid w:val="00B80640"/>
    <w:rsid w:val="00B97478"/>
    <w:rsid w:val="00BA582C"/>
    <w:rsid w:val="00BA6D96"/>
    <w:rsid w:val="00BB008D"/>
    <w:rsid w:val="00BB4F63"/>
    <w:rsid w:val="00BE2361"/>
    <w:rsid w:val="00BF7229"/>
    <w:rsid w:val="00C23FEF"/>
    <w:rsid w:val="00C37AF6"/>
    <w:rsid w:val="00C4778A"/>
    <w:rsid w:val="00C66AFF"/>
    <w:rsid w:val="00C744E2"/>
    <w:rsid w:val="00C80842"/>
    <w:rsid w:val="00CB375C"/>
    <w:rsid w:val="00CB3FD0"/>
    <w:rsid w:val="00CC079A"/>
    <w:rsid w:val="00CC3038"/>
    <w:rsid w:val="00CD29E3"/>
    <w:rsid w:val="00CD70C1"/>
    <w:rsid w:val="00CE1D4E"/>
    <w:rsid w:val="00CF01A1"/>
    <w:rsid w:val="00D00C30"/>
    <w:rsid w:val="00D2438D"/>
    <w:rsid w:val="00D44888"/>
    <w:rsid w:val="00D572A8"/>
    <w:rsid w:val="00D60C13"/>
    <w:rsid w:val="00D61BD3"/>
    <w:rsid w:val="00D65E6F"/>
    <w:rsid w:val="00D72ECE"/>
    <w:rsid w:val="00D845EB"/>
    <w:rsid w:val="00D904EC"/>
    <w:rsid w:val="00DA7D02"/>
    <w:rsid w:val="00DB308F"/>
    <w:rsid w:val="00DB3A16"/>
    <w:rsid w:val="00DC7C51"/>
    <w:rsid w:val="00DD24E3"/>
    <w:rsid w:val="00E06BE0"/>
    <w:rsid w:val="00E15EA9"/>
    <w:rsid w:val="00E263BE"/>
    <w:rsid w:val="00E32716"/>
    <w:rsid w:val="00E3476C"/>
    <w:rsid w:val="00E4171F"/>
    <w:rsid w:val="00E564D8"/>
    <w:rsid w:val="00E5749F"/>
    <w:rsid w:val="00E92CA0"/>
    <w:rsid w:val="00EC4622"/>
    <w:rsid w:val="00EE6B89"/>
    <w:rsid w:val="00F06BBF"/>
    <w:rsid w:val="00F1275A"/>
    <w:rsid w:val="00F22508"/>
    <w:rsid w:val="00F234AD"/>
    <w:rsid w:val="00F30F7E"/>
    <w:rsid w:val="00F8293C"/>
    <w:rsid w:val="00FA04BC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34</cp:revision>
  <cp:lastPrinted>2022-06-24T15:30:00Z</cp:lastPrinted>
  <dcterms:created xsi:type="dcterms:W3CDTF">2022-02-28T20:58:00Z</dcterms:created>
  <dcterms:modified xsi:type="dcterms:W3CDTF">2022-06-25T03:20:00Z</dcterms:modified>
</cp:coreProperties>
</file>