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77777777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–presen</w:t>
      </w:r>
      <w:r w:rsidR="00F234AD">
        <w:rPr>
          <w:rFonts w:ascii="Arial" w:hAnsi="Arial" w:cs="Arial"/>
          <w:i/>
          <w:sz w:val="22"/>
          <w:szCs w:val="22"/>
        </w:rPr>
        <w:t>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780E55B0" w14:textId="77777777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>, Panagiotopoulos, N., Wieben, O., Reeder, S.B., &amp; Roldan-Alzate,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2F7052E5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Johnson, K. M., Spahic, A., Turski,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>, Panagiotopoulos, N., Wieben, O., Roldan-Alzate,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0F131CA8" w:rsidR="00C80842" w:rsidRPr="00F46CB1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6B3F0084" w14:textId="5F9AE3CF" w:rsidR="00F46CB1" w:rsidRPr="00F46CB1" w:rsidRDefault="00F46CB1" w:rsidP="00F46CB1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8528A3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 L. B.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 A.</w:t>
      </w:r>
      <w:r w:rsidR="00562B90">
        <w:rPr>
          <w:rFonts w:ascii="Arial" w:hAnsi="Arial" w:cs="Arial"/>
          <w:sz w:val="22"/>
          <w:szCs w:val="22"/>
        </w:rPr>
        <w:t>*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4322">
        <w:rPr>
          <w:rFonts w:ascii="Arial" w:hAnsi="Arial" w:cs="Arial"/>
          <w:b/>
          <w:bCs/>
          <w:sz w:val="22"/>
          <w:szCs w:val="22"/>
        </w:rPr>
        <w:t>Roberts, G. S.</w:t>
      </w:r>
      <w:r w:rsidRPr="008528A3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Tang</w:t>
      </w:r>
      <w:r>
        <w:rPr>
          <w:rFonts w:ascii="Arial" w:hAnsi="Arial" w:cs="Arial"/>
          <w:sz w:val="22"/>
          <w:szCs w:val="22"/>
        </w:rPr>
        <w:t>, C.</w:t>
      </w:r>
      <w:r w:rsidRPr="008528A3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Grayev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528A3">
        <w:rPr>
          <w:rFonts w:ascii="Arial" w:hAnsi="Arial" w:cs="Arial"/>
          <w:sz w:val="22"/>
          <w:szCs w:val="22"/>
        </w:rPr>
        <w:t>Field</w:t>
      </w:r>
      <w:r>
        <w:rPr>
          <w:rFonts w:ascii="Arial" w:hAnsi="Arial" w:cs="Arial"/>
          <w:sz w:val="22"/>
          <w:szCs w:val="22"/>
        </w:rPr>
        <w:t>, A.</w:t>
      </w:r>
      <w:r w:rsidRPr="008528A3">
        <w:rPr>
          <w:rFonts w:ascii="Arial" w:hAnsi="Arial" w:cs="Arial"/>
          <w:sz w:val="22"/>
          <w:szCs w:val="22"/>
        </w:rPr>
        <w:t>, Rowley</w:t>
      </w:r>
      <w:r>
        <w:rPr>
          <w:rFonts w:ascii="Arial" w:hAnsi="Arial" w:cs="Arial"/>
          <w:sz w:val="22"/>
          <w:szCs w:val="22"/>
        </w:rPr>
        <w:t>, H. A.</w:t>
      </w:r>
      <w:r w:rsidRPr="008528A3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&amp; </w:t>
      </w:r>
      <w:r w:rsidRPr="008528A3">
        <w:rPr>
          <w:rFonts w:ascii="Arial" w:hAnsi="Arial" w:cs="Arial"/>
          <w:sz w:val="22"/>
          <w:szCs w:val="22"/>
        </w:rPr>
        <w:t>Kennedy</w:t>
      </w:r>
      <w:r>
        <w:rPr>
          <w:rFonts w:ascii="Arial" w:hAnsi="Arial" w:cs="Arial"/>
          <w:sz w:val="22"/>
          <w:szCs w:val="22"/>
        </w:rPr>
        <w:t>, T.</w:t>
      </w:r>
      <w:r w:rsidRPr="008528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When Less is More: FAST MR Protocols for Neuroradiology. </w:t>
      </w:r>
      <w:r w:rsidR="00553534">
        <w:rPr>
          <w:rFonts w:ascii="Arial" w:hAnsi="Arial" w:cs="Arial"/>
          <w:i/>
          <w:iCs/>
          <w:sz w:val="22"/>
          <w:szCs w:val="22"/>
        </w:rPr>
        <w:t>Accepted.</w:t>
      </w:r>
      <w:r>
        <w:rPr>
          <w:rFonts w:ascii="Arial" w:hAnsi="Arial" w:cs="Arial"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4C256C10" w14:textId="1091CB6E" w:rsidR="008C33D0" w:rsidRPr="00317579" w:rsidRDefault="008C33D0" w:rsidP="008C33D0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, Hoffman, C. A.</w:t>
      </w:r>
      <w:r w:rsidR="00562B90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, Rivera-Rivera, L. A., Berman, S. E., Eisenmenger, L. B., &amp; Wieben, O. Automated Hemodynamic Assessment for Cranial 4D Flow MRI. </w:t>
      </w:r>
      <w:r>
        <w:rPr>
          <w:rFonts w:ascii="Arial" w:hAnsi="Arial" w:cs="Arial"/>
          <w:i/>
          <w:iCs/>
          <w:sz w:val="22"/>
          <w:szCs w:val="22"/>
        </w:rPr>
        <w:t>Submitted to Magn Reson Imag.</w:t>
      </w:r>
      <w:r w:rsidR="00562B90">
        <w:rPr>
          <w:rFonts w:ascii="Arial" w:hAnsi="Arial" w:cs="Arial"/>
          <w:i/>
          <w:iCs/>
          <w:sz w:val="22"/>
          <w:szCs w:val="22"/>
        </w:rPr>
        <w:t xml:space="preserve">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675F776E" w14:textId="34E65104" w:rsidR="00317579" w:rsidRPr="0001566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 xml:space="preserve">, Peret, A., </w:t>
      </w:r>
      <w:r>
        <w:rPr>
          <w:rFonts w:ascii="Arial" w:hAnsi="Arial" w:cs="Arial"/>
          <w:sz w:val="22"/>
          <w:szCs w:val="22"/>
        </w:rPr>
        <w:t xml:space="preserve">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Normative Cerebral Blood Flow and Pulsatility in Cognitively Unimpaired Older Adults using 4D Flow MRI. </w:t>
      </w:r>
      <w:r>
        <w:rPr>
          <w:rFonts w:ascii="Arial" w:hAnsi="Arial" w:cs="Arial"/>
          <w:i/>
          <w:iCs/>
          <w:sz w:val="22"/>
          <w:szCs w:val="22"/>
        </w:rPr>
        <w:t>Submit</w:t>
      </w:r>
      <w:r w:rsidR="00EA2AE4">
        <w:rPr>
          <w:rFonts w:ascii="Arial" w:hAnsi="Arial" w:cs="Arial"/>
          <w:i/>
          <w:iCs/>
          <w:sz w:val="22"/>
          <w:szCs w:val="22"/>
        </w:rPr>
        <w:t>ted</w:t>
      </w:r>
      <w:r>
        <w:rPr>
          <w:rFonts w:ascii="Arial" w:hAnsi="Arial" w:cs="Arial"/>
          <w:i/>
          <w:iCs/>
          <w:sz w:val="22"/>
          <w:szCs w:val="22"/>
        </w:rPr>
        <w:t xml:space="preserve"> to Radiology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DE792A5" w14:textId="77777777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Oechtering, T. H. Reference Values for 4D Flow Magnetic Resonance Imaging of the Portal Venous System. </w:t>
      </w:r>
      <w:r>
        <w:rPr>
          <w:rFonts w:ascii="Arial" w:hAnsi="Arial" w:cs="Arial"/>
          <w:i/>
          <w:iCs/>
          <w:sz w:val="22"/>
          <w:szCs w:val="22"/>
        </w:rPr>
        <w:t>Submitted to JMRI.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0943F9A5" w14:textId="442B84FE" w:rsidR="00C80842" w:rsidRDefault="00C80842" w:rsidP="00D00C30">
      <w:pPr>
        <w:widowControl/>
        <w:numPr>
          <w:ilvl w:val="0"/>
          <w:numId w:val="39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0603C4">
        <w:rPr>
          <w:rFonts w:ascii="Arial" w:hAnsi="Arial" w:cs="Arial"/>
          <w:sz w:val="22"/>
          <w:szCs w:val="22"/>
        </w:rPr>
        <w:t>Capel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603C4">
        <w:rPr>
          <w:rFonts w:ascii="Arial" w:hAnsi="Arial" w:cs="Arial"/>
          <w:b/>
          <w:bCs/>
          <w:sz w:val="22"/>
          <w:szCs w:val="22"/>
        </w:rPr>
        <w:t>Roberts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0603C4">
        <w:rPr>
          <w:rFonts w:ascii="Arial" w:hAnsi="Arial" w:cs="Arial"/>
          <w:b/>
          <w:bCs/>
          <w:sz w:val="22"/>
          <w:szCs w:val="22"/>
        </w:rPr>
        <w:t xml:space="preserve"> G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Pr="000603C4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b/>
          <w:bCs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Kuner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Manunga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J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Chang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W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Spahic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Peret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Wieben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 Johnson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K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.</w:t>
      </w:r>
      <w:r w:rsidRPr="000603C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&amp; </w:t>
      </w:r>
      <w:r w:rsidRPr="000603C4">
        <w:rPr>
          <w:rFonts w:ascii="Arial" w:hAnsi="Arial" w:cs="Arial"/>
          <w:sz w:val="22"/>
          <w:szCs w:val="22"/>
        </w:rPr>
        <w:t>Eisenmenger</w:t>
      </w:r>
      <w:r>
        <w:rPr>
          <w:rFonts w:ascii="Arial" w:hAnsi="Arial" w:cs="Arial"/>
          <w:sz w:val="22"/>
          <w:szCs w:val="22"/>
        </w:rPr>
        <w:t>,</w:t>
      </w:r>
      <w:r w:rsidRPr="000603C4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. </w:t>
      </w:r>
      <w:r w:rsidRPr="000603C4">
        <w:rPr>
          <w:rFonts w:ascii="Arial" w:hAnsi="Arial" w:cs="Arial"/>
          <w:sz w:val="22"/>
          <w:szCs w:val="22"/>
        </w:rPr>
        <w:t xml:space="preserve">B. </w:t>
      </w:r>
      <w:r w:rsidRPr="00EE6B89">
        <w:rPr>
          <w:rFonts w:ascii="Arial" w:hAnsi="Arial" w:cs="Arial"/>
          <w:snapToGrid/>
          <w:color w:val="000000"/>
          <w:sz w:val="22"/>
          <w:szCs w:val="22"/>
        </w:rPr>
        <w:t>Beyond Time-of-Flight MRA: Review of Flow Imaging Techniques</w:t>
      </w:r>
      <w:r w:rsidRPr="000603C4">
        <w:rPr>
          <w:rFonts w:ascii="Arial" w:hAnsi="Arial" w:cs="Arial"/>
          <w:snapToGrid/>
          <w:color w:val="000000"/>
          <w:sz w:val="22"/>
          <w:szCs w:val="22"/>
        </w:rPr>
        <w:t xml:space="preserve">. </w:t>
      </w:r>
      <w:r w:rsidRPr="000603C4">
        <w:rPr>
          <w:rFonts w:ascii="Arial" w:hAnsi="Arial" w:cs="Arial"/>
          <w:i/>
          <w:iCs/>
          <w:snapToGrid/>
          <w:color w:val="000000"/>
          <w:sz w:val="22"/>
          <w:szCs w:val="22"/>
        </w:rPr>
        <w:t>Submitted to Neurographics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5FB897D2" w:rsidR="0056397D" w:rsidRPr="004B0AE3" w:rsidRDefault="0056397D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34CD61B3" w14:textId="537B5397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Neurofluids: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ISMRM Workshop on Neurofluids: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Panagiotopoulos, N., Roldan-Alzate,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 xml:space="preserve">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Meram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Medero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Laeseke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lastRenderedPageBreak/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Mackenzie Jarchow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EDF6" w14:textId="77777777" w:rsidR="006C075C" w:rsidRDefault="006C075C">
      <w:r>
        <w:separator/>
      </w:r>
    </w:p>
  </w:endnote>
  <w:endnote w:type="continuationSeparator" w:id="0">
    <w:p w14:paraId="05E2CC34" w14:textId="77777777" w:rsidR="006C075C" w:rsidRDefault="006C0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BB7E9" w14:textId="77777777" w:rsidR="006C075C" w:rsidRDefault="006C075C">
      <w:r>
        <w:separator/>
      </w:r>
    </w:p>
  </w:footnote>
  <w:footnote w:type="continuationSeparator" w:id="0">
    <w:p w14:paraId="36C18E01" w14:textId="77777777" w:rsidR="006C075C" w:rsidRDefault="006C0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NqgFAB8K/Zo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5961"/>
    <w:rsid w:val="000A6208"/>
    <w:rsid w:val="000B3E55"/>
    <w:rsid w:val="000D2266"/>
    <w:rsid w:val="000E2BA4"/>
    <w:rsid w:val="000F3471"/>
    <w:rsid w:val="000F740F"/>
    <w:rsid w:val="00101615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C0137"/>
    <w:rsid w:val="002C73AC"/>
    <w:rsid w:val="002D22B5"/>
    <w:rsid w:val="002D646F"/>
    <w:rsid w:val="002E6C9D"/>
    <w:rsid w:val="002F0CA6"/>
    <w:rsid w:val="003171E7"/>
    <w:rsid w:val="00317579"/>
    <w:rsid w:val="00331422"/>
    <w:rsid w:val="0033247C"/>
    <w:rsid w:val="00351A0A"/>
    <w:rsid w:val="003574B5"/>
    <w:rsid w:val="0037089A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C075C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7F3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B2518"/>
    <w:rsid w:val="009C54CE"/>
    <w:rsid w:val="009C7FA3"/>
    <w:rsid w:val="009E7A15"/>
    <w:rsid w:val="00A42C3B"/>
    <w:rsid w:val="00A504D0"/>
    <w:rsid w:val="00A61883"/>
    <w:rsid w:val="00A7772A"/>
    <w:rsid w:val="00AB3C81"/>
    <w:rsid w:val="00AB4D80"/>
    <w:rsid w:val="00AE62F8"/>
    <w:rsid w:val="00AE703A"/>
    <w:rsid w:val="00AF0427"/>
    <w:rsid w:val="00B06315"/>
    <w:rsid w:val="00B17039"/>
    <w:rsid w:val="00B170D7"/>
    <w:rsid w:val="00B1723F"/>
    <w:rsid w:val="00B50E47"/>
    <w:rsid w:val="00B527E4"/>
    <w:rsid w:val="00B70341"/>
    <w:rsid w:val="00B72032"/>
    <w:rsid w:val="00B80640"/>
    <w:rsid w:val="00B97478"/>
    <w:rsid w:val="00BA582C"/>
    <w:rsid w:val="00BA6D96"/>
    <w:rsid w:val="00BB008D"/>
    <w:rsid w:val="00BB4F63"/>
    <w:rsid w:val="00BE2361"/>
    <w:rsid w:val="00BF7229"/>
    <w:rsid w:val="00C22CAE"/>
    <w:rsid w:val="00C23FEF"/>
    <w:rsid w:val="00C37AF6"/>
    <w:rsid w:val="00C4778A"/>
    <w:rsid w:val="00C62628"/>
    <w:rsid w:val="00C66AFF"/>
    <w:rsid w:val="00C744E2"/>
    <w:rsid w:val="00C80842"/>
    <w:rsid w:val="00C82710"/>
    <w:rsid w:val="00C93B65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44888"/>
    <w:rsid w:val="00D572A8"/>
    <w:rsid w:val="00D60C13"/>
    <w:rsid w:val="00D61BD3"/>
    <w:rsid w:val="00D65E6F"/>
    <w:rsid w:val="00D72ECE"/>
    <w:rsid w:val="00D76C98"/>
    <w:rsid w:val="00D845EB"/>
    <w:rsid w:val="00D904EC"/>
    <w:rsid w:val="00DA7D02"/>
    <w:rsid w:val="00DB308F"/>
    <w:rsid w:val="00DB3A16"/>
    <w:rsid w:val="00DB7554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92CA0"/>
    <w:rsid w:val="00EA2AE4"/>
    <w:rsid w:val="00EA54C1"/>
    <w:rsid w:val="00EC4622"/>
    <w:rsid w:val="00EE6B89"/>
    <w:rsid w:val="00F06BBF"/>
    <w:rsid w:val="00F1275A"/>
    <w:rsid w:val="00F22508"/>
    <w:rsid w:val="00F234AD"/>
    <w:rsid w:val="00F30F7E"/>
    <w:rsid w:val="00F46CB1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2286</Words>
  <Characters>13034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64</cp:revision>
  <cp:lastPrinted>2022-09-16T17:37:00Z</cp:lastPrinted>
  <dcterms:created xsi:type="dcterms:W3CDTF">2022-02-28T20:58:00Z</dcterms:created>
  <dcterms:modified xsi:type="dcterms:W3CDTF">2022-10-28T17:59:00Z</dcterms:modified>
</cp:coreProperties>
</file>