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Maricopa County Clerk of the Superior Court ITG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High Level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eFiling Multi-Vendor Processing, Release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Draft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Andy Czuppa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April 25, 2006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1 of 27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Date Reason For Changes Version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Andy Czuppa 04/25/2006 initial draft 1.0 draft Andy Czuppa 05/23/2006 Added GetFeesCalculation, NotifyReviewFiling 1.1 draft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2 of 27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Scope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document outlines: - Detailed use case scenarios of key process flows of the application - The class model and relationships - The sequence diagrams which outline key use case scenarios - The data/object model with relational table design - User interface style and design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References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ECF Draft: http://www.oasis-open.org/committees/tc_home.php?wg_abbrev=legalxml-courtfiling#technical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3 of 27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Architectural Representation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section describes the proposed software architecture for the system.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4 of 27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Architectural Goals and Constraints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describes the software requirements and objectives that have some significant impact on the architecture.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key design goals 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Support for multiple vendors - Compliance with standards - Usability - Stability - Extensibility to support additional vendors, case types, and future standards and technologies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5 of 27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Use-Case View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lists use cases or scenarios from the use-case model which depict significant, central functionality of the final system, or if they have a large architectural impact.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Use-case Realizations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6 of 27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Logical View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section describes the architecturally significant parts of the design model, such as its decomposition into subsystems and packages and for each significant package, its decomposition into classes and class utilities.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7 of 27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Process View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describes the system's decomposition into main sequences of flows.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8 of 27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9 of 27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7. User Interface Because the vast majority of this process takes place via web services or COM type objects there is really no user interface. The vendor websites have their own interfaces which are outside the control of this system. The clerk review process is conducted through the standard efiling user interface which has been amply documented elsewhere.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10 of 27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