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75" w:line="240" w:lineRule="auto"/>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DBMS | Keys in Relational Model (Candidate, Super, Primary, Alternate and Foreign)</w:t>
      </w:r>
    </w:p>
    <w:p w:rsidR="00000000" w:rsidDel="00000000" w:rsidP="00000000" w:rsidRDefault="00000000" w:rsidRPr="00000000" w14:paraId="00000002">
      <w:pPr>
        <w:pageBreakBefore w:val="0"/>
        <w:shd w:fill="ffffff" w:val="clear"/>
        <w:spacing w:after="15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We strongly recommend to refer below post as a prerequisite of this.</w:t>
      </w:r>
    </w:p>
    <w:p w:rsidR="00000000" w:rsidDel="00000000" w:rsidP="00000000" w:rsidRDefault="00000000" w:rsidRPr="00000000" w14:paraId="00000003">
      <w:pPr>
        <w:pageBreakBefore w:val="0"/>
        <w:shd w:fill="ffffff" w:val="clear"/>
        <w:spacing w:after="0" w:line="240" w:lineRule="auto"/>
        <w:jc w:val="both"/>
        <w:rPr>
          <w:rFonts w:ascii="Helvetica Neue" w:cs="Helvetica Neue" w:eastAsia="Helvetica Neue" w:hAnsi="Helvetica Neue"/>
          <w:color w:val="000000"/>
          <w:sz w:val="20"/>
          <w:szCs w:val="20"/>
        </w:rPr>
      </w:pPr>
      <w:hyperlink r:id="rId6">
        <w:r w:rsidDel="00000000" w:rsidR="00000000" w:rsidRPr="00000000">
          <w:rPr>
            <w:rFonts w:ascii="Helvetica Neue" w:cs="Helvetica Neue" w:eastAsia="Helvetica Neue" w:hAnsi="Helvetica Neue"/>
            <w:color w:val="ec4e20"/>
            <w:sz w:val="23"/>
            <w:szCs w:val="23"/>
            <w:u w:val="single"/>
            <w:rtl w:val="0"/>
          </w:rPr>
          <w:t xml:space="preserve">DBMS | Relational Model Introduction and Codd Rules</w:t>
        </w:r>
      </w:hyperlink>
      <w:r w:rsidDel="00000000" w:rsidR="00000000" w:rsidRPr="00000000">
        <w:rPr>
          <w:rtl w:val="0"/>
        </w:rPr>
      </w:r>
    </w:p>
    <w:p w:rsidR="00000000" w:rsidDel="00000000" w:rsidP="00000000" w:rsidRDefault="00000000" w:rsidRPr="00000000" w14:paraId="00000004">
      <w:pPr>
        <w:pageBreakBefore w:val="0"/>
        <w:shd w:fill="ffffff" w:val="clea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3"/>
          <w:szCs w:val="23"/>
          <w:rtl w:val="0"/>
        </w:rPr>
        <w:t xml:space="preserve">Different Types of Keys in Relational Model</w:t>
      </w:r>
      <w:r w:rsidDel="00000000" w:rsidR="00000000" w:rsidRPr="00000000">
        <w:rPr>
          <w:rtl w:val="0"/>
        </w:rPr>
      </w:r>
    </w:p>
    <w:p w:rsidR="00000000" w:rsidDel="00000000" w:rsidP="00000000" w:rsidRDefault="00000000" w:rsidRPr="00000000" w14:paraId="00000005">
      <w:pPr>
        <w:pageBreakBefore w:val="0"/>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ec4e20"/>
          <w:sz w:val="23"/>
          <w:szCs w:val="23"/>
        </w:rPr>
        <w:drawing>
          <wp:inline distB="0" distT="0" distL="0" distR="0">
            <wp:extent cx="6962775" cy="3324225"/>
            <wp:effectExtent b="0" l="0" r="0" t="0"/>
            <wp:docPr descr="image" id="1" name="image2.png"/>
            <a:graphic>
              <a:graphicData uri="http://schemas.openxmlformats.org/drawingml/2006/picture">
                <pic:pic>
                  <pic:nvPicPr>
                    <pic:cNvPr descr="image" id="0" name="image2.png"/>
                    <pic:cNvPicPr preferRelativeResize="0"/>
                  </pic:nvPicPr>
                  <pic:blipFill>
                    <a:blip r:embed="rId7"/>
                    <a:srcRect b="0" l="0" r="0" t="0"/>
                    <a:stretch>
                      <a:fillRect/>
                    </a:stretch>
                  </pic:blipFill>
                  <pic:spPr>
                    <a:xfrm>
                      <a:off x="0" y="0"/>
                      <a:ext cx="69627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3"/>
          <w:szCs w:val="23"/>
          <w:rtl w:val="0"/>
        </w:rPr>
        <w:t xml:space="preserve">Candidate Key:</w:t>
      </w:r>
      <w:r w:rsidDel="00000000" w:rsidR="00000000" w:rsidRPr="00000000">
        <w:rPr>
          <w:rFonts w:ascii="Helvetica Neue" w:cs="Helvetica Neue" w:eastAsia="Helvetica Neue" w:hAnsi="Helvetica Neue"/>
          <w:color w:val="000000"/>
          <w:sz w:val="20"/>
          <w:szCs w:val="20"/>
          <w:rtl w:val="0"/>
        </w:rPr>
        <w:t xml:space="preserve"> The minimal set of attribute which can uniquely identify a tuple is known as candidate key. For Example, STUD_NO in STUDENT relation.</w:t>
      </w:r>
    </w:p>
    <w:p w:rsidR="00000000" w:rsidDel="00000000" w:rsidP="00000000" w:rsidRDefault="00000000" w:rsidRPr="00000000" w14:paraId="00000007">
      <w:pPr>
        <w:pageBreakBefore w:val="0"/>
        <w:shd w:fill="ffffff" w:val="clear"/>
        <w:spacing w:after="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br w:type="textWrapping"/>
        <w:br w:type="textWrapping"/>
      </w:r>
    </w:p>
    <w:p w:rsidR="00000000" w:rsidDel="00000000" w:rsidP="00000000" w:rsidRDefault="00000000" w:rsidRPr="00000000" w14:paraId="00000008">
      <w:pPr>
        <w:pageBreakBefore w:val="0"/>
        <w:numPr>
          <w:ilvl w:val="0"/>
          <w:numId w:val="1"/>
        </w:numPr>
        <w:shd w:fill="ffffff" w:val="clear"/>
        <w:spacing w:after="0" w:line="240" w:lineRule="auto"/>
        <w:ind w:left="540" w:hanging="360"/>
        <w:jc w:val="both"/>
        <w:rPr>
          <w:color w:val="000000"/>
        </w:rPr>
      </w:pPr>
      <w:r w:rsidDel="00000000" w:rsidR="00000000" w:rsidRPr="00000000">
        <w:rPr>
          <w:rFonts w:ascii="Helvetica Neue" w:cs="Helvetica Neue" w:eastAsia="Helvetica Neue" w:hAnsi="Helvetica Neue"/>
          <w:color w:val="000000"/>
          <w:sz w:val="20"/>
          <w:szCs w:val="20"/>
          <w:rtl w:val="0"/>
        </w:rPr>
        <w:t xml:space="preserve">The value of Candidate Key is unique and non-null for every tuple.</w:t>
      </w:r>
    </w:p>
    <w:p w:rsidR="00000000" w:rsidDel="00000000" w:rsidP="00000000" w:rsidRDefault="00000000" w:rsidRPr="00000000" w14:paraId="00000009">
      <w:pPr>
        <w:pageBreakBefore w:val="0"/>
        <w:numPr>
          <w:ilvl w:val="0"/>
          <w:numId w:val="1"/>
        </w:numPr>
        <w:shd w:fill="ffffff" w:val="clear"/>
        <w:spacing w:after="0" w:line="240" w:lineRule="auto"/>
        <w:ind w:left="540" w:hanging="360"/>
        <w:jc w:val="both"/>
        <w:rPr>
          <w:color w:val="000000"/>
        </w:rPr>
      </w:pPr>
      <w:r w:rsidDel="00000000" w:rsidR="00000000" w:rsidRPr="00000000">
        <w:rPr>
          <w:rFonts w:ascii="Helvetica Neue" w:cs="Helvetica Neue" w:eastAsia="Helvetica Neue" w:hAnsi="Helvetica Neue"/>
          <w:color w:val="000000"/>
          <w:sz w:val="20"/>
          <w:szCs w:val="20"/>
          <w:rtl w:val="0"/>
        </w:rPr>
        <w:t xml:space="preserve">There can be more than one candidate key in a relation. For Example, STUD_NO as well as STUD_PHONE both are candidate keys for relation STUDENT.</w:t>
      </w:r>
    </w:p>
    <w:p w:rsidR="00000000" w:rsidDel="00000000" w:rsidP="00000000" w:rsidRDefault="00000000" w:rsidRPr="00000000" w14:paraId="0000000A">
      <w:pPr>
        <w:pageBreakBefore w:val="0"/>
        <w:numPr>
          <w:ilvl w:val="0"/>
          <w:numId w:val="1"/>
        </w:numPr>
        <w:shd w:fill="ffffff" w:val="clear"/>
        <w:spacing w:after="0" w:line="240" w:lineRule="auto"/>
        <w:ind w:left="540" w:hanging="360"/>
        <w:jc w:val="both"/>
        <w:rPr>
          <w:color w:val="000000"/>
        </w:rPr>
      </w:pPr>
      <w:r w:rsidDel="00000000" w:rsidR="00000000" w:rsidRPr="00000000">
        <w:rPr>
          <w:rFonts w:ascii="Helvetica Neue" w:cs="Helvetica Neue" w:eastAsia="Helvetica Neue" w:hAnsi="Helvetica Neue"/>
          <w:color w:val="000000"/>
          <w:sz w:val="20"/>
          <w:szCs w:val="20"/>
          <w:rtl w:val="0"/>
        </w:rPr>
        <w:t xml:space="preserve">The candidate key can be simple (having only one attribute) or composite as well. For Example, {STUD_NO, COURSE_NO} is a composite candidate key for relation STUDENT_COURSE.</w:t>
      </w:r>
    </w:p>
    <w:p w:rsidR="00000000" w:rsidDel="00000000" w:rsidP="00000000" w:rsidRDefault="00000000" w:rsidRPr="00000000" w14:paraId="0000000B">
      <w:pPr>
        <w:pageBreakBefore w:val="0"/>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3"/>
          <w:szCs w:val="23"/>
          <w:rtl w:val="0"/>
        </w:rPr>
        <w:t xml:space="preserve">Note –</w:t>
      </w:r>
      <w:r w:rsidDel="00000000" w:rsidR="00000000" w:rsidRPr="00000000">
        <w:rPr>
          <w:rFonts w:ascii="Helvetica Neue" w:cs="Helvetica Neue" w:eastAsia="Helvetica Neue" w:hAnsi="Helvetica Neue"/>
          <w:color w:val="000000"/>
          <w:sz w:val="20"/>
          <w:szCs w:val="20"/>
          <w:rtl w:val="0"/>
        </w:rPr>
        <w:t xml:space="preserve"> In Sql Server a unique constraint that has a nullable column, </w:t>
      </w:r>
      <w:r w:rsidDel="00000000" w:rsidR="00000000" w:rsidRPr="00000000">
        <w:rPr>
          <w:rFonts w:ascii="Helvetica Neue" w:cs="Helvetica Neue" w:eastAsia="Helvetica Neue" w:hAnsi="Helvetica Neue"/>
          <w:b w:val="1"/>
          <w:color w:val="000000"/>
          <w:sz w:val="23"/>
          <w:szCs w:val="23"/>
          <w:rtl w:val="0"/>
        </w:rPr>
        <w:t xml:space="preserve">allows</w:t>
      </w:r>
      <w:r w:rsidDel="00000000" w:rsidR="00000000" w:rsidRPr="00000000">
        <w:rPr>
          <w:rFonts w:ascii="Helvetica Neue" w:cs="Helvetica Neue" w:eastAsia="Helvetica Neue" w:hAnsi="Helvetica Neue"/>
          <w:color w:val="000000"/>
          <w:sz w:val="20"/>
          <w:szCs w:val="20"/>
          <w:rtl w:val="0"/>
        </w:rPr>
        <w:t xml:space="preserve"> the value ‘</w:t>
      </w:r>
      <w:r w:rsidDel="00000000" w:rsidR="00000000" w:rsidRPr="00000000">
        <w:rPr>
          <w:rFonts w:ascii="Helvetica Neue" w:cs="Helvetica Neue" w:eastAsia="Helvetica Neue" w:hAnsi="Helvetica Neue"/>
          <w:b w:val="1"/>
          <w:color w:val="000000"/>
          <w:sz w:val="23"/>
          <w:szCs w:val="23"/>
          <w:rtl w:val="0"/>
        </w:rPr>
        <w:t xml:space="preserve">null</w:t>
      </w:r>
      <w:r w:rsidDel="00000000" w:rsidR="00000000" w:rsidRPr="00000000">
        <w:rPr>
          <w:rFonts w:ascii="Helvetica Neue" w:cs="Helvetica Neue" w:eastAsia="Helvetica Neue" w:hAnsi="Helvetica Neue"/>
          <w:color w:val="000000"/>
          <w:sz w:val="20"/>
          <w:szCs w:val="20"/>
          <w:rtl w:val="0"/>
        </w:rPr>
        <w:t xml:space="preserve">‘ in that column </w:t>
      </w:r>
      <w:r w:rsidDel="00000000" w:rsidR="00000000" w:rsidRPr="00000000">
        <w:rPr>
          <w:rFonts w:ascii="Helvetica Neue" w:cs="Helvetica Neue" w:eastAsia="Helvetica Neue" w:hAnsi="Helvetica Neue"/>
          <w:b w:val="1"/>
          <w:color w:val="000000"/>
          <w:sz w:val="23"/>
          <w:szCs w:val="23"/>
          <w:rtl w:val="0"/>
        </w:rPr>
        <w:t xml:space="preserve">only once</w:t>
      </w:r>
      <w:r w:rsidDel="00000000" w:rsidR="00000000" w:rsidRPr="00000000">
        <w:rPr>
          <w:rFonts w:ascii="Helvetica Neue" w:cs="Helvetica Neue" w:eastAsia="Helvetica Neue" w:hAnsi="Helvetica Neue"/>
          <w:color w:val="000000"/>
          <w:sz w:val="20"/>
          <w:szCs w:val="20"/>
          <w:rtl w:val="0"/>
        </w:rPr>
        <w:t xml:space="preserve">. That’s why STUD_PHONE attribute as candidate here, but can not be ‘null’ values in primary key attribute.</w:t>
      </w:r>
    </w:p>
    <w:p w:rsidR="00000000" w:rsidDel="00000000" w:rsidP="00000000" w:rsidRDefault="00000000" w:rsidRPr="00000000" w14:paraId="0000000C">
      <w:pPr>
        <w:pageBreakBefore w:val="0"/>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3"/>
          <w:szCs w:val="23"/>
          <w:rtl w:val="0"/>
        </w:rPr>
        <w:t xml:space="preserve">Super Key: </w:t>
      </w:r>
      <w:r w:rsidDel="00000000" w:rsidR="00000000" w:rsidRPr="00000000">
        <w:rPr>
          <w:rFonts w:ascii="Helvetica Neue" w:cs="Helvetica Neue" w:eastAsia="Helvetica Neue" w:hAnsi="Helvetica Neue"/>
          <w:color w:val="000000"/>
          <w:sz w:val="20"/>
          <w:szCs w:val="20"/>
          <w:rtl w:val="0"/>
        </w:rPr>
        <w:t xml:space="preserve">The set of attributes which can uniquely identify a tuple is known as Super Key. For Example, STUD_NO, (STUD_NO, STUD_NAME) etc.</w:t>
      </w:r>
    </w:p>
    <w:p w:rsidR="00000000" w:rsidDel="00000000" w:rsidP="00000000" w:rsidRDefault="00000000" w:rsidRPr="00000000" w14:paraId="0000000D">
      <w:pPr>
        <w:pageBreakBefore w:val="0"/>
        <w:numPr>
          <w:ilvl w:val="0"/>
          <w:numId w:val="2"/>
        </w:numPr>
        <w:shd w:fill="ffffff" w:val="clear"/>
        <w:spacing w:after="0" w:line="240" w:lineRule="auto"/>
        <w:ind w:left="540" w:hanging="360"/>
        <w:jc w:val="both"/>
        <w:rPr>
          <w:color w:val="000000"/>
        </w:rPr>
      </w:pPr>
      <w:r w:rsidDel="00000000" w:rsidR="00000000" w:rsidRPr="00000000">
        <w:rPr>
          <w:rFonts w:ascii="Helvetica Neue" w:cs="Helvetica Neue" w:eastAsia="Helvetica Neue" w:hAnsi="Helvetica Neue"/>
          <w:color w:val="000000"/>
          <w:sz w:val="20"/>
          <w:szCs w:val="20"/>
          <w:rtl w:val="0"/>
        </w:rPr>
        <w:t xml:space="preserve">Adding zero or more attributes to candidate key generates super key.</w:t>
      </w:r>
    </w:p>
    <w:p w:rsidR="00000000" w:rsidDel="00000000" w:rsidP="00000000" w:rsidRDefault="00000000" w:rsidRPr="00000000" w14:paraId="0000000E">
      <w:pPr>
        <w:pageBreakBefore w:val="0"/>
        <w:numPr>
          <w:ilvl w:val="0"/>
          <w:numId w:val="2"/>
        </w:numPr>
        <w:shd w:fill="ffffff" w:val="clear"/>
        <w:spacing w:after="0" w:line="240" w:lineRule="auto"/>
        <w:ind w:left="540" w:hanging="360"/>
        <w:jc w:val="both"/>
        <w:rPr>
          <w:color w:val="000000"/>
        </w:rPr>
      </w:pPr>
      <w:r w:rsidDel="00000000" w:rsidR="00000000" w:rsidRPr="00000000">
        <w:rPr>
          <w:rFonts w:ascii="Helvetica Neue" w:cs="Helvetica Neue" w:eastAsia="Helvetica Neue" w:hAnsi="Helvetica Neue"/>
          <w:color w:val="000000"/>
          <w:sz w:val="20"/>
          <w:szCs w:val="20"/>
          <w:rtl w:val="0"/>
        </w:rPr>
        <w:t xml:space="preserve">A candidate key is a super key but vice versa is not true.</w:t>
      </w:r>
    </w:p>
    <w:p w:rsidR="00000000" w:rsidDel="00000000" w:rsidP="00000000" w:rsidRDefault="00000000" w:rsidRPr="00000000" w14:paraId="0000000F">
      <w:pPr>
        <w:pageBreakBefore w:val="0"/>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3"/>
          <w:szCs w:val="23"/>
          <w:rtl w:val="0"/>
        </w:rPr>
        <w:t xml:space="preserve">Primary Key:</w:t>
      </w:r>
      <w:r w:rsidDel="00000000" w:rsidR="00000000" w:rsidRPr="00000000">
        <w:rPr>
          <w:rFonts w:ascii="Helvetica Neue" w:cs="Helvetica Neue" w:eastAsia="Helvetica Neue" w:hAnsi="Helvetica Neue"/>
          <w:color w:val="000000"/>
          <w:sz w:val="20"/>
          <w:szCs w:val="20"/>
          <w:rtl w:val="0"/>
        </w:rPr>
        <w:t xml:space="preserve"> There can be more than one candidate key in a relation out of which one can be chosen as primary key. For Example, STUD_NO as well as STUD_PHONE both are candidate keys for relation STUDENT but STUD_NO can be chosen as primary key (only one out of many candidate keys).</w:t>
      </w:r>
    </w:p>
    <w:p w:rsidR="00000000" w:rsidDel="00000000" w:rsidP="00000000" w:rsidRDefault="00000000" w:rsidRPr="00000000" w14:paraId="00000010">
      <w:pPr>
        <w:pageBreakBefore w:val="0"/>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3"/>
          <w:szCs w:val="23"/>
          <w:rtl w:val="0"/>
        </w:rPr>
        <w:t xml:space="preserve">Alternate Key: </w:t>
      </w:r>
      <w:r w:rsidDel="00000000" w:rsidR="00000000" w:rsidRPr="00000000">
        <w:rPr>
          <w:rFonts w:ascii="Helvetica Neue" w:cs="Helvetica Neue" w:eastAsia="Helvetica Neue" w:hAnsi="Helvetica Neue"/>
          <w:color w:val="000000"/>
          <w:sz w:val="20"/>
          <w:szCs w:val="20"/>
          <w:rtl w:val="0"/>
        </w:rPr>
        <w:t xml:space="preserve">The candidate key other than primary key is called as alternate key. For Example, STUD_NO as well as STUD_PHONE both are candidate keys for relation STUDENT but STUD_PHONE will be alternate key (only one out of many candidate keys).</w:t>
      </w:r>
    </w:p>
    <w:p w:rsidR="00000000" w:rsidDel="00000000" w:rsidP="00000000" w:rsidRDefault="00000000" w:rsidRPr="00000000" w14:paraId="00000011">
      <w:pPr>
        <w:pageBreakBefore w:val="0"/>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3"/>
          <w:szCs w:val="23"/>
          <w:rtl w:val="0"/>
        </w:rPr>
        <w:t xml:space="preserve">Foreign Key:</w:t>
      </w:r>
      <w:r w:rsidDel="00000000" w:rsidR="00000000" w:rsidRPr="00000000">
        <w:rPr>
          <w:rFonts w:ascii="Helvetica Neue" w:cs="Helvetica Neue" w:eastAsia="Helvetica Neue" w:hAnsi="Helvetica Neue"/>
          <w:color w:val="000000"/>
          <w:sz w:val="20"/>
          <w:szCs w:val="20"/>
          <w:rtl w:val="0"/>
        </w:rPr>
        <w:t xml:space="preserve">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the relation which refers to referenced relation is called referencing relation and corresponding attribute is called referencing attribute. Referenced attribute of referencing attribute should be primary key. For Example, STUD_NO in STUDENT_COURSE is a foreign key to STUD_NO in STUDENT relation.</w:t>
      </w:r>
    </w:p>
    <w:p w:rsidR="00000000" w:rsidDel="00000000" w:rsidP="00000000" w:rsidRDefault="00000000" w:rsidRPr="00000000" w14:paraId="00000012">
      <w:pPr>
        <w:pageBreakBefore w:val="0"/>
        <w:shd w:fill="ffffff" w:val="clear"/>
        <w:spacing w:after="15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Please write comments if you find anything incorrect, or you want to share more information about the topic discussed above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drawing>
          <wp:inline distB="0" distT="0" distL="0" distR="0">
            <wp:extent cx="4038600" cy="4419600"/>
            <wp:effectExtent b="0" l="0" r="0" t="0"/>
            <wp:docPr descr="Related image" id="3" name="image3.jpg"/>
            <a:graphic>
              <a:graphicData uri="http://schemas.openxmlformats.org/drawingml/2006/picture">
                <pic:pic>
                  <pic:nvPicPr>
                    <pic:cNvPr descr="Related image" id="0" name="image3.jpg"/>
                    <pic:cNvPicPr preferRelativeResize="0"/>
                  </pic:nvPicPr>
                  <pic:blipFill>
                    <a:blip r:embed="rId8"/>
                    <a:srcRect b="0" l="0" r="0" t="0"/>
                    <a:stretch>
                      <a:fillRect/>
                    </a:stretch>
                  </pic:blipFill>
                  <pic:spPr>
                    <a:xfrm>
                      <a:off x="0" y="0"/>
                      <a:ext cx="4038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drawing>
          <wp:inline distB="0" distT="0" distL="0" distR="0">
            <wp:extent cx="6285865" cy="4714399"/>
            <wp:effectExtent b="0" l="0" r="0" t="0"/>
            <wp:docPr descr="Related image" id="2" name="image1.jpg"/>
            <a:graphic>
              <a:graphicData uri="http://schemas.openxmlformats.org/drawingml/2006/picture">
                <pic:pic>
                  <pic:nvPicPr>
                    <pic:cNvPr descr="Related image" id="0" name="image1.jpg"/>
                    <pic:cNvPicPr preferRelativeResize="0"/>
                  </pic:nvPicPr>
                  <pic:blipFill>
                    <a:blip r:embed="rId9"/>
                    <a:srcRect b="0" l="0" r="0" t="0"/>
                    <a:stretch>
                      <a:fillRect/>
                    </a:stretch>
                  </pic:blipFill>
                  <pic:spPr>
                    <a:xfrm>
                      <a:off x="0" y="0"/>
                      <a:ext cx="6285865" cy="471439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0" distT="0" distL="0" distR="0">
            <wp:extent cx="5048250" cy="5854700"/>
            <wp:effectExtent b="0" l="0" r="0" t="0"/>
            <wp:docPr descr="Related image" id="4" name="image4.jpg"/>
            <a:graphic>
              <a:graphicData uri="http://schemas.openxmlformats.org/drawingml/2006/picture">
                <pic:pic>
                  <pic:nvPicPr>
                    <pic:cNvPr descr="Related image" id="0" name="image4.jpg"/>
                    <pic:cNvPicPr preferRelativeResize="0"/>
                  </pic:nvPicPr>
                  <pic:blipFill>
                    <a:blip r:embed="rId10"/>
                    <a:srcRect b="0" l="0" r="0" t="0"/>
                    <a:stretch>
                      <a:fillRect/>
                    </a:stretch>
                  </pic:blipFill>
                  <pic:spPr>
                    <a:xfrm>
                      <a:off x="0" y="0"/>
                      <a:ext cx="504825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tbl>
      <w:tblPr>
        <w:tblStyle w:val="Table1"/>
        <w:tblW w:w="9643.0" w:type="dxa"/>
        <w:jc w:val="left"/>
        <w:tblInd w:w="240.0" w:type="dxa"/>
        <w:tblBorders>
          <w:top w:color="dddddd" w:space="0" w:sz="6" w:val="single"/>
          <w:left w:color="dddddd" w:space="0" w:sz="6" w:val="single"/>
          <w:bottom w:color="dddddd" w:space="0" w:sz="6" w:val="single"/>
          <w:right w:color="dddddd" w:space="0" w:sz="6" w:val="single"/>
        </w:tblBorders>
        <w:tblLayout w:type="fixed"/>
        <w:tblLook w:val="0400"/>
      </w:tblPr>
      <w:tblGrid>
        <w:gridCol w:w="2029"/>
        <w:gridCol w:w="3442"/>
        <w:gridCol w:w="4172"/>
        <w:tblGridChange w:id="0">
          <w:tblGrid>
            <w:gridCol w:w="2029"/>
            <w:gridCol w:w="3442"/>
            <w:gridCol w:w="4172"/>
          </w:tblGrid>
        </w:tblGridChange>
      </w:tblGrid>
      <w:tr>
        <w:trPr>
          <w:cantSplit w:val="0"/>
          <w:tblHeader w:val="0"/>
        </w:trPr>
        <w:tc>
          <w:tcPr>
            <w:gridSpan w:val="3"/>
            <w:tcBorders>
              <w:top w:color="dddddd" w:space="0" w:sz="6" w:val="single"/>
              <w:left w:color="dddddd" w:space="0" w:sz="6" w:val="single"/>
              <w:bottom w:color="dddddd" w:space="0" w:sz="6" w:val="single"/>
              <w:right w:color="dddddd" w:space="0" w:sz="6" w:val="single"/>
            </w:tcBorders>
            <w:shd w:fill="e8e8e8" w:val="clear"/>
            <w:tcMar>
              <w:top w:w="75.0" w:type="dxa"/>
              <w:left w:w="75.0" w:type="dxa"/>
              <w:bottom w:w="75.0" w:type="dxa"/>
              <w:right w:w="75.0" w:type="dxa"/>
            </w:tcMar>
            <w:vAlign w:val="bottom"/>
          </w:tcPr>
          <w:p w:rsidR="00000000" w:rsidDel="00000000" w:rsidP="00000000" w:rsidRDefault="00000000" w:rsidRPr="00000000" w14:paraId="00000019">
            <w:pPr>
              <w:pStyle w:val="Heading2"/>
              <w:pageBreakBefore w:val="0"/>
              <w:spacing w:before="0" w:lineRule="auto"/>
              <w:jc w:val="center"/>
              <w:rPr>
                <w:rFonts w:ascii="Arial" w:cs="Arial" w:eastAsia="Arial" w:hAnsi="Arial"/>
                <w:color w:val="1e1e1e"/>
              </w:rPr>
            </w:pPr>
            <w:r w:rsidDel="00000000" w:rsidR="00000000" w:rsidRPr="00000000">
              <w:rPr>
                <w:rFonts w:ascii="Arial" w:cs="Arial" w:eastAsia="Arial" w:hAnsi="Arial"/>
                <w:b w:val="0"/>
                <w:color w:val="1e1e1e"/>
                <w:rtl w:val="0"/>
              </w:rPr>
              <w:t xml:space="preserve">Star schema vs. Snowflake Schema</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e8e8e8" w:val="clear"/>
            <w:tcMar>
              <w:top w:w="75.0" w:type="dxa"/>
              <w:left w:w="75.0" w:type="dxa"/>
              <w:bottom w:w="75.0" w:type="dxa"/>
              <w:right w:w="75.0" w:type="dxa"/>
            </w:tcMar>
            <w:vAlign w:val="bottom"/>
          </w:tcPr>
          <w:p w:rsidR="00000000" w:rsidDel="00000000" w:rsidP="00000000" w:rsidRDefault="00000000" w:rsidRPr="00000000" w14:paraId="0000001C">
            <w:pPr>
              <w:pageBreakBefore w:val="0"/>
              <w:rPr>
                <w:rFonts w:ascii="Arial" w:cs="Arial" w:eastAsia="Arial" w:hAnsi="Arial"/>
                <w:b w:val="1"/>
                <w:color w:val="1e1e1e"/>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8e8e8" w:val="clear"/>
            <w:tcMar>
              <w:top w:w="75.0" w:type="dxa"/>
              <w:left w:w="75.0" w:type="dxa"/>
              <w:bottom w:w="75.0" w:type="dxa"/>
              <w:right w:w="75.0" w:type="dxa"/>
            </w:tcMar>
            <w:vAlign w:val="bottom"/>
          </w:tcPr>
          <w:p w:rsidR="00000000" w:rsidDel="00000000" w:rsidP="00000000" w:rsidRDefault="00000000" w:rsidRPr="00000000" w14:paraId="0000001D">
            <w:pPr>
              <w:pageBreakBefore w:val="0"/>
              <w:jc w:val="center"/>
              <w:rPr>
                <w:rFonts w:ascii="Helvetica Neue" w:cs="Helvetica Neue" w:eastAsia="Helvetica Neue" w:hAnsi="Helvetica Neue"/>
                <w:b w:val="1"/>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Star Schema</w:t>
            </w:r>
          </w:p>
        </w:tc>
        <w:tc>
          <w:tcPr>
            <w:tcBorders>
              <w:top w:color="dddddd" w:space="0" w:sz="6" w:val="single"/>
              <w:left w:color="dddddd" w:space="0" w:sz="6" w:val="single"/>
              <w:bottom w:color="dddddd" w:space="0" w:sz="6" w:val="single"/>
              <w:right w:color="dddddd" w:space="0" w:sz="6" w:val="single"/>
            </w:tcBorders>
            <w:shd w:fill="e8e8e8" w:val="clear"/>
            <w:tcMar>
              <w:top w:w="75.0" w:type="dxa"/>
              <w:left w:w="75.0" w:type="dxa"/>
              <w:bottom w:w="75.0" w:type="dxa"/>
              <w:right w:w="75.0" w:type="dxa"/>
            </w:tcMar>
            <w:vAlign w:val="bottom"/>
          </w:tcPr>
          <w:p w:rsidR="00000000" w:rsidDel="00000000" w:rsidP="00000000" w:rsidRDefault="00000000" w:rsidRPr="00000000" w14:paraId="0000001E">
            <w:pPr>
              <w:pageBreakBefore w:val="0"/>
              <w:jc w:val="center"/>
              <w:rPr>
                <w:rFonts w:ascii="Helvetica Neue" w:cs="Helvetica Neue" w:eastAsia="Helvetica Neue" w:hAnsi="Helvetica Neue"/>
                <w:b w:val="1"/>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Snowflake Schema</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1F">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Understandability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0">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Easier for business users and analysts to query data.</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1">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Maybe more difficult for business users and analysts due to a number of tables they have to deal with.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2">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Dimension table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3">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Only has one dimension table for each dimension that groups related attributes. Dimension tables are not in the third normal form.</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4">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May have more than 1 dimension table for each dimension due to the further normalization of each dimension table.  Dimension tables are in the third normal form (3NF).</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5">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Query complexity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6">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The query is very simple and easy to understand</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7">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More complex query due to multiple foreign keys joins between dimension tables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8">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Query performance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9">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High performance. The database engine can optimize and boost the query performance based on a predictable framework.</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A">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More foreign key joins, therefore, longer execution time of query in compare with star schema</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B">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When to use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C">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When dimension tables store a relatively small number of rows, space is not a big issue we can use star schema.</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D">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When dimension tables store a large number of rows with redundancy data and space is such an issue, we can choose snowflake schema to save space.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E">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Foreign Key Joins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2F">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Fewer Joins</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030">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Higher number of joins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efefef" w:val="clear"/>
            <w:tcMar>
              <w:top w:w="75.0" w:type="dxa"/>
              <w:left w:w="75.0" w:type="dxa"/>
              <w:bottom w:w="75.0" w:type="dxa"/>
              <w:right w:w="75.0" w:type="dxa"/>
            </w:tcMar>
            <w:vAlign w:val="bottom"/>
          </w:tcPr>
          <w:p w:rsidR="00000000" w:rsidDel="00000000" w:rsidP="00000000" w:rsidRDefault="00000000" w:rsidRPr="00000000" w14:paraId="00000031">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b w:val="1"/>
                <w:color w:val="1e1e1e"/>
                <w:sz w:val="21"/>
                <w:szCs w:val="21"/>
                <w:rtl w:val="0"/>
              </w:rPr>
              <w:t xml:space="preserve">Data warehouse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fefef" w:val="clear"/>
            <w:tcMar>
              <w:top w:w="75.0" w:type="dxa"/>
              <w:left w:w="75.0" w:type="dxa"/>
              <w:bottom w:w="75.0" w:type="dxa"/>
              <w:right w:w="75.0" w:type="dxa"/>
            </w:tcMar>
            <w:vAlign w:val="bottom"/>
          </w:tcPr>
          <w:p w:rsidR="00000000" w:rsidDel="00000000" w:rsidP="00000000" w:rsidRDefault="00000000" w:rsidRPr="00000000" w14:paraId="00000032">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Work best in any data warehouse/data mart</w:t>
            </w:r>
          </w:p>
        </w:tc>
        <w:tc>
          <w:tcPr>
            <w:tcBorders>
              <w:top w:color="dddddd" w:space="0" w:sz="6" w:val="single"/>
              <w:left w:color="dddddd" w:space="0" w:sz="6" w:val="single"/>
              <w:bottom w:color="dddddd" w:space="0" w:sz="6" w:val="single"/>
              <w:right w:color="dddddd" w:space="0" w:sz="6" w:val="single"/>
            </w:tcBorders>
            <w:shd w:fill="efefef" w:val="clear"/>
            <w:tcMar>
              <w:top w:w="75.0" w:type="dxa"/>
              <w:left w:w="75.0" w:type="dxa"/>
              <w:bottom w:w="75.0" w:type="dxa"/>
              <w:right w:w="75.0" w:type="dxa"/>
            </w:tcMar>
            <w:vAlign w:val="bottom"/>
          </w:tcPr>
          <w:p w:rsidR="00000000" w:rsidDel="00000000" w:rsidP="00000000" w:rsidRDefault="00000000" w:rsidRPr="00000000" w14:paraId="00000033">
            <w:pPr>
              <w:pageBreakBefore w:val="0"/>
              <w:rPr>
                <w:rFonts w:ascii="Helvetica Neue" w:cs="Helvetica Neue" w:eastAsia="Helvetica Neue" w:hAnsi="Helvetica Neue"/>
                <w:color w:val="1e1e1e"/>
                <w:sz w:val="21"/>
                <w:szCs w:val="21"/>
              </w:rPr>
            </w:pPr>
            <w:r w:rsidDel="00000000" w:rsidR="00000000" w:rsidRPr="00000000">
              <w:rPr>
                <w:rFonts w:ascii="Helvetica Neue" w:cs="Helvetica Neue" w:eastAsia="Helvetica Neue" w:hAnsi="Helvetica Neue"/>
                <w:color w:val="1e1e1e"/>
                <w:sz w:val="21"/>
                <w:szCs w:val="21"/>
                <w:rtl w:val="0"/>
              </w:rPr>
              <w:t xml:space="preserve">Better for small data warehouse/ data mart</w:t>
            </w:r>
          </w:p>
        </w:tc>
      </w:tr>
    </w:tbl>
    <w:p w:rsidR="00000000" w:rsidDel="00000000" w:rsidP="00000000" w:rsidRDefault="00000000" w:rsidRPr="00000000" w14:paraId="00000034">
      <w:pPr>
        <w:pageBreakBefore w:val="0"/>
        <w:rPr/>
      </w:pPr>
      <w:bookmarkStart w:colFirst="0" w:colLast="0" w:name="_gjdgxs" w:id="0"/>
      <w:bookmarkEnd w:id="0"/>
      <w:r w:rsidDel="00000000" w:rsidR="00000000" w:rsidRPr="00000000">
        <w:rPr>
          <w:rtl w:val="0"/>
        </w:rPr>
      </w:r>
    </w:p>
    <w:sectPr>
      <w:pgSz w:h="16838" w:w="11906" w:orient="portrait"/>
      <w:pgMar w:bottom="1440" w:top="1440" w:left="567"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quiz.geeksforgeeks.org/dbms-relational-model-introduction-and-codd-rules/" TargetMode="Externa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