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rFonts w:ascii="Verdana" w:cs="Verdana" w:eastAsia="Verdana" w:hAnsi="Verdana"/>
          <w:b w:val="1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rtl w:val="0"/>
        </w:rPr>
        <w:t xml:space="preserve">Monday, November 24, 2008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0"/>
            <w:szCs w:val="20"/>
            <w:u w:val="singl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