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bookmarkStart w:colFirst="0" w:colLast="0" w:name="3rdcrjn" w:id="11"/>
    <w:bookmarkEnd w:id="11"/>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bookmarkStart w:colFirst="0" w:colLast="0" w:name="26in1rg" w:id="12"/>
    <w:bookmarkEnd w:id="12"/>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bookmarkStart w:colFirst="0" w:colLast="0" w:name="lnxbz9" w:id="13"/>
    <w:bookmarkEnd w:id="13"/>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3.png"/>
            <a:graphic>
              <a:graphicData uri="http://schemas.openxmlformats.org/drawingml/2006/picture">
                <pic:pic>
                  <pic:nvPicPr>
                    <pic:cNvPr descr="Screen 3" id="0" name="image3.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4.png"/>
            <a:graphic>
              <a:graphicData uri="http://schemas.openxmlformats.org/drawingml/2006/picture">
                <pic:pic>
                  <pic:nvPicPr>
                    <pic:cNvPr descr="Figure 1" id="0" name="image4.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FAQ</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71099688"/>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3.png"/><Relationship Id="rId58" Type="http://schemas.openxmlformats.org/officeDocument/2006/relationships/hyperlink" Target="http://vyaskn.tripod.com/programming_faq.htm#q18" TargetMode="External"/><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