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26.png" ContentType="image/png"/>
  <Override PartName="/word/media/rId27.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02-A-EDA-TTE-Larotrectinib</w:t>
      </w:r>
    </w:p>
    <w:p>
      <w:pPr>
        <w:pStyle w:val="Author"/>
      </w:pPr>
      <w:r>
        <w:t xml:space="preserve">Sandro</w:t>
      </w:r>
      <w:r>
        <w:t xml:space="preserve"> </w:t>
      </w:r>
      <w:r>
        <w:t xml:space="preserve">Gsteiger</w:t>
      </w:r>
    </w:p>
    <w:p>
      <w:pPr>
        <w:pStyle w:val="Date"/>
      </w:pPr>
      <w:r>
        <w:t xml:space="preserve">June</w:t>
      </w:r>
      <w:r>
        <w:t xml:space="preserve"> </w:t>
      </w:r>
      <w:r>
        <w:t xml:space="preserve">01,</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0" w:name="description"/>
      <w:r>
        <w:t xml:space="preserve">Description</w:t>
      </w:r>
      <w:bookmarkEnd w:id="20"/>
    </w:p>
    <w:p>
      <w:pPr>
        <w:pStyle w:val="FirstParagraph"/>
      </w:pPr>
      <w:r>
        <w:t xml:space="preserve">Exploratory data analysis for Larotrectinib OS/PFS data reported in G-BA Modul 4. The results here will serve to select realistic values in the stylized decision model later on used for VoI analysis. But the VoI case study will be for a stylized decision model and will not reflect any real data.</w:t>
      </w:r>
    </w:p>
    <w:p>
      <w:pPr>
        <w:pStyle w:val="Heading1"/>
      </w:pPr>
      <w:bookmarkStart w:id="21" w:name="exponential-survival-model"/>
      <w:r>
        <w:t xml:space="preserve">Exponential survival model</w:t>
      </w:r>
      <w:bookmarkEnd w:id="21"/>
    </w:p>
    <w:p>
      <w:pPr>
        <w:pStyle w:val="FirstParagraph"/>
      </w:pPr>
      <w:r>
        <w:t xml:space="preserve">The OS/PFS data from Larotrectinib used in the G-BA dossier are not mature yet and also the reporting is limited.</w:t>
      </w:r>
      <w:r>
        <w:t xml:space="preserve"> </w:t>
      </w:r>
      <w:r>
        <w:t xml:space="preserve">For both endpoints, 12-months survival rates are given. The simplest standard survival model uses the exponential distribution. The rate paramter</w:t>
      </w:r>
      <w:r>
        <w:t xml:space="preserve"> </w:t>
      </w:r>
      <m:oMath>
        <m:r>
          <m:t>λ</m:t>
        </m:r>
      </m:oMath>
      <w:r>
        <w:t xml:space="preserve"> </w:t>
      </w:r>
      <w:r>
        <w:t xml:space="preserve">can be derived from the landmark survival probability since</w:t>
      </w:r>
    </w:p>
    <w:p>
      <w:pPr>
        <w:pStyle w:val="BodyText"/>
      </w:pPr>
      <m:oMathPara>
        <m:oMathParaPr>
          <m:jc m:val="center"/>
        </m:oMathParaPr>
        <m:oMath>
          <m:r>
            <m:t>S</m:t>
          </m:r>
          <m:r>
            <m:t>(</m:t>
          </m:r>
          <m:r>
            <m:t>t</m:t>
          </m:r>
          <m:r>
            <m:t>)</m:t>
          </m:r>
          <m:r>
            <m:t>=</m:t>
          </m:r>
          <m:sSup>
            <m:e>
              <m:r>
                <m:t>e</m:t>
              </m:r>
            </m:e>
            <m:sup>
              <m:r>
                <m:t>−</m:t>
              </m:r>
              <m:r>
                <m:t>λ</m:t>
              </m:r>
              <m:r>
                <m:t>t</m:t>
              </m:r>
            </m:sup>
          </m:sSup>
          <m:r>
            <m:t>.</m:t>
          </m:r>
        </m:oMath>
      </m:oMathPara>
    </w:p>
    <w:p>
      <w:pPr>
        <w:pStyle w:val="FirstParagraph"/>
      </w:pPr>
      <w:r>
        <w:t xml:space="preserve">This implies that a monthly rate estiamte is</w:t>
      </w:r>
      <w:r>
        <w:t xml:space="preserve"> </w:t>
      </w:r>
      <m:oMath>
        <m:groupChr>
          <m:groupChrPr>
            <m:chr m:val="̂"/>
            <m:pos m:val="top"/>
            <m:vertJc m:val="bot"/>
          </m:groupChrPr>
          <m:e>
            <m:r>
              <m:t>λ</m:t>
            </m:r>
          </m:e>
        </m:groupChr>
        <m:r>
          <m:t>=</m:t>
        </m:r>
        <m:r>
          <m:t>−</m:t>
        </m:r>
        <m:r>
          <m:rPr>
            <m:sty m:val="p"/>
          </m:rPr>
          <m:t>log</m:t>
        </m:r>
        <m:r>
          <m:t>(</m:t>
        </m:r>
        <m:groupChr>
          <m:groupChrPr>
            <m:chr m:val="̂"/>
            <m:pos m:val="top"/>
            <m:vertJc m:val="bot"/>
          </m:groupChrPr>
          <m:e>
            <m:r>
              <m:t>S</m:t>
            </m:r>
          </m:e>
        </m:groupChr>
        <m:r>
          <m:t>(</m:t>
        </m:r>
        <m:r>
          <m:t>12</m:t>
        </m:r>
        <m:r>
          <m:t>)</m:t>
        </m:r>
        <m:r>
          <m:t>)</m:t>
        </m:r>
        <m:r>
          <m:t>/</m:t>
        </m:r>
        <m:r>
          <m:t>12</m:t>
        </m:r>
        <m:r>
          <m:t>.</m:t>
        </m:r>
      </m:oMath>
    </w:p>
    <w:p>
      <w:pPr>
        <w:pStyle w:val="SourceCode"/>
      </w:pPr>
      <w:r>
        <w:rPr>
          <w:rStyle w:val="VerbatimChar"/>
        </w:rPr>
        <w:t xml:space="preserve">## # A tibble: 15 x 14</w:t>
      </w:r>
      <w:r>
        <w:br w:type="textWrapping"/>
      </w:r>
      <w:r>
        <w:rPr>
          <w:rStyle w:val="VerbatimChar"/>
        </w:rPr>
        <w:t xml:space="preserve">##    `Tumour type`                       n OS_n_event OS_median OS_6month</w:t>
      </w:r>
      <w:r>
        <w:br w:type="textWrapping"/>
      </w:r>
      <w:r>
        <w:rPr>
          <w:rStyle w:val="VerbatimChar"/>
        </w:rPr>
        <w:t xml:space="preserve">##    &lt;chr&gt;                           &lt;dbl&gt;      &lt;dbl&gt;     &lt;dbl&gt;     &lt;dbl&gt;</w:t>
      </w:r>
      <w:r>
        <w:br w:type="textWrapping"/>
      </w:r>
      <w:r>
        <w:rPr>
          <w:rStyle w:val="VerbatimChar"/>
        </w:rPr>
        <w:t xml:space="preserve">##  1 Soft tissue sarcoma                21          3     NA         0.95</w:t>
      </w:r>
      <w:r>
        <w:br w:type="textWrapping"/>
      </w:r>
      <w:r>
        <w:rPr>
          <w:rStyle w:val="VerbatimChar"/>
        </w:rPr>
        <w:t xml:space="preserve">##  2 Salivary gland                     17          2     NA         0.94</w:t>
      </w:r>
      <w:r>
        <w:br w:type="textWrapping"/>
      </w:r>
      <w:r>
        <w:rPr>
          <w:rStyle w:val="VerbatimChar"/>
        </w:rPr>
        <w:t xml:space="preserve">##  3 Infantile fibrosarcoma             13          0     NA         1   </w:t>
      </w:r>
      <w:r>
        <w:br w:type="textWrapping"/>
      </w:r>
      <w:r>
        <w:rPr>
          <w:rStyle w:val="VerbatimChar"/>
        </w:rPr>
        <w:t xml:space="preserve">##  4 Thyroid                            10          2     NA         0.9 </w:t>
      </w:r>
      <w:r>
        <w:br w:type="textWrapping"/>
      </w:r>
      <w:r>
        <w:rPr>
          <w:rStyle w:val="VerbatimChar"/>
        </w:rPr>
        <w:t xml:space="preserve">##  5 Lung                                7          1     NA         1   </w:t>
      </w:r>
      <w:r>
        <w:br w:type="textWrapping"/>
      </w:r>
      <w:r>
        <w:rPr>
          <w:rStyle w:val="VerbatimChar"/>
        </w:rPr>
        <w:t xml:space="preserve">##  6 Melanoma                            7          2      8.44      0.83</w:t>
      </w:r>
      <w:r>
        <w:br w:type="textWrapping"/>
      </w:r>
      <w:r>
        <w:rPr>
          <w:rStyle w:val="VerbatimChar"/>
        </w:rPr>
        <w:t xml:space="preserve">##  7 Colon                               6          2     NA         0.6 </w:t>
      </w:r>
      <w:r>
        <w:br w:type="textWrapping"/>
      </w:r>
      <w:r>
        <w:rPr>
          <w:rStyle w:val="VerbatimChar"/>
        </w:rPr>
        <w:t xml:space="preserve">##  8 GIST                                4          0     NA         1   </w:t>
      </w:r>
      <w:r>
        <w:br w:type="textWrapping"/>
      </w:r>
      <w:r>
        <w:rPr>
          <w:rStyle w:val="VerbatimChar"/>
        </w:rPr>
        <w:t xml:space="preserve">##  9 Bone sarcoma                        2          0     NA         1   </w:t>
      </w:r>
      <w:r>
        <w:br w:type="textWrapping"/>
      </w:r>
      <w:r>
        <w:rPr>
          <w:rStyle w:val="VerbatimChar"/>
        </w:rPr>
        <w:t xml:space="preserve">## 10 Cholangiocarcinoma                  2          1     NA         0.5 </w:t>
      </w:r>
      <w:r>
        <w:br w:type="textWrapping"/>
      </w:r>
      <w:r>
        <w:rPr>
          <w:rStyle w:val="VerbatimChar"/>
        </w:rPr>
        <w:t xml:space="preserve">## 11 Appendix                            1          0     NA         1   </w:t>
      </w:r>
      <w:r>
        <w:br w:type="textWrapping"/>
      </w:r>
      <w:r>
        <w:rPr>
          <w:rStyle w:val="VerbatimChar"/>
        </w:rPr>
        <w:t xml:space="preserve">## 12 Breast                              1          0     NA        NA   </w:t>
      </w:r>
      <w:r>
        <w:br w:type="textWrapping"/>
      </w:r>
      <w:r>
        <w:rPr>
          <w:rStyle w:val="VerbatimChar"/>
        </w:rPr>
        <w:t xml:space="preserve">## 13 Congenital mesoblastic nephroma     1          0     NA         1   </w:t>
      </w:r>
      <w:r>
        <w:br w:type="textWrapping"/>
      </w:r>
      <w:r>
        <w:rPr>
          <w:rStyle w:val="VerbatimChar"/>
        </w:rPr>
        <w:t xml:space="preserve">## 14 Pancreas                            1          1     14.1       1   </w:t>
      </w:r>
      <w:r>
        <w:br w:type="textWrapping"/>
      </w:r>
      <w:r>
        <w:rPr>
          <w:rStyle w:val="VerbatimChar"/>
        </w:rPr>
        <w:t xml:space="preserve">## 15 Pooled                             93         14     NA        NA   </w:t>
      </w:r>
      <w:r>
        <w:br w:type="textWrapping"/>
      </w:r>
      <w:r>
        <w:rPr>
          <w:rStyle w:val="VerbatimChar"/>
        </w:rPr>
        <w:t xml:space="preserve">##    OS_12month OS_12month_CIlo OS_12month_CIup PFS_n_event PFS_median PFS_6month</w:t>
      </w:r>
      <w:r>
        <w:br w:type="textWrapping"/>
      </w:r>
      <w:r>
        <w:rPr>
          <w:rStyle w:val="VerbatimChar"/>
        </w:rPr>
        <w:t xml:space="preserve">##         &lt;dbl&gt;           &lt;dbl&gt;           &lt;dbl&gt;       &lt;dbl&gt;      &lt;dbl&gt;      &lt;dbl&gt;</w:t>
      </w:r>
      <w:r>
        <w:br w:type="textWrapping"/>
      </w:r>
      <w:r>
        <w:rPr>
          <w:rStyle w:val="VerbatimChar"/>
        </w:rPr>
        <w:t xml:space="preserve">##  1       0.85           NA              NA              8      27.4        0.8 </w:t>
      </w:r>
      <w:r>
        <w:br w:type="textWrapping"/>
      </w:r>
      <w:r>
        <w:rPr>
          <w:rStyle w:val="VerbatimChar"/>
        </w:rPr>
        <w:t xml:space="preserve">##  2       0.94           NA              NA              4      NA          0.88</w:t>
      </w:r>
      <w:r>
        <w:br w:type="textWrapping"/>
      </w:r>
      <w:r>
        <w:rPr>
          <w:rStyle w:val="VerbatimChar"/>
        </w:rPr>
        <w:t xml:space="preserve">##  3       1              NA              NA              3      NA          0.83</w:t>
      </w:r>
      <w:r>
        <w:br w:type="textWrapping"/>
      </w:r>
      <w:r>
        <w:rPr>
          <w:rStyle w:val="VerbatimChar"/>
        </w:rPr>
        <w:t xml:space="preserve">##  4       0.9            NA              NA              4      NA          0.7 </w:t>
      </w:r>
      <w:r>
        <w:br w:type="textWrapping"/>
      </w:r>
      <w:r>
        <w:rPr>
          <w:rStyle w:val="VerbatimChar"/>
        </w:rPr>
        <w:t xml:space="preserve">##  5       1              NA              NA              1      NA          1   </w:t>
      </w:r>
      <w:r>
        <w:br w:type="textWrapping"/>
      </w:r>
      <w:r>
        <w:rPr>
          <w:rStyle w:val="VerbatimChar"/>
        </w:rPr>
        <w:t xml:space="preserve">##  6       0.42           NA              NA              2      NA          0.53</w:t>
      </w:r>
      <w:r>
        <w:br w:type="textWrapping"/>
      </w:r>
      <w:r>
        <w:rPr>
          <w:rStyle w:val="VerbatimChar"/>
        </w:rPr>
        <w:t xml:space="preserve">##  7       0.6            NA              NA              4       5.36       0.4 </w:t>
      </w:r>
      <w:r>
        <w:br w:type="textWrapping"/>
      </w:r>
      <w:r>
        <w:rPr>
          <w:rStyle w:val="VerbatimChar"/>
        </w:rPr>
        <w:t xml:space="preserve">##  8       1              NA              NA              2      19.3        1   </w:t>
      </w:r>
      <w:r>
        <w:br w:type="textWrapping"/>
      </w:r>
      <w:r>
        <w:rPr>
          <w:rStyle w:val="VerbatimChar"/>
        </w:rPr>
        <w:t xml:space="preserve">##  9       1              NA              NA              2       7.39       0.5 </w:t>
      </w:r>
      <w:r>
        <w:br w:type="textWrapping"/>
      </w:r>
      <w:r>
        <w:rPr>
          <w:rStyle w:val="VerbatimChar"/>
        </w:rPr>
        <w:t xml:space="preserve">## 10       0.5            NA              NA              1      NA          0.5 </w:t>
      </w:r>
      <w:r>
        <w:br w:type="textWrapping"/>
      </w:r>
      <w:r>
        <w:rPr>
          <w:rStyle w:val="VerbatimChar"/>
        </w:rPr>
        <w:t xml:space="preserve">## 11      NA              NA              NA              1       3.48       0   </w:t>
      </w:r>
      <w:r>
        <w:br w:type="textWrapping"/>
      </w:r>
      <w:r>
        <w:rPr>
          <w:rStyle w:val="VerbatimChar"/>
        </w:rPr>
        <w:t xml:space="preserve">## 12      NA              NA              NA              1       0.95       0   </w:t>
      </w:r>
      <w:r>
        <w:br w:type="textWrapping"/>
      </w:r>
      <w:r>
        <w:rPr>
          <w:rStyle w:val="VerbatimChar"/>
        </w:rPr>
        <w:t xml:space="preserve">## 13       1              NA              NA              0      NA          1   </w:t>
      </w:r>
      <w:r>
        <w:br w:type="textWrapping"/>
      </w:r>
      <w:r>
        <w:rPr>
          <w:rStyle w:val="VerbatimChar"/>
        </w:rPr>
        <w:t xml:space="preserve">## 14       1              NA              NA              1       7.2        1   </w:t>
      </w:r>
      <w:r>
        <w:br w:type="textWrapping"/>
      </w:r>
      <w:r>
        <w:rPr>
          <w:rStyle w:val="VerbatimChar"/>
        </w:rPr>
        <w:t xml:space="preserve">## 15       0.88            0.81            0.95          34      27.4        0.77</w:t>
      </w:r>
      <w:r>
        <w:br w:type="textWrapping"/>
      </w:r>
      <w:r>
        <w:rPr>
          <w:rStyle w:val="VerbatimChar"/>
        </w:rPr>
        <w:t xml:space="preserve">##    PFS_12month PFS_12month_CIlo PFS_12month_CIup</w:t>
      </w:r>
      <w:r>
        <w:br w:type="textWrapping"/>
      </w:r>
      <w:r>
        <w:rPr>
          <w:rStyle w:val="VerbatimChar"/>
        </w:rPr>
        <w:t xml:space="preserve">##          &lt;dbl&gt;            &lt;dbl&gt;            &lt;dbl&gt;</w:t>
      </w:r>
      <w:r>
        <w:br w:type="textWrapping"/>
      </w:r>
      <w:r>
        <w:rPr>
          <w:rStyle w:val="VerbatimChar"/>
        </w:rPr>
        <w:t xml:space="preserve">##  1        0.69            NA               NA   </w:t>
      </w:r>
      <w:r>
        <w:br w:type="textWrapping"/>
      </w:r>
      <w:r>
        <w:rPr>
          <w:rStyle w:val="VerbatimChar"/>
        </w:rPr>
        <w:t xml:space="preserve">##  2        0.8             NA               NA   </w:t>
      </w:r>
      <w:r>
        <w:br w:type="textWrapping"/>
      </w:r>
      <w:r>
        <w:rPr>
          <w:rStyle w:val="VerbatimChar"/>
        </w:rPr>
        <w:t xml:space="preserve">##  3        0.69            NA               NA   </w:t>
      </w:r>
      <w:r>
        <w:br w:type="textWrapping"/>
      </w:r>
      <w:r>
        <w:rPr>
          <w:rStyle w:val="VerbatimChar"/>
        </w:rPr>
        <w:t xml:space="preserve">##  4        0.7             NA               NA   </w:t>
      </w:r>
      <w:r>
        <w:br w:type="textWrapping"/>
      </w:r>
      <w:r>
        <w:rPr>
          <w:rStyle w:val="VerbatimChar"/>
        </w:rPr>
        <w:t xml:space="preserve">##  5        0.8             NA               NA   </w:t>
      </w:r>
      <w:r>
        <w:br w:type="textWrapping"/>
      </w:r>
      <w:r>
        <w:rPr>
          <w:rStyle w:val="VerbatimChar"/>
        </w:rPr>
        <w:t xml:space="preserve">##  6        0.53            NA               NA   </w:t>
      </w:r>
      <w:r>
        <w:br w:type="textWrapping"/>
      </w:r>
      <w:r>
        <w:rPr>
          <w:rStyle w:val="VerbatimChar"/>
        </w:rPr>
        <w:t xml:space="preserve">##  7       NA               NA               NA   </w:t>
      </w:r>
      <w:r>
        <w:br w:type="textWrapping"/>
      </w:r>
      <w:r>
        <w:rPr>
          <w:rStyle w:val="VerbatimChar"/>
        </w:rPr>
        <w:t xml:space="preserve">##  8        0.67            NA               NA   </w:t>
      </w:r>
      <w:r>
        <w:br w:type="textWrapping"/>
      </w:r>
      <w:r>
        <w:rPr>
          <w:rStyle w:val="VerbatimChar"/>
        </w:rPr>
        <w:t xml:space="preserve">##  9        0               NA               NA   </w:t>
      </w:r>
      <w:r>
        <w:br w:type="textWrapping"/>
      </w:r>
      <w:r>
        <w:rPr>
          <w:rStyle w:val="VerbatimChar"/>
        </w:rPr>
        <w:t xml:space="preserve">## 10        0.5             NA               NA   </w:t>
      </w:r>
      <w:r>
        <w:br w:type="textWrapping"/>
      </w:r>
      <w:r>
        <w:rPr>
          <w:rStyle w:val="VerbatimChar"/>
        </w:rPr>
        <w:t xml:space="preserve">## 11        0               NA               NA   </w:t>
      </w:r>
      <w:r>
        <w:br w:type="textWrapping"/>
      </w:r>
      <w:r>
        <w:rPr>
          <w:rStyle w:val="VerbatimChar"/>
        </w:rPr>
        <w:t xml:space="preserve">## 12        0               NA               NA   </w:t>
      </w:r>
      <w:r>
        <w:br w:type="textWrapping"/>
      </w:r>
      <w:r>
        <w:rPr>
          <w:rStyle w:val="VerbatimChar"/>
        </w:rPr>
        <w:t xml:space="preserve">## 13       NA               NA               NA   </w:t>
      </w:r>
      <w:r>
        <w:br w:type="textWrapping"/>
      </w:r>
      <w:r>
        <w:rPr>
          <w:rStyle w:val="VerbatimChar"/>
        </w:rPr>
        <w:t xml:space="preserve">## 14        0               NA               NA   </w:t>
      </w:r>
      <w:r>
        <w:br w:type="textWrapping"/>
      </w:r>
      <w:r>
        <w:rPr>
          <w:rStyle w:val="VerbatimChar"/>
        </w:rPr>
        <w:t xml:space="preserve">## 15        0.64             0.53             0.75</w:t>
      </w:r>
    </w:p>
    <w:p>
      <w:pPr>
        <w:pStyle w:val="FirstParagraph"/>
      </w:pPr>
      <w:r>
        <w:rPr>
          <w:b/>
        </w:rPr>
        <w:t xml:space="preserve">12-months survival probabilities, yearly rates, and expected mean survival (in years)</w:t>
      </w:r>
    </w:p>
    <w:p>
      <w:pPr>
        <w:pStyle w:val="BodyText"/>
      </w:pPr>
      <w:r>
        <w:rPr>
          <w:i/>
        </w:rPr>
        <w:t xml:space="preserve">OS data</w:t>
      </w:r>
    </w:p>
    <w:p>
      <w:pPr>
        <w:pStyle w:val="SourceCode"/>
      </w:pPr>
      <w:r>
        <w:rPr>
          <w:rStyle w:val="VerbatimChar"/>
        </w:rPr>
        <w:t xml:space="preserve">## # A tibble: 1 x 11</w:t>
      </w:r>
      <w:r>
        <w:br w:type="textWrapping"/>
      </w:r>
      <w:r>
        <w:rPr>
          <w:rStyle w:val="VerbatimChar"/>
        </w:rPr>
        <w:t xml:space="preserve">##   `Tumour type`     n OS_12month OS_12month_CIlo OS_12month_CIup  rate rate_lo</w:t>
      </w:r>
      <w:r>
        <w:br w:type="textWrapping"/>
      </w:r>
      <w:r>
        <w:rPr>
          <w:rStyle w:val="VerbatimChar"/>
        </w:rPr>
        <w:t xml:space="preserve">##   &lt;chr&gt;         &lt;dbl&gt;      &lt;dbl&gt;           &lt;dbl&gt;           &lt;dbl&gt; &lt;dbl&gt;   &lt;dbl&gt;</w:t>
      </w:r>
      <w:r>
        <w:br w:type="textWrapping"/>
      </w:r>
      <w:r>
        <w:rPr>
          <w:rStyle w:val="VerbatimChar"/>
        </w:rPr>
        <w:t xml:space="preserve">## 1 Pooled           93       0.88            0.81            0.95 0.128  0.0513</w:t>
      </w:r>
      <w:r>
        <w:br w:type="textWrapping"/>
      </w:r>
      <w:r>
        <w:rPr>
          <w:rStyle w:val="VerbatimChar"/>
        </w:rPr>
        <w:t xml:space="preserve">##   rate_up  mean mean_lo mean_up</w:t>
      </w:r>
      <w:r>
        <w:br w:type="textWrapping"/>
      </w:r>
      <w:r>
        <w:rPr>
          <w:rStyle w:val="VerbatimChar"/>
        </w:rPr>
        <w:t xml:space="preserve">##     &lt;dbl&gt; &lt;dbl&gt;   &lt;dbl&gt;   &lt;dbl&gt;</w:t>
      </w:r>
      <w:r>
        <w:br w:type="textWrapping"/>
      </w:r>
      <w:r>
        <w:rPr>
          <w:rStyle w:val="VerbatimChar"/>
        </w:rPr>
        <w:t xml:space="preserve">## 1   0.211  7.82    4.75    19.5</w:t>
      </w:r>
    </w:p>
    <w:p>
      <w:pPr>
        <w:pStyle w:val="FirstParagraph"/>
      </w:pPr>
      <w:r>
        <w:rPr>
          <w:i/>
        </w:rPr>
        <w:t xml:space="preserve">PFS data</w:t>
      </w:r>
    </w:p>
    <w:p>
      <w:pPr>
        <w:pStyle w:val="SourceCode"/>
      </w:pPr>
      <w:r>
        <w:rPr>
          <w:rStyle w:val="VerbatimChar"/>
        </w:rPr>
        <w:t xml:space="preserve">## # A tibble: 1 x 11</w:t>
      </w:r>
      <w:r>
        <w:br w:type="textWrapping"/>
      </w:r>
      <w:r>
        <w:rPr>
          <w:rStyle w:val="VerbatimChar"/>
        </w:rPr>
        <w:t xml:space="preserve">##   `Tumour type`     n PFS_12month PFS_12month_CIlo PFS_12month_CIup  rate</w:t>
      </w:r>
      <w:r>
        <w:br w:type="textWrapping"/>
      </w:r>
      <w:r>
        <w:rPr>
          <w:rStyle w:val="VerbatimChar"/>
        </w:rPr>
        <w:t xml:space="preserve">##   &lt;chr&gt;         &lt;dbl&gt;       &lt;dbl&gt;            &lt;dbl&gt;            &lt;dbl&gt; &lt;dbl&gt;</w:t>
      </w:r>
      <w:r>
        <w:br w:type="textWrapping"/>
      </w:r>
      <w:r>
        <w:rPr>
          <w:rStyle w:val="VerbatimChar"/>
        </w:rPr>
        <w:t xml:space="preserve">## 1 Pooled           93        0.64             0.53             0.75 0.446</w:t>
      </w:r>
      <w:r>
        <w:br w:type="textWrapping"/>
      </w:r>
      <w:r>
        <w:rPr>
          <w:rStyle w:val="VerbatimChar"/>
        </w:rPr>
        <w:t xml:space="preserve">##   rate_lo rate_up  mean mean_lo mean_up</w:t>
      </w:r>
      <w:r>
        <w:br w:type="textWrapping"/>
      </w:r>
      <w:r>
        <w:rPr>
          <w:rStyle w:val="VerbatimChar"/>
        </w:rPr>
        <w:t xml:space="preserve">##     &lt;dbl&gt;   &lt;dbl&gt; &lt;dbl&gt;   &lt;dbl&gt;   &lt;dbl&gt;</w:t>
      </w:r>
      <w:r>
        <w:br w:type="textWrapping"/>
      </w:r>
      <w:r>
        <w:rPr>
          <w:rStyle w:val="VerbatimChar"/>
        </w:rPr>
        <w:t xml:space="preserve">## 1   0.288   0.635  2.24    1.58    3.48</w:t>
      </w:r>
    </w:p>
    <w:p>
      <w:pPr>
        <w:pStyle w:val="FirstParagraph"/>
      </w:pPr>
      <w:r>
        <w:rPr>
          <w:b/>
        </w:rPr>
        <w:t xml:space="preserve">Figure</w:t>
      </w:r>
      <w:r>
        <w:t xml:space="preserve"> </w:t>
      </w:r>
      <w:r>
        <w:t xml:space="preserve">Exponential survival models for Larotrectinib estimated from 12-months survival rates for OS (black line/area) and PFS (blue line/area).</w:t>
      </w:r>
    </w:p>
    <w:p>
      <w:pPr>
        <w:pStyle w:val="BodyText"/>
      </w:pPr>
      <w:r>
        <w:rPr>
          <w:b/>
        </w:rPr>
        <w:t xml:space="preserve">Figure</w:t>
      </w:r>
      <w:r>
        <w:t xml:space="preserve"> </w:t>
      </w:r>
      <w:r>
        <w:t xml:space="preserve">OS and PFS survival probabilities from exponential model fits (long-term extrapolation)</w:t>
      </w:r>
      <w:r>
        <w:t xml:space="preserve"> </w:t>
      </w:r>
      <w:r>
        <w:drawing>
          <wp:inline>
            <wp:extent cx="5943600" cy="3396342"/>
            <wp:effectExtent b="0" l="0" r="0" t="0"/>
            <wp:docPr descr="" title="" id="1" name="Picture"/>
            <a:graphic>
              <a:graphicData uri="http://schemas.openxmlformats.org/drawingml/2006/picture">
                <pic:pic>
                  <pic:nvPicPr>
                    <pic:cNvPr descr="C:/GIT/punta/outputs/02-A-EDA-TTE-Larotrec_files/figure-docx/unnamed-chunk-4-1.png" id="0" name="Picture"/>
                    <pic:cNvPicPr>
                      <a:picLocks noChangeArrowheads="1" noChangeAspect="1"/>
                    </pic:cNvPicPr>
                  </pic:nvPicPr>
                  <pic:blipFill>
                    <a:blip r:embed="rId22"/>
                    <a:stretch>
                      <a:fillRect/>
                    </a:stretch>
                  </pic:blipFill>
                  <pic:spPr bwMode="auto">
                    <a:xfrm>
                      <a:off x="0" y="0"/>
                      <a:ext cx="5943600" cy="3396342"/>
                    </a:xfrm>
                    <a:prstGeom prst="rect">
                      <a:avLst/>
                    </a:prstGeom>
                    <a:noFill/>
                    <a:ln w="9525">
                      <a:noFill/>
                      <a:headEnd/>
                      <a:tailEnd/>
                    </a:ln>
                  </pic:spPr>
                </pic:pic>
              </a:graphicData>
            </a:graphic>
          </wp:inline>
        </w:drawing>
      </w:r>
    </w:p>
    <w:p>
      <w:pPr>
        <w:pStyle w:val="SourceCode"/>
      </w:pPr>
      <w:r>
        <w:rPr>
          <w:rStyle w:val="VerbatimChar"/>
        </w:rPr>
        <w:t xml:space="preserve">## Scale for 'x' is already present. Adding another scale for 'x', which will</w:t>
      </w:r>
      <w:r>
        <w:br w:type="textWrapping"/>
      </w:r>
      <w:r>
        <w:rPr>
          <w:rStyle w:val="VerbatimChar"/>
        </w:rPr>
        <w:t xml:space="preserve">## replace the existing scale.</w:t>
      </w:r>
    </w:p>
    <w:p>
      <w:pPr>
        <w:pStyle w:val="SourceCode"/>
      </w:pPr>
      <w:r>
        <w:rPr>
          <w:rStyle w:val="VerbatimChar"/>
        </w:rPr>
        <w:t xml:space="preserve">## Scale for 'y' is already present. Adding another scale for 'y', which will</w:t>
      </w:r>
      <w:r>
        <w:br w:type="textWrapping"/>
      </w:r>
      <w:r>
        <w:rPr>
          <w:rStyle w:val="VerbatimChar"/>
        </w:rPr>
        <w:t xml:space="preserve">## replace the existing scale.</w:t>
      </w:r>
    </w:p>
    <w:p>
      <w:pPr>
        <w:pStyle w:val="SourceCode"/>
      </w:pPr>
      <w:r>
        <w:rPr>
          <w:rStyle w:val="VerbatimChar"/>
        </w:rPr>
        <w:t xml:space="preserve">## Warning: Removed 260 rows containing missing values (geom_path).</w:t>
      </w:r>
      <w:r>
        <w:br w:type="textWrapping"/>
      </w:r>
      <w:r>
        <w:br w:type="textWrapping"/>
      </w:r>
      <w:r>
        <w:rPr>
          <w:rStyle w:val="VerbatimChar"/>
        </w:rPr>
        <w:t xml:space="preserve">## Warning: Removed 260 rows containing missing values (geom_path).</w:t>
      </w:r>
    </w:p>
    <w:p>
      <w:pPr>
        <w:pStyle w:val="FirstParagraph"/>
      </w:pPr>
      <w:r>
        <w:drawing>
          <wp:inline>
            <wp:extent cx="5943600" cy="3396342"/>
            <wp:effectExtent b="0" l="0" r="0" t="0"/>
            <wp:docPr descr="" title="" id="1" name="Picture"/>
            <a:graphic>
              <a:graphicData uri="http://schemas.openxmlformats.org/drawingml/2006/picture">
                <pic:pic>
                  <pic:nvPicPr>
                    <pic:cNvPr descr="C:/GIT/punta/outputs/02-A-EDA-TTE-Larotrec_files/figure-docx/unnamed-chunk-4-2.png" id="0" name="Picture"/>
                    <pic:cNvPicPr>
                      <a:picLocks noChangeArrowheads="1" noChangeAspect="1"/>
                    </pic:cNvPicPr>
                  </pic:nvPicPr>
                  <pic:blipFill>
                    <a:blip r:embed="rId23"/>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Table</w:t>
      </w:r>
      <w:r>
        <w:t xml:space="preserve"> </w:t>
      </w:r>
      <w:r>
        <w:t xml:space="preserve">OS and PFS survival probabilities from exponential model fits</w:t>
      </w:r>
    </w:p>
    <w:tbl>
      <w:tblPr>
        <w:tblStyle w:val="Table"/>
        <w:tblW w:type="pct" w:w="4513.88888888889"/>
        <w:tblLook w:firstRow="1"/>
      </w:tblPr>
      <w:tblGrid>
        <w:gridCol w:w="550"/>
        <w:gridCol w:w="990"/>
        <w:gridCol w:w="1100"/>
        <w:gridCol w:w="880"/>
        <w:gridCol w:w="1210"/>
        <w:gridCol w:w="1210"/>
        <w:gridCol w:w="1210"/>
      </w:tblGrid>
      <w:tr>
        <w:trPr>
          <w:cnfStyle w:firstRow="1"/>
        </w:trPr>
        <w:tc>
          <w:tcPr>
            <w:tcBorders>
              <w:bottom w:val="single"/>
            </w:tcBorders>
            <w:vAlign w:val="bottom"/>
          </w:tcPr>
          <w:p>
            <w:pPr>
              <w:pStyle w:val="Compact"/>
              <w:jc w:val="center"/>
            </w:pPr>
            <w:r>
              <w:t xml:space="preserve">x</w:t>
            </w:r>
          </w:p>
        </w:tc>
        <w:tc>
          <w:tcPr>
            <w:tcBorders>
              <w:bottom w:val="single"/>
            </w:tcBorders>
            <w:vAlign w:val="bottom"/>
          </w:tcPr>
          <w:p>
            <w:pPr>
              <w:pStyle w:val="Compact"/>
              <w:jc w:val="center"/>
            </w:pPr>
            <w:r>
              <w:t xml:space="preserve">OS</w:t>
            </w:r>
          </w:p>
        </w:tc>
        <w:tc>
          <w:tcPr>
            <w:tcBorders>
              <w:bottom w:val="single"/>
            </w:tcBorders>
            <w:vAlign w:val="bottom"/>
          </w:tcPr>
          <w:p>
            <w:pPr>
              <w:pStyle w:val="Compact"/>
              <w:jc w:val="center"/>
            </w:pPr>
            <w:r>
              <w:t xml:space="preserve">OS_lo</w:t>
            </w:r>
          </w:p>
        </w:tc>
        <w:tc>
          <w:tcPr>
            <w:tcBorders>
              <w:bottom w:val="single"/>
            </w:tcBorders>
            <w:vAlign w:val="bottom"/>
          </w:tcPr>
          <w:p>
            <w:pPr>
              <w:pStyle w:val="Compact"/>
              <w:jc w:val="center"/>
            </w:pPr>
            <w:r>
              <w:t xml:space="preserve">OS_up</w:t>
            </w:r>
          </w:p>
        </w:tc>
        <w:tc>
          <w:tcPr>
            <w:tcBorders>
              <w:bottom w:val="single"/>
            </w:tcBorders>
            <w:vAlign w:val="bottom"/>
          </w:tcPr>
          <w:p>
            <w:pPr>
              <w:pStyle w:val="Compact"/>
              <w:jc w:val="center"/>
            </w:pPr>
            <w:r>
              <w:t xml:space="preserve">PFS</w:t>
            </w:r>
          </w:p>
        </w:tc>
        <w:tc>
          <w:tcPr>
            <w:tcBorders>
              <w:bottom w:val="single"/>
            </w:tcBorders>
            <w:vAlign w:val="bottom"/>
          </w:tcPr>
          <w:p>
            <w:pPr>
              <w:pStyle w:val="Compact"/>
              <w:jc w:val="center"/>
            </w:pPr>
            <w:r>
              <w:t xml:space="preserve">PFS_lo</w:t>
            </w:r>
          </w:p>
        </w:tc>
        <w:tc>
          <w:tcPr>
            <w:tcBorders>
              <w:bottom w:val="single"/>
            </w:tcBorders>
            <w:vAlign w:val="bottom"/>
          </w:tcPr>
          <w:p>
            <w:pPr>
              <w:pStyle w:val="Compact"/>
              <w:jc w:val="center"/>
            </w:pPr>
            <w:r>
              <w:t xml:space="preserve">PFS_up</w:t>
            </w:r>
          </w:p>
        </w:tc>
      </w:tr>
      <w:tr>
        <w:tc>
          <w:p>
            <w:pPr>
              <w:pStyle w:val="Compact"/>
              <w:jc w:val="center"/>
            </w:pPr>
            <w:r>
              <w:t xml:space="preserve">5</w:t>
            </w:r>
          </w:p>
        </w:tc>
        <w:tc>
          <w:p>
            <w:pPr>
              <w:pStyle w:val="Compact"/>
              <w:jc w:val="center"/>
            </w:pPr>
            <w:r>
              <w:t xml:space="preserve">0.528</w:t>
            </w:r>
          </w:p>
        </w:tc>
        <w:tc>
          <w:p>
            <w:pPr>
              <w:pStyle w:val="Compact"/>
              <w:jc w:val="center"/>
            </w:pPr>
            <w:r>
              <w:t xml:space="preserve">0.349</w:t>
            </w:r>
          </w:p>
        </w:tc>
        <w:tc>
          <w:p>
            <w:pPr>
              <w:pStyle w:val="Compact"/>
              <w:jc w:val="center"/>
            </w:pPr>
            <w:r>
              <w:t xml:space="preserve">0.774</w:t>
            </w:r>
          </w:p>
        </w:tc>
        <w:tc>
          <w:p>
            <w:pPr>
              <w:pStyle w:val="Compact"/>
              <w:jc w:val="center"/>
            </w:pPr>
            <w:r>
              <w:t xml:space="preserve">0.107</w:t>
            </w:r>
          </w:p>
        </w:tc>
        <w:tc>
          <w:p>
            <w:pPr>
              <w:pStyle w:val="Compact"/>
              <w:jc w:val="center"/>
            </w:pPr>
            <w:r>
              <w:t xml:space="preserve">0.0418</w:t>
            </w:r>
          </w:p>
        </w:tc>
        <w:tc>
          <w:p>
            <w:pPr>
              <w:pStyle w:val="Compact"/>
              <w:jc w:val="center"/>
            </w:pPr>
            <w:r>
              <w:t xml:space="preserve">0.237</w:t>
            </w:r>
          </w:p>
        </w:tc>
      </w:tr>
      <w:tr>
        <w:tc>
          <w:p>
            <w:pPr>
              <w:pStyle w:val="Compact"/>
              <w:jc w:val="center"/>
            </w:pPr>
            <w:r>
              <w:t xml:space="preserve">10</w:t>
            </w:r>
          </w:p>
        </w:tc>
        <w:tc>
          <w:p>
            <w:pPr>
              <w:pStyle w:val="Compact"/>
              <w:jc w:val="center"/>
            </w:pPr>
            <w:r>
              <w:t xml:space="preserve">0.279</w:t>
            </w:r>
          </w:p>
        </w:tc>
        <w:tc>
          <w:p>
            <w:pPr>
              <w:pStyle w:val="Compact"/>
              <w:jc w:val="center"/>
            </w:pPr>
            <w:r>
              <w:t xml:space="preserve">0.122</w:t>
            </w:r>
          </w:p>
        </w:tc>
        <w:tc>
          <w:p>
            <w:pPr>
              <w:pStyle w:val="Compact"/>
              <w:jc w:val="center"/>
            </w:pPr>
            <w:r>
              <w:t xml:space="preserve">0.599</w:t>
            </w:r>
          </w:p>
        </w:tc>
        <w:tc>
          <w:p>
            <w:pPr>
              <w:pStyle w:val="Compact"/>
              <w:jc w:val="center"/>
            </w:pPr>
            <w:r>
              <w:t xml:space="preserve">0.0115</w:t>
            </w:r>
          </w:p>
        </w:tc>
        <w:tc>
          <w:p>
            <w:pPr>
              <w:pStyle w:val="Compact"/>
              <w:jc w:val="center"/>
            </w:pPr>
            <w:r>
              <w:t xml:space="preserve">0.00175</w:t>
            </w:r>
          </w:p>
        </w:tc>
        <w:tc>
          <w:p>
            <w:pPr>
              <w:pStyle w:val="Compact"/>
              <w:jc w:val="center"/>
            </w:pPr>
            <w:r>
              <w:t xml:space="preserve">0.0563</w:t>
            </w:r>
          </w:p>
        </w:tc>
      </w:tr>
      <w:tr>
        <w:tc>
          <w:p>
            <w:pPr>
              <w:pStyle w:val="Compact"/>
              <w:jc w:val="center"/>
            </w:pPr>
            <w:r>
              <w:t xml:space="preserve">15</w:t>
            </w:r>
          </w:p>
        </w:tc>
        <w:tc>
          <w:p>
            <w:pPr>
              <w:pStyle w:val="Compact"/>
              <w:jc w:val="center"/>
            </w:pPr>
            <w:r>
              <w:t xml:space="preserve">0.147</w:t>
            </w:r>
          </w:p>
        </w:tc>
        <w:tc>
          <w:p>
            <w:pPr>
              <w:pStyle w:val="Compact"/>
              <w:jc w:val="center"/>
            </w:pPr>
            <w:r>
              <w:t xml:space="preserve">0.0424</w:t>
            </w:r>
          </w:p>
        </w:tc>
        <w:tc>
          <w:p>
            <w:pPr>
              <w:pStyle w:val="Compact"/>
              <w:jc w:val="center"/>
            </w:pPr>
            <w:r>
              <w:t xml:space="preserve">0.463</w:t>
            </w:r>
          </w:p>
        </w:tc>
        <w:tc>
          <w:p>
            <w:pPr>
              <w:pStyle w:val="Compact"/>
              <w:jc w:val="center"/>
            </w:pPr>
            <w:r>
              <w:t xml:space="preserve">0.00124</w:t>
            </w:r>
          </w:p>
        </w:tc>
        <w:tc>
          <w:p>
            <w:pPr>
              <w:pStyle w:val="Compact"/>
              <w:jc w:val="center"/>
            </w:pPr>
            <w:r>
              <w:t xml:space="preserve">7.31e-05</w:t>
            </w:r>
          </w:p>
        </w:tc>
        <w:tc>
          <w:p>
            <w:pPr>
              <w:pStyle w:val="Compact"/>
              <w:jc w:val="center"/>
            </w:pPr>
            <w:r>
              <w:t xml:space="preserve">0.0134</w:t>
            </w:r>
          </w:p>
        </w:tc>
      </w:tr>
      <w:tr>
        <w:tc>
          <w:p>
            <w:pPr>
              <w:pStyle w:val="Compact"/>
              <w:jc w:val="center"/>
            </w:pPr>
            <w:r>
              <w:t xml:space="preserve">20</w:t>
            </w:r>
          </w:p>
        </w:tc>
        <w:tc>
          <w:p>
            <w:pPr>
              <w:pStyle w:val="Compact"/>
              <w:jc w:val="center"/>
            </w:pPr>
            <w:r>
              <w:t xml:space="preserve">0.0776</w:t>
            </w:r>
          </w:p>
        </w:tc>
        <w:tc>
          <w:p>
            <w:pPr>
              <w:pStyle w:val="Compact"/>
              <w:jc w:val="center"/>
            </w:pPr>
            <w:r>
              <w:t xml:space="preserve">0.0148</w:t>
            </w:r>
          </w:p>
        </w:tc>
        <w:tc>
          <w:p>
            <w:pPr>
              <w:pStyle w:val="Compact"/>
              <w:jc w:val="center"/>
            </w:pPr>
            <w:r>
              <w:t xml:space="preserve">0.358</w:t>
            </w:r>
          </w:p>
        </w:tc>
        <w:tc>
          <w:p>
            <w:pPr>
              <w:pStyle w:val="Compact"/>
              <w:jc w:val="center"/>
            </w:pPr>
            <w:r>
              <w:t xml:space="preserve">0.000133</w:t>
            </w:r>
          </w:p>
        </w:tc>
        <w:tc>
          <w:p>
            <w:pPr>
              <w:pStyle w:val="Compact"/>
              <w:jc w:val="center"/>
            </w:pPr>
            <w:r>
              <w:t xml:space="preserve">3.06e-06</w:t>
            </w:r>
          </w:p>
        </w:tc>
        <w:tc>
          <w:p>
            <w:pPr>
              <w:pStyle w:val="Compact"/>
              <w:jc w:val="center"/>
            </w:pPr>
            <w:r>
              <w:t xml:space="preserve">0.00317</w:t>
            </w:r>
          </w:p>
        </w:tc>
      </w:tr>
      <w:tr>
        <w:tc>
          <w:p>
            <w:pPr>
              <w:pStyle w:val="Compact"/>
              <w:jc w:val="center"/>
            </w:pPr>
            <w:r>
              <w:t xml:space="preserve">25</w:t>
            </w:r>
          </w:p>
        </w:tc>
        <w:tc>
          <w:p>
            <w:pPr>
              <w:pStyle w:val="Compact"/>
              <w:jc w:val="center"/>
            </w:pPr>
            <w:r>
              <w:t xml:space="preserve">0.0409</w:t>
            </w:r>
          </w:p>
        </w:tc>
        <w:tc>
          <w:p>
            <w:pPr>
              <w:pStyle w:val="Compact"/>
              <w:jc w:val="center"/>
            </w:pPr>
            <w:r>
              <w:t xml:space="preserve">0.00515</w:t>
            </w:r>
          </w:p>
        </w:tc>
        <w:tc>
          <w:p>
            <w:pPr>
              <w:pStyle w:val="Compact"/>
              <w:jc w:val="center"/>
            </w:pPr>
            <w:r>
              <w:t xml:space="preserve">0.277</w:t>
            </w:r>
          </w:p>
        </w:tc>
        <w:tc>
          <w:p>
            <w:pPr>
              <w:pStyle w:val="Compact"/>
              <w:jc w:val="center"/>
            </w:pPr>
            <w:r>
              <w:t xml:space="preserve">1.43e-05</w:t>
            </w:r>
          </w:p>
        </w:tc>
        <w:tc>
          <w:p>
            <w:pPr>
              <w:pStyle w:val="Compact"/>
              <w:jc w:val="center"/>
            </w:pPr>
            <w:r>
              <w:t xml:space="preserve">1.28e-07</w:t>
            </w:r>
          </w:p>
        </w:tc>
        <w:tc>
          <w:p>
            <w:pPr>
              <w:pStyle w:val="Compact"/>
              <w:jc w:val="center"/>
            </w:pPr>
            <w:r>
              <w:t xml:space="preserve">0.000753</w:t>
            </w:r>
          </w:p>
        </w:tc>
      </w:tr>
      <w:tr>
        <w:tc>
          <w:p>
            <w:pPr>
              <w:pStyle w:val="Compact"/>
              <w:jc w:val="center"/>
            </w:pPr>
            <w:r>
              <w:t xml:space="preserve">30</w:t>
            </w:r>
          </w:p>
        </w:tc>
        <w:tc>
          <w:p>
            <w:pPr>
              <w:pStyle w:val="Compact"/>
              <w:jc w:val="center"/>
            </w:pPr>
            <w:r>
              <w:t xml:space="preserve">0.0216</w:t>
            </w:r>
          </w:p>
        </w:tc>
        <w:tc>
          <w:p>
            <w:pPr>
              <w:pStyle w:val="Compact"/>
              <w:jc w:val="center"/>
            </w:pPr>
            <w:r>
              <w:t xml:space="preserve">0.0018</w:t>
            </w:r>
          </w:p>
        </w:tc>
        <w:tc>
          <w:p>
            <w:pPr>
              <w:pStyle w:val="Compact"/>
              <w:jc w:val="center"/>
            </w:pPr>
            <w:r>
              <w:t xml:space="preserve">0.215</w:t>
            </w:r>
          </w:p>
        </w:tc>
        <w:tc>
          <w:p>
            <w:pPr>
              <w:pStyle w:val="Compact"/>
              <w:jc w:val="center"/>
            </w:pPr>
            <w:r>
              <w:t xml:space="preserve">1.53e-06</w:t>
            </w:r>
          </w:p>
        </w:tc>
        <w:tc>
          <w:p>
            <w:pPr>
              <w:pStyle w:val="Compact"/>
              <w:jc w:val="center"/>
            </w:pPr>
            <w:r>
              <w:t xml:space="preserve">5.35e-09</w:t>
            </w:r>
          </w:p>
        </w:tc>
        <w:tc>
          <w:p>
            <w:pPr>
              <w:pStyle w:val="Compact"/>
              <w:jc w:val="center"/>
            </w:pPr>
            <w:r>
              <w:t xml:space="preserve">0.000179</w:t>
            </w:r>
          </w:p>
        </w:tc>
      </w:tr>
    </w:tbl>
    <w:p>
      <w:pPr>
        <w:pStyle w:val="BodyText"/>
      </w:pPr>
      <w:r>
        <w:t xml:space="preserve">OS seems rather on the long end, though this seems to reflect the potential of a cured subgroup (with relatively early age of onset). For the sake of the example here, these estimates might be</w:t>
      </w:r>
      <w:r>
        <w:t xml:space="preserve"> </w:t>
      </w:r>
      <w:r>
        <w:t xml:space="preserve">“</w:t>
      </w:r>
      <w:r>
        <w:t xml:space="preserve">good enough</w:t>
      </w:r>
      <w:r>
        <w:t xml:space="preserve">”</w:t>
      </w:r>
      <w:r>
        <w:t xml:space="preserve"> </w:t>
      </w:r>
      <w:r>
        <w:t xml:space="preserve">(?) to serve as rough guides for selecting values for a stylized decision model.</w:t>
      </w:r>
    </w:p>
    <w:p>
      <w:pPr>
        <w:pStyle w:val="BodyText"/>
      </w:pPr>
      <w:r>
        <w:t xml:space="preserve">For the stylized example we may need to select much smaller uncertainty around the population average to be able to study the effect of adding prediction uncertainty. Otherwise the</w:t>
      </w:r>
      <w:r>
        <w:t xml:space="preserve"> </w:t>
      </w:r>
      <w:r>
        <w:t xml:space="preserve">“</w:t>
      </w:r>
      <w:r>
        <w:t xml:space="preserve">initial</w:t>
      </w:r>
      <w:r>
        <w:t xml:space="preserve">”</w:t>
      </w:r>
      <w:r>
        <w:t xml:space="preserve"> </w:t>
      </w:r>
      <w:r>
        <w:t xml:space="preserve">uncertainty may be too large to make meaningful case studies.</w:t>
      </w:r>
    </w:p>
    <w:p>
      <w:pPr>
        <w:pStyle w:val="BodyText"/>
      </w:pPr>
      <w:r>
        <w:t xml:space="preserve">Test also the Weibull model, which may proof more suitable.</w:t>
      </w:r>
    </w:p>
    <w:p>
      <w:pPr>
        <w:pStyle w:val="Heading1"/>
      </w:pPr>
      <w:bookmarkStart w:id="24" w:name="weibull-model"/>
      <w:r>
        <w:t xml:space="preserve">Weibull model</w:t>
      </w:r>
      <w:bookmarkEnd w:id="24"/>
    </w:p>
    <w:p>
      <w:pPr>
        <w:pStyle w:val="FirstParagraph"/>
      </w:pPr>
      <w:r>
        <w:t xml:space="preserve">I fit the Weibull survival model,</w:t>
      </w:r>
    </w:p>
    <w:p>
      <w:pPr>
        <w:pStyle w:val="BodyText"/>
      </w:pPr>
      <m:oMathPara>
        <m:oMathParaPr>
          <m:jc m:val="center"/>
        </m:oMathParaPr>
        <m:oMath>
          <m:r>
            <m:t>S</m:t>
          </m:r>
          <m:r>
            <m:t>(</m:t>
          </m:r>
          <m:r>
            <m:t>t</m:t>
          </m:r>
          <m:r>
            <m:t>)</m:t>
          </m:r>
          <m:r>
            <m:t>=</m:t>
          </m:r>
          <m:sSup>
            <m:e>
              <m:r>
                <m:t>e</m:t>
              </m:r>
            </m:e>
            <m:sup>
              <m:r>
                <m:t>−</m:t>
              </m:r>
              <m:r>
                <m:t>λ</m:t>
              </m:r>
              <m:sSup>
                <m:e>
                  <m:r>
                    <m:t>t</m:t>
                  </m:r>
                </m:e>
                <m:sup>
                  <m:r>
                    <m:t>γ</m:t>
                  </m:r>
                </m:sup>
              </m:sSup>
            </m:sup>
          </m:sSup>
        </m:oMath>
      </m:oMathPara>
    </w:p>
    <w:p>
      <w:pPr>
        <w:pStyle w:val="FirstParagraph"/>
      </w:pPr>
      <w:r>
        <w:t xml:space="preserve">to two data points (t, S(t)), with time</w:t>
      </w:r>
      <w:r>
        <w:t xml:space="preserve"> </w:t>
      </w:r>
      <w:r>
        <w:rPr>
          <w:b/>
        </w:rPr>
        <w:t xml:space="preserve">t in years</w:t>
      </w:r>
      <w:r>
        <w:t xml:space="preserve"> </w:t>
      </w:r>
      <w:r>
        <w:t xml:space="preserve">to derive the shape parameter</w:t>
      </w:r>
      <w:r>
        <w:t xml:space="preserve"> </w:t>
      </w:r>
      <m:oMath>
        <m:r>
          <m:t>γ</m:t>
        </m:r>
      </m:oMath>
      <w:r>
        <w:t xml:space="preserve"> </w:t>
      </w:r>
      <w:r>
        <w:t xml:space="preserve">and the scale parameter</w:t>
      </w:r>
      <w:r>
        <w:t xml:space="preserve"> </w:t>
      </w:r>
      <m:oMath>
        <m:r>
          <m:t>λ</m:t>
        </m:r>
      </m:oMath>
      <w:r>
        <w:t xml:space="preserve">.</w:t>
      </w:r>
    </w:p>
    <w:p>
      <w:pPr>
        <w:pStyle w:val="BodyText"/>
      </w:pPr>
      <w:r>
        <w:t xml:space="preserve">For this purpose, I add the (arbitrary) tail constraint of OS at 20 years being 1%.</w:t>
      </w:r>
    </w:p>
    <w:p>
      <w:pPr>
        <w:pStyle w:val="BodyText"/>
      </w:pPr>
      <w:r>
        <w:t xml:space="preserve">Solving the survivor function equation for the two points.</w:t>
      </w:r>
    </w:p>
    <w:p>
      <w:pPr>
        <w:pStyle w:val="BodyText"/>
      </w:pPr>
      <w:r>
        <w:t xml:space="preserve">I wil take the</w:t>
      </w:r>
      <w:r>
        <w:t xml:space="preserve"> </w:t>
      </w:r>
      <w:r>
        <w:rPr>
          <w:b/>
        </w:rPr>
        <w:t xml:space="preserve">shape parameter as fixed</w:t>
      </w:r>
      <w:r>
        <w:t xml:space="preserve">.</w:t>
      </w:r>
    </w:p>
    <w:p>
      <w:pPr>
        <w:pStyle w:val="BodyText"/>
      </w:pPr>
      <w:r>
        <w:t xml:space="preserve">To derive a CI for the scale parameter, I solve the equation again (now with one single parameter) and plug-in the lower and upper values from the 12-month OS estimates.</w:t>
      </w:r>
    </w:p>
    <w:p>
      <w:pPr>
        <w:pStyle w:val="BodyText"/>
      </w:pPr>
      <w:r>
        <w:t xml:space="preserve">This leads to:</w:t>
      </w:r>
    </w:p>
    <w:tbl>
      <w:tblPr>
        <w:tblStyle w:val="Table"/>
        <w:tblW w:type="pct" w:w="5000.0"/>
        <w:tblLook w:firstRow="1"/>
      </w:tblPr>
      <w:tblGrid>
        <w:gridCol w:w="455"/>
        <w:gridCol w:w="637"/>
        <w:gridCol w:w="728"/>
        <w:gridCol w:w="728"/>
        <w:gridCol w:w="455"/>
        <w:gridCol w:w="637"/>
        <w:gridCol w:w="728"/>
        <w:gridCol w:w="1001"/>
        <w:gridCol w:w="1274"/>
        <w:gridCol w:w="1274"/>
      </w:tblGrid>
      <w:tr>
        <w:trPr>
          <w:cnfStyle w:firstRow="1"/>
        </w:trPr>
        <w:tc>
          <w:tcPr>
            <w:tcBorders>
              <w:bottom w:val="single"/>
            </w:tcBorders>
            <w:vAlign w:val="bottom"/>
          </w:tcPr>
          <w:p>
            <w:pPr>
              <w:pStyle w:val="Compact"/>
              <w:jc w:val="center"/>
            </w:pPr>
            <w:r>
              <w:t xml:space="preserve">t1</w:t>
            </w:r>
          </w:p>
        </w:tc>
        <w:tc>
          <w:tcPr>
            <w:tcBorders>
              <w:bottom w:val="single"/>
            </w:tcBorders>
            <w:vAlign w:val="bottom"/>
          </w:tcPr>
          <w:p>
            <w:pPr>
              <w:pStyle w:val="Compact"/>
              <w:jc w:val="center"/>
            </w:pPr>
            <w:r>
              <w:t xml:space="preserve">S1</w:t>
            </w:r>
          </w:p>
        </w:tc>
        <w:tc>
          <w:tcPr>
            <w:tcBorders>
              <w:bottom w:val="single"/>
            </w:tcBorders>
            <w:vAlign w:val="bottom"/>
          </w:tcPr>
          <w:p>
            <w:pPr>
              <w:pStyle w:val="Compact"/>
              <w:jc w:val="center"/>
            </w:pPr>
            <w:r>
              <w:t xml:space="preserve">S1_lo</w:t>
            </w:r>
          </w:p>
        </w:tc>
        <w:tc>
          <w:tcPr>
            <w:tcBorders>
              <w:bottom w:val="single"/>
            </w:tcBorders>
            <w:vAlign w:val="bottom"/>
          </w:tcPr>
          <w:p>
            <w:pPr>
              <w:pStyle w:val="Compact"/>
              <w:jc w:val="center"/>
            </w:pPr>
            <w:r>
              <w:t xml:space="preserve">S1_up</w:t>
            </w:r>
          </w:p>
        </w:tc>
        <w:tc>
          <w:tcPr>
            <w:tcBorders>
              <w:bottom w:val="single"/>
            </w:tcBorders>
            <w:vAlign w:val="bottom"/>
          </w:tcPr>
          <w:p>
            <w:pPr>
              <w:pStyle w:val="Compact"/>
              <w:jc w:val="center"/>
            </w:pPr>
            <w:r>
              <w:t xml:space="preserve">t2</w:t>
            </w:r>
          </w:p>
        </w:tc>
        <w:tc>
          <w:tcPr>
            <w:tcBorders>
              <w:bottom w:val="single"/>
            </w:tcBorders>
            <w:vAlign w:val="bottom"/>
          </w:tcPr>
          <w:p>
            <w:pPr>
              <w:pStyle w:val="Compact"/>
              <w:jc w:val="center"/>
            </w:pPr>
            <w:r>
              <w:t xml:space="preserve">S2</w:t>
            </w:r>
          </w:p>
        </w:tc>
        <w:tc>
          <w:tcPr>
            <w:tcBorders>
              <w:bottom w:val="single"/>
            </w:tcBorders>
            <w:vAlign w:val="bottom"/>
          </w:tcPr>
          <w:p>
            <w:pPr>
              <w:pStyle w:val="Compact"/>
              <w:jc w:val="center"/>
            </w:pPr>
            <w:r>
              <w:t xml:space="preserve">shape</w:t>
            </w:r>
          </w:p>
        </w:tc>
        <w:tc>
          <w:tcPr>
            <w:tcBorders>
              <w:bottom w:val="single"/>
            </w:tcBorders>
            <w:vAlign w:val="bottom"/>
          </w:tcPr>
          <w:p>
            <w:pPr>
              <w:pStyle w:val="Compact"/>
              <w:jc w:val="center"/>
            </w:pPr>
            <w:r>
              <w:t xml:space="preserve">os_scale</w:t>
            </w:r>
          </w:p>
        </w:tc>
        <w:tc>
          <w:tcPr>
            <w:tcBorders>
              <w:bottom w:val="single"/>
            </w:tcBorders>
            <w:vAlign w:val="bottom"/>
          </w:tcPr>
          <w:p>
            <w:pPr>
              <w:pStyle w:val="Compact"/>
              <w:jc w:val="center"/>
            </w:pPr>
            <w:r>
              <w:t xml:space="preserve">os_scale_lo</w:t>
            </w:r>
          </w:p>
        </w:tc>
        <w:tc>
          <w:tcPr>
            <w:tcBorders>
              <w:bottom w:val="single"/>
            </w:tcBorders>
            <w:vAlign w:val="bottom"/>
          </w:tcPr>
          <w:p>
            <w:pPr>
              <w:pStyle w:val="Compact"/>
              <w:jc w:val="center"/>
            </w:pPr>
            <w:r>
              <w:t xml:space="preserve">os_scale_up</w:t>
            </w:r>
          </w:p>
        </w:tc>
      </w:tr>
      <w:tr>
        <w:tc>
          <w:p>
            <w:pPr>
              <w:pStyle w:val="Compact"/>
              <w:jc w:val="center"/>
            </w:pPr>
            <w:r>
              <w:t xml:space="preserve">1</w:t>
            </w:r>
          </w:p>
        </w:tc>
        <w:tc>
          <w:p>
            <w:pPr>
              <w:pStyle w:val="Compact"/>
              <w:jc w:val="center"/>
            </w:pPr>
            <w:r>
              <w:t xml:space="preserve">0.88</w:t>
            </w:r>
          </w:p>
        </w:tc>
        <w:tc>
          <w:p>
            <w:pPr>
              <w:pStyle w:val="Compact"/>
              <w:jc w:val="center"/>
            </w:pPr>
            <w:r>
              <w:t xml:space="preserve">0.81</w:t>
            </w:r>
          </w:p>
        </w:tc>
        <w:tc>
          <w:p>
            <w:pPr>
              <w:pStyle w:val="Compact"/>
              <w:jc w:val="center"/>
            </w:pPr>
            <w:r>
              <w:t xml:space="preserve">0.95</w:t>
            </w:r>
          </w:p>
        </w:tc>
        <w:tc>
          <w:p>
            <w:pPr>
              <w:pStyle w:val="Compact"/>
              <w:jc w:val="center"/>
            </w:pPr>
            <w:r>
              <w:t xml:space="preserve">20</w:t>
            </w:r>
          </w:p>
        </w:tc>
        <w:tc>
          <w:p>
            <w:pPr>
              <w:pStyle w:val="Compact"/>
              <w:jc w:val="center"/>
            </w:pPr>
            <w:r>
              <w:t xml:space="preserve">0.01</w:t>
            </w:r>
          </w:p>
        </w:tc>
        <w:tc>
          <w:p>
            <w:pPr>
              <w:pStyle w:val="Compact"/>
              <w:jc w:val="center"/>
            </w:pPr>
            <w:r>
              <w:t xml:space="preserve">1.2</w:t>
            </w:r>
          </w:p>
        </w:tc>
        <w:tc>
          <w:p>
            <w:pPr>
              <w:pStyle w:val="Compact"/>
              <w:jc w:val="center"/>
            </w:pPr>
            <w:r>
              <w:t xml:space="preserve">0.128</w:t>
            </w:r>
          </w:p>
        </w:tc>
        <w:tc>
          <w:p>
            <w:pPr>
              <w:pStyle w:val="Compact"/>
              <w:jc w:val="center"/>
            </w:pPr>
            <w:r>
              <w:t xml:space="preserve">0.0513</w:t>
            </w:r>
          </w:p>
        </w:tc>
        <w:tc>
          <w:p>
            <w:pPr>
              <w:pStyle w:val="Compact"/>
              <w:jc w:val="center"/>
            </w:pPr>
            <w:r>
              <w:t xml:space="preserve">0.211</w:t>
            </w:r>
          </w:p>
        </w:tc>
      </w:tr>
    </w:tbl>
    <w:p>
      <w:pPr>
        <w:pStyle w:val="BodyText"/>
      </w:pPr>
      <w:r>
        <w:t xml:space="preserve">Redo the</w:t>
      </w:r>
      <w:r>
        <w:t xml:space="preserve"> </w:t>
      </w:r>
      <w:r>
        <w:t xml:space="preserve">“</w:t>
      </w:r>
      <w:r>
        <w:t xml:space="preserve">same</w:t>
      </w:r>
      <w:r>
        <w:t xml:space="preserve">”</w:t>
      </w:r>
      <w:r>
        <w:t xml:space="preserve">" for PFS: take the shape parameter from above, derive scale from the 12-months landmark PFS values.</w:t>
      </w:r>
    </w:p>
    <w:tbl>
      <w:tblPr>
        <w:tblStyle w:val="Table"/>
        <w:tblW w:type="pct" w:w="4999.999999999999"/>
        <w:tblLook w:firstRow="1"/>
      </w:tblPr>
      <w:tblGrid>
        <w:gridCol w:w="507"/>
        <w:gridCol w:w="710"/>
        <w:gridCol w:w="812"/>
        <w:gridCol w:w="812"/>
        <w:gridCol w:w="812"/>
        <w:gridCol w:w="1218"/>
        <w:gridCol w:w="1523"/>
        <w:gridCol w:w="1523"/>
      </w:tblGrid>
      <w:tr>
        <w:trPr>
          <w:cnfStyle w:firstRow="1"/>
        </w:trPr>
        <w:tc>
          <w:tcPr>
            <w:tcBorders>
              <w:bottom w:val="single"/>
            </w:tcBorders>
            <w:vAlign w:val="bottom"/>
          </w:tcPr>
          <w:p>
            <w:pPr>
              <w:pStyle w:val="Compact"/>
              <w:jc w:val="center"/>
            </w:pPr>
            <w:r>
              <w:t xml:space="preserve">t1</w:t>
            </w:r>
          </w:p>
        </w:tc>
        <w:tc>
          <w:tcPr>
            <w:tcBorders>
              <w:bottom w:val="single"/>
            </w:tcBorders>
            <w:vAlign w:val="bottom"/>
          </w:tcPr>
          <w:p>
            <w:pPr>
              <w:pStyle w:val="Compact"/>
              <w:jc w:val="center"/>
            </w:pPr>
            <w:r>
              <w:t xml:space="preserve">S1</w:t>
            </w:r>
          </w:p>
        </w:tc>
        <w:tc>
          <w:tcPr>
            <w:tcBorders>
              <w:bottom w:val="single"/>
            </w:tcBorders>
            <w:vAlign w:val="bottom"/>
          </w:tcPr>
          <w:p>
            <w:pPr>
              <w:pStyle w:val="Compact"/>
              <w:jc w:val="center"/>
            </w:pPr>
            <w:r>
              <w:t xml:space="preserve">S1_lo</w:t>
            </w:r>
          </w:p>
        </w:tc>
        <w:tc>
          <w:tcPr>
            <w:tcBorders>
              <w:bottom w:val="single"/>
            </w:tcBorders>
            <w:vAlign w:val="bottom"/>
          </w:tcPr>
          <w:p>
            <w:pPr>
              <w:pStyle w:val="Compact"/>
              <w:jc w:val="center"/>
            </w:pPr>
            <w:r>
              <w:t xml:space="preserve">S1_up</w:t>
            </w:r>
          </w:p>
        </w:tc>
        <w:tc>
          <w:tcPr>
            <w:tcBorders>
              <w:bottom w:val="single"/>
            </w:tcBorders>
            <w:vAlign w:val="bottom"/>
          </w:tcPr>
          <w:p>
            <w:pPr>
              <w:pStyle w:val="Compact"/>
              <w:jc w:val="center"/>
            </w:pPr>
            <w:r>
              <w:t xml:space="preserve">shape</w:t>
            </w:r>
          </w:p>
        </w:tc>
        <w:tc>
          <w:tcPr>
            <w:tcBorders>
              <w:bottom w:val="single"/>
            </w:tcBorders>
            <w:vAlign w:val="bottom"/>
          </w:tcPr>
          <w:p>
            <w:pPr>
              <w:pStyle w:val="Compact"/>
              <w:jc w:val="center"/>
            </w:pPr>
            <w:r>
              <w:t xml:space="preserve">pfs_scale</w:t>
            </w:r>
          </w:p>
        </w:tc>
        <w:tc>
          <w:tcPr>
            <w:tcBorders>
              <w:bottom w:val="single"/>
            </w:tcBorders>
            <w:vAlign w:val="bottom"/>
          </w:tcPr>
          <w:p>
            <w:pPr>
              <w:pStyle w:val="Compact"/>
              <w:jc w:val="center"/>
            </w:pPr>
            <w:r>
              <w:t xml:space="preserve">pfs_scale_lo</w:t>
            </w:r>
          </w:p>
        </w:tc>
        <w:tc>
          <w:tcPr>
            <w:tcBorders>
              <w:bottom w:val="single"/>
            </w:tcBorders>
            <w:vAlign w:val="bottom"/>
          </w:tcPr>
          <w:p>
            <w:pPr>
              <w:pStyle w:val="Compact"/>
              <w:jc w:val="center"/>
            </w:pPr>
            <w:r>
              <w:t xml:space="preserve">pfs_scale_up</w:t>
            </w:r>
          </w:p>
        </w:tc>
      </w:tr>
      <w:tr>
        <w:tc>
          <w:p>
            <w:pPr>
              <w:pStyle w:val="Compact"/>
              <w:jc w:val="center"/>
            </w:pPr>
            <w:r>
              <w:t xml:space="preserve">1</w:t>
            </w:r>
          </w:p>
        </w:tc>
        <w:tc>
          <w:p>
            <w:pPr>
              <w:pStyle w:val="Compact"/>
              <w:jc w:val="center"/>
            </w:pPr>
            <w:r>
              <w:t xml:space="preserve">0.64</w:t>
            </w:r>
          </w:p>
        </w:tc>
        <w:tc>
          <w:p>
            <w:pPr>
              <w:pStyle w:val="Compact"/>
              <w:jc w:val="center"/>
            </w:pPr>
            <w:r>
              <w:t xml:space="preserve">0.53</w:t>
            </w:r>
          </w:p>
        </w:tc>
        <w:tc>
          <w:p>
            <w:pPr>
              <w:pStyle w:val="Compact"/>
              <w:jc w:val="center"/>
            </w:pPr>
            <w:r>
              <w:t xml:space="preserve">0.75</w:t>
            </w:r>
          </w:p>
        </w:tc>
        <w:tc>
          <w:p>
            <w:pPr>
              <w:pStyle w:val="Compact"/>
              <w:jc w:val="center"/>
            </w:pPr>
            <w:r>
              <w:t xml:space="preserve">1.2</w:t>
            </w:r>
          </w:p>
        </w:tc>
        <w:tc>
          <w:p>
            <w:pPr>
              <w:pStyle w:val="Compact"/>
              <w:jc w:val="center"/>
            </w:pPr>
            <w:r>
              <w:t xml:space="preserve">0.446</w:t>
            </w:r>
          </w:p>
        </w:tc>
        <w:tc>
          <w:p>
            <w:pPr>
              <w:pStyle w:val="Compact"/>
              <w:jc w:val="center"/>
            </w:pPr>
            <w:r>
              <w:t xml:space="preserve">0.288</w:t>
            </w:r>
          </w:p>
        </w:tc>
        <w:tc>
          <w:p>
            <w:pPr>
              <w:pStyle w:val="Compact"/>
              <w:jc w:val="center"/>
            </w:pPr>
            <w:r>
              <w:t xml:space="preserve">0.635</w:t>
            </w:r>
          </w:p>
        </w:tc>
      </w:tr>
    </w:tbl>
    <w:p>
      <w:pPr>
        <w:pStyle w:val="BodyText"/>
      </w:pPr>
      <w:r>
        <w:t xml:space="preserve">Resulting Weibull survivor function along with point-wise CI.</w:t>
      </w:r>
    </w:p>
    <w:p>
      <w:pPr>
        <w:pStyle w:val="BodyText"/>
      </w:pPr>
      <w:r>
        <w:rPr>
          <w:b/>
        </w:rPr>
        <w:t xml:space="preserve">Figure</w:t>
      </w:r>
      <w:r>
        <w:t xml:space="preserve"> </w:t>
      </w:r>
      <w:r>
        <w:t xml:space="preserve">OS and PFS survival probabilities from exponential model fits (long-term extrapolation)</w:t>
      </w:r>
      <w:r>
        <w:t xml:space="preserve"> </w:t>
      </w:r>
      <w:r>
        <w:drawing>
          <wp:inline>
            <wp:extent cx="5943600" cy="3396342"/>
            <wp:effectExtent b="0" l="0" r="0" t="0"/>
            <wp:docPr descr="" title="" id="1" name="Picture"/>
            <a:graphic>
              <a:graphicData uri="http://schemas.openxmlformats.org/drawingml/2006/picture">
                <pic:pic>
                  <pic:nvPicPr>
                    <pic:cNvPr descr="C:/GIT/punta/outputs/02-A-EDA-TTE-Larotrec_files/figure-docx/unnamed-chunk-11-1.png" id="0" name="Picture"/>
                    <pic:cNvPicPr>
                      <a:picLocks noChangeArrowheads="1" noChangeAspect="1"/>
                    </pic:cNvPicPr>
                  </pic:nvPicPr>
                  <pic:blipFill>
                    <a:blip r:embed="rId25"/>
                    <a:stretch>
                      <a:fillRect/>
                    </a:stretch>
                  </pic:blipFill>
                  <pic:spPr bwMode="auto">
                    <a:xfrm>
                      <a:off x="0" y="0"/>
                      <a:ext cx="5943600" cy="3396342"/>
                    </a:xfrm>
                    <a:prstGeom prst="rect">
                      <a:avLst/>
                    </a:prstGeom>
                    <a:noFill/>
                    <a:ln w="9525">
                      <a:noFill/>
                      <a:headEnd/>
                      <a:tailEnd/>
                    </a:ln>
                  </pic:spPr>
                </pic:pic>
              </a:graphicData>
            </a:graphic>
          </wp:inline>
        </w:drawing>
      </w:r>
    </w:p>
    <w:p>
      <w:pPr>
        <w:pStyle w:val="SourceCode"/>
      </w:pPr>
      <w:r>
        <w:rPr>
          <w:rStyle w:val="VerbatimChar"/>
        </w:rPr>
        <w:t xml:space="preserve">## Scale for 'x' is already present. Adding another scale for 'x', which will</w:t>
      </w:r>
      <w:r>
        <w:br w:type="textWrapping"/>
      </w:r>
      <w:r>
        <w:rPr>
          <w:rStyle w:val="VerbatimChar"/>
        </w:rPr>
        <w:t xml:space="preserve">## replace the existing scale.</w:t>
      </w:r>
    </w:p>
    <w:p>
      <w:pPr>
        <w:pStyle w:val="SourceCode"/>
      </w:pPr>
      <w:r>
        <w:rPr>
          <w:rStyle w:val="VerbatimChar"/>
        </w:rPr>
        <w:t xml:space="preserve">## Scale for 'y' is already present. Adding another scale for 'y', which will</w:t>
      </w:r>
      <w:r>
        <w:br w:type="textWrapping"/>
      </w:r>
      <w:r>
        <w:rPr>
          <w:rStyle w:val="VerbatimChar"/>
        </w:rPr>
        <w:t xml:space="preserve">## replace the existing scale.</w:t>
      </w:r>
    </w:p>
    <w:p>
      <w:pPr>
        <w:pStyle w:val="SourceCode"/>
      </w:pPr>
      <w:r>
        <w:rPr>
          <w:rStyle w:val="VerbatimChar"/>
        </w:rPr>
        <w:t xml:space="preserve">## Warning: Removed 10 rows containing missing values (geom_path).</w:t>
      </w:r>
      <w:r>
        <w:br w:type="textWrapping"/>
      </w:r>
      <w:r>
        <w:br w:type="textWrapping"/>
      </w:r>
      <w:r>
        <w:rPr>
          <w:rStyle w:val="VerbatimChar"/>
        </w:rPr>
        <w:t xml:space="preserve">## Warning: Removed 10 rows containing missing values (geom_path).</w:t>
      </w:r>
    </w:p>
    <w:p>
      <w:pPr>
        <w:pStyle w:val="FirstParagraph"/>
      </w:pPr>
      <w:r>
        <w:drawing>
          <wp:inline>
            <wp:extent cx="5943600" cy="3396342"/>
            <wp:effectExtent b="0" l="0" r="0" t="0"/>
            <wp:docPr descr="" title="" id="1" name="Picture"/>
            <a:graphic>
              <a:graphicData uri="http://schemas.openxmlformats.org/drawingml/2006/picture">
                <pic:pic>
                  <pic:nvPicPr>
                    <pic:cNvPr descr="C:/GIT/punta/outputs/02-A-EDA-TTE-Larotrec_files/figure-docx/unnamed-chunk-11-2.png" id="0" name="Picture"/>
                    <pic:cNvPicPr>
                      <a:picLocks noChangeArrowheads="1" noChangeAspect="1"/>
                    </pic:cNvPicPr>
                  </pic:nvPicPr>
                  <pic:blipFill>
                    <a:blip r:embed="rId26"/>
                    <a:stretch>
                      <a:fillRect/>
                    </a:stretch>
                  </pic:blipFill>
                  <pic:spPr bwMode="auto">
                    <a:xfrm>
                      <a:off x="0" y="0"/>
                      <a:ext cx="5943600" cy="3396342"/>
                    </a:xfrm>
                    <a:prstGeom prst="rect">
                      <a:avLst/>
                    </a:prstGeom>
                    <a:noFill/>
                    <a:ln w="9525">
                      <a:noFill/>
                      <a:headEnd/>
                      <a:tailEnd/>
                    </a:ln>
                  </pic:spPr>
                </pic:pic>
              </a:graphicData>
            </a:graphic>
          </wp:inline>
        </w:drawing>
      </w:r>
    </w:p>
    <w:p>
      <w:pPr>
        <w:pStyle w:val="SourceCode"/>
      </w:pPr>
      <w:r>
        <w:rPr>
          <w:rStyle w:val="VerbatimChar"/>
        </w:rPr>
        <w:t xml:space="preserve">## Scale for 'x' is already present. Adding another scale for 'x', which will</w:t>
      </w:r>
      <w:r>
        <w:br w:type="textWrapping"/>
      </w:r>
      <w:r>
        <w:rPr>
          <w:rStyle w:val="VerbatimChar"/>
        </w:rPr>
        <w:t xml:space="preserve">## replace the existing scale.</w:t>
      </w:r>
      <w:r>
        <w:br w:type="textWrapping"/>
      </w:r>
      <w:r>
        <w:rPr>
          <w:rStyle w:val="VerbatimChar"/>
        </w:rPr>
        <w:t xml:space="preserve">## Scale for 'y' is already present. Adding another scale for 'y', which will</w:t>
      </w:r>
      <w:r>
        <w:br w:type="textWrapping"/>
      </w:r>
      <w:r>
        <w:rPr>
          <w:rStyle w:val="VerbatimChar"/>
        </w:rPr>
        <w:t xml:space="preserve">## replace the existing scale.</w:t>
      </w:r>
    </w:p>
    <w:p>
      <w:pPr>
        <w:pStyle w:val="SourceCode"/>
      </w:pPr>
      <w:r>
        <w:rPr>
          <w:rStyle w:val="VerbatimChar"/>
        </w:rPr>
        <w:t xml:space="preserve">## Warning: Removed 26 rows containing missing values (geom_path).</w:t>
      </w:r>
    </w:p>
    <w:p>
      <w:pPr>
        <w:pStyle w:val="SourceCode"/>
      </w:pPr>
      <w:r>
        <w:rPr>
          <w:rStyle w:val="VerbatimChar"/>
        </w:rPr>
        <w:t xml:space="preserve">## Warning: Removed 26 rows containing missing values (geom_path).</w:t>
      </w:r>
    </w:p>
    <w:p>
      <w:pPr>
        <w:pStyle w:val="FirstParagraph"/>
      </w:pPr>
      <w:r>
        <w:drawing>
          <wp:inline>
            <wp:extent cx="5943600" cy="3396342"/>
            <wp:effectExtent b="0" l="0" r="0" t="0"/>
            <wp:docPr descr="" title="" id="1" name="Picture"/>
            <a:graphic>
              <a:graphicData uri="http://schemas.openxmlformats.org/drawingml/2006/picture">
                <pic:pic>
                  <pic:nvPicPr>
                    <pic:cNvPr descr="C:/GIT/punta/outputs/02-A-EDA-TTE-Larotrec_files/figure-docx/unnamed-chunk-11-3.png" id="0" name="Picture"/>
                    <pic:cNvPicPr>
                      <a:picLocks noChangeArrowheads="1" noChangeAspect="1"/>
                    </pic:cNvPicPr>
                  </pic:nvPicPr>
                  <pic:blipFill>
                    <a:blip r:embed="rId27"/>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Table</w:t>
      </w:r>
      <w:r>
        <w:t xml:space="preserve"> </w:t>
      </w:r>
      <w:r>
        <w:t xml:space="preserve">OS and PFS survival probabilities from Weibull model fits</w:t>
      </w:r>
    </w:p>
    <w:tbl>
      <w:tblPr>
        <w:tblStyle w:val="Table"/>
        <w:tblW w:type="pct" w:w="4791.666666666667"/>
        <w:tblLook w:firstRow="1"/>
      </w:tblPr>
      <w:tblGrid>
        <w:gridCol w:w="550"/>
        <w:gridCol w:w="1210"/>
        <w:gridCol w:w="1210"/>
        <w:gridCol w:w="990"/>
        <w:gridCol w:w="1210"/>
        <w:gridCol w:w="1210"/>
        <w:gridCol w:w="1210"/>
      </w:tblGrid>
      <w:tr>
        <w:trPr>
          <w:cnfStyle w:firstRow="1"/>
        </w:trPr>
        <w:tc>
          <w:tcPr>
            <w:tcBorders>
              <w:bottom w:val="single"/>
            </w:tcBorders>
            <w:vAlign w:val="bottom"/>
          </w:tcPr>
          <w:p>
            <w:pPr>
              <w:pStyle w:val="Compact"/>
              <w:jc w:val="center"/>
            </w:pPr>
            <w:r>
              <w:t xml:space="preserve">x</w:t>
            </w:r>
          </w:p>
        </w:tc>
        <w:tc>
          <w:tcPr>
            <w:tcBorders>
              <w:bottom w:val="single"/>
            </w:tcBorders>
            <w:vAlign w:val="bottom"/>
          </w:tcPr>
          <w:p>
            <w:pPr>
              <w:pStyle w:val="Compact"/>
              <w:jc w:val="center"/>
            </w:pPr>
            <w:r>
              <w:t xml:space="preserve">OS</w:t>
            </w:r>
          </w:p>
        </w:tc>
        <w:tc>
          <w:tcPr>
            <w:tcBorders>
              <w:bottom w:val="single"/>
            </w:tcBorders>
            <w:vAlign w:val="bottom"/>
          </w:tcPr>
          <w:p>
            <w:pPr>
              <w:pStyle w:val="Compact"/>
              <w:jc w:val="center"/>
            </w:pPr>
            <w:r>
              <w:t xml:space="preserve">OS_lo</w:t>
            </w:r>
          </w:p>
        </w:tc>
        <w:tc>
          <w:tcPr>
            <w:tcBorders>
              <w:bottom w:val="single"/>
            </w:tcBorders>
            <w:vAlign w:val="bottom"/>
          </w:tcPr>
          <w:p>
            <w:pPr>
              <w:pStyle w:val="Compact"/>
              <w:jc w:val="center"/>
            </w:pPr>
            <w:r>
              <w:t xml:space="preserve">OS_up</w:t>
            </w:r>
          </w:p>
        </w:tc>
        <w:tc>
          <w:tcPr>
            <w:tcBorders>
              <w:bottom w:val="single"/>
            </w:tcBorders>
            <w:vAlign w:val="bottom"/>
          </w:tcPr>
          <w:p>
            <w:pPr>
              <w:pStyle w:val="Compact"/>
              <w:jc w:val="center"/>
            </w:pPr>
            <w:r>
              <w:t xml:space="preserve">PFS</w:t>
            </w:r>
          </w:p>
        </w:tc>
        <w:tc>
          <w:tcPr>
            <w:tcBorders>
              <w:bottom w:val="single"/>
            </w:tcBorders>
            <w:vAlign w:val="bottom"/>
          </w:tcPr>
          <w:p>
            <w:pPr>
              <w:pStyle w:val="Compact"/>
              <w:jc w:val="center"/>
            </w:pPr>
            <w:r>
              <w:t xml:space="preserve">PFS_lo</w:t>
            </w:r>
          </w:p>
        </w:tc>
        <w:tc>
          <w:tcPr>
            <w:tcBorders>
              <w:bottom w:val="single"/>
            </w:tcBorders>
            <w:vAlign w:val="bottom"/>
          </w:tcPr>
          <w:p>
            <w:pPr>
              <w:pStyle w:val="Compact"/>
              <w:jc w:val="center"/>
            </w:pPr>
            <w:r>
              <w:t xml:space="preserve">PFS_up</w:t>
            </w:r>
          </w:p>
        </w:tc>
      </w:tr>
      <w:tr>
        <w:tc>
          <w:p>
            <w:pPr>
              <w:pStyle w:val="Compact"/>
              <w:jc w:val="center"/>
            </w:pPr>
            <w:r>
              <w:t xml:space="preserve">5</w:t>
            </w:r>
          </w:p>
        </w:tc>
        <w:tc>
          <w:p>
            <w:pPr>
              <w:pStyle w:val="Compact"/>
              <w:jc w:val="center"/>
            </w:pPr>
            <w:r>
              <w:t xml:space="preserve">0.416</w:t>
            </w:r>
          </w:p>
        </w:tc>
        <w:tc>
          <w:p>
            <w:pPr>
              <w:pStyle w:val="Compact"/>
              <w:jc w:val="center"/>
            </w:pPr>
            <w:r>
              <w:t xml:space="preserve">0.236</w:t>
            </w:r>
          </w:p>
        </w:tc>
        <w:tc>
          <w:p>
            <w:pPr>
              <w:pStyle w:val="Compact"/>
              <w:jc w:val="center"/>
            </w:pPr>
            <w:r>
              <w:t xml:space="preserve">0.703</w:t>
            </w:r>
          </w:p>
        </w:tc>
        <w:tc>
          <w:p>
            <w:pPr>
              <w:pStyle w:val="Compact"/>
              <w:jc w:val="center"/>
            </w:pPr>
            <w:r>
              <w:t xml:space="preserve">0.0468</w:t>
            </w:r>
          </w:p>
        </w:tc>
        <w:tc>
          <w:p>
            <w:pPr>
              <w:pStyle w:val="Compact"/>
              <w:jc w:val="center"/>
            </w:pPr>
            <w:r>
              <w:t xml:space="preserve">0.0128</w:t>
            </w:r>
          </w:p>
        </w:tc>
        <w:tc>
          <w:p>
            <w:pPr>
              <w:pStyle w:val="Compact"/>
              <w:jc w:val="center"/>
            </w:pPr>
            <w:r>
              <w:t xml:space="preserve">0.139</w:t>
            </w:r>
          </w:p>
        </w:tc>
      </w:tr>
      <w:tr>
        <w:tc>
          <w:p>
            <w:pPr>
              <w:pStyle w:val="Compact"/>
              <w:jc w:val="center"/>
            </w:pPr>
            <w:r>
              <w:t xml:space="preserve">10</w:t>
            </w:r>
          </w:p>
        </w:tc>
        <w:tc>
          <w:p>
            <w:pPr>
              <w:pStyle w:val="Compact"/>
              <w:jc w:val="center"/>
            </w:pPr>
            <w:r>
              <w:t xml:space="preserve">0.134</w:t>
            </w:r>
          </w:p>
        </w:tc>
        <w:tc>
          <w:p>
            <w:pPr>
              <w:pStyle w:val="Compact"/>
              <w:jc w:val="center"/>
            </w:pPr>
            <w:r>
              <w:t xml:space="preserve">0.0364</w:t>
            </w:r>
          </w:p>
        </w:tc>
        <w:tc>
          <w:p>
            <w:pPr>
              <w:pStyle w:val="Compact"/>
              <w:jc w:val="center"/>
            </w:pPr>
            <w:r>
              <w:t xml:space="preserve">0.447</w:t>
            </w:r>
          </w:p>
        </w:tc>
        <w:tc>
          <w:p>
            <w:pPr>
              <w:pStyle w:val="Compact"/>
              <w:jc w:val="center"/>
            </w:pPr>
            <w:r>
              <w:t xml:space="preserve">0.000898</w:t>
            </w:r>
          </w:p>
        </w:tc>
        <w:tc>
          <w:p>
            <w:pPr>
              <w:pStyle w:val="Compact"/>
              <w:jc w:val="center"/>
            </w:pPr>
            <w:r>
              <w:t xml:space="preserve">4.63e-05</w:t>
            </w:r>
          </w:p>
        </w:tc>
        <w:tc>
          <w:p>
            <w:pPr>
              <w:pStyle w:val="Compact"/>
              <w:jc w:val="center"/>
            </w:pPr>
            <w:r>
              <w:t xml:space="preserve">0.0109</w:t>
            </w:r>
          </w:p>
        </w:tc>
      </w:tr>
      <w:tr>
        <w:tc>
          <w:p>
            <w:pPr>
              <w:pStyle w:val="Compact"/>
              <w:jc w:val="center"/>
            </w:pPr>
            <w:r>
              <w:t xml:space="preserve">15</w:t>
            </w:r>
          </w:p>
        </w:tc>
        <w:tc>
          <w:p>
            <w:pPr>
              <w:pStyle w:val="Compact"/>
              <w:jc w:val="center"/>
            </w:pPr>
            <w:r>
              <w:t xml:space="preserve">0.0382</w:t>
            </w:r>
          </w:p>
        </w:tc>
        <w:tc>
          <w:p>
            <w:pPr>
              <w:pStyle w:val="Compact"/>
              <w:jc w:val="center"/>
            </w:pPr>
            <w:r>
              <w:t xml:space="preserve">0.00461</w:t>
            </w:r>
          </w:p>
        </w:tc>
        <w:tc>
          <w:p>
            <w:pPr>
              <w:pStyle w:val="Compact"/>
              <w:jc w:val="center"/>
            </w:pPr>
            <w:r>
              <w:t xml:space="preserve">0.27</w:t>
            </w:r>
          </w:p>
        </w:tc>
        <w:tc>
          <w:p>
            <w:pPr>
              <w:pStyle w:val="Compact"/>
              <w:jc w:val="center"/>
            </w:pPr>
            <w:r>
              <w:t xml:space="preserve">1.12e-05</w:t>
            </w:r>
          </w:p>
        </w:tc>
        <w:tc>
          <w:p>
            <w:pPr>
              <w:pStyle w:val="Compact"/>
              <w:jc w:val="center"/>
            </w:pPr>
            <w:r>
              <w:t xml:space="preserve">9.11e-08</w:t>
            </w:r>
          </w:p>
        </w:tc>
        <w:tc>
          <w:p>
            <w:pPr>
              <w:pStyle w:val="Compact"/>
              <w:jc w:val="center"/>
            </w:pPr>
            <w:r>
              <w:t xml:space="preserve">0.000645</w:t>
            </w:r>
          </w:p>
        </w:tc>
      </w:tr>
      <w:tr>
        <w:tc>
          <w:p>
            <w:pPr>
              <w:pStyle w:val="Compact"/>
              <w:jc w:val="center"/>
            </w:pPr>
            <w:r>
              <w:t xml:space="preserve">20</w:t>
            </w:r>
          </w:p>
        </w:tc>
        <w:tc>
          <w:p>
            <w:pPr>
              <w:pStyle w:val="Compact"/>
              <w:jc w:val="center"/>
            </w:pPr>
            <w:r>
              <w:t xml:space="preserve">0.01</w:t>
            </w:r>
          </w:p>
        </w:tc>
        <w:tc>
          <w:p>
            <w:pPr>
              <w:pStyle w:val="Compact"/>
              <w:jc w:val="center"/>
            </w:pPr>
            <w:r>
              <w:t xml:space="preserve">0.000505</w:t>
            </w:r>
          </w:p>
        </w:tc>
        <w:tc>
          <w:p>
            <w:pPr>
              <w:pStyle w:val="Compact"/>
              <w:jc w:val="center"/>
            </w:pPr>
            <w:r>
              <w:t xml:space="preserve">0.158</w:t>
            </w:r>
          </w:p>
        </w:tc>
        <w:tc>
          <w:p>
            <w:pPr>
              <w:pStyle w:val="Compact"/>
              <w:jc w:val="center"/>
            </w:pPr>
            <w:r>
              <w:t xml:space="preserve">1.04e-07</w:t>
            </w:r>
          </w:p>
        </w:tc>
        <w:tc>
          <w:p>
            <w:pPr>
              <w:pStyle w:val="Compact"/>
              <w:jc w:val="center"/>
            </w:pPr>
            <w:r>
              <w:t xml:space="preserve">1.17e-10</w:t>
            </w:r>
          </w:p>
        </w:tc>
        <w:tc>
          <w:p>
            <w:pPr>
              <w:pStyle w:val="Compact"/>
              <w:jc w:val="center"/>
            </w:pPr>
            <w:r>
              <w:t xml:space="preserve">3.16e-05</w:t>
            </w:r>
          </w:p>
        </w:tc>
      </w:tr>
      <w:tr>
        <w:tc>
          <w:p>
            <w:pPr>
              <w:pStyle w:val="Compact"/>
              <w:jc w:val="center"/>
            </w:pPr>
            <w:r>
              <w:t xml:space="preserve">25</w:t>
            </w:r>
          </w:p>
        </w:tc>
        <w:tc>
          <w:p>
            <w:pPr>
              <w:pStyle w:val="Compact"/>
              <w:jc w:val="center"/>
            </w:pPr>
            <w:r>
              <w:t xml:space="preserve">0.00244</w:t>
            </w:r>
          </w:p>
        </w:tc>
        <w:tc>
          <w:p>
            <w:pPr>
              <w:pStyle w:val="Compact"/>
              <w:jc w:val="center"/>
            </w:pPr>
            <w:r>
              <w:t xml:space="preserve">4.95e-05</w:t>
            </w:r>
          </w:p>
        </w:tc>
        <w:tc>
          <w:p>
            <w:pPr>
              <w:pStyle w:val="Compact"/>
              <w:jc w:val="center"/>
            </w:pPr>
            <w:r>
              <w:t xml:space="preserve">0.0895</w:t>
            </w:r>
          </w:p>
        </w:tc>
        <w:tc>
          <w:p>
            <w:pPr>
              <w:pStyle w:val="Compact"/>
              <w:jc w:val="center"/>
            </w:pPr>
            <w:r>
              <w:t xml:space="preserve">7.6e-10</w:t>
            </w:r>
          </w:p>
        </w:tc>
        <w:tc>
          <w:p>
            <w:pPr>
              <w:pStyle w:val="Compact"/>
              <w:jc w:val="center"/>
            </w:pPr>
            <w:r>
              <w:t xml:space="preserve">1.07e-13</w:t>
            </w:r>
          </w:p>
        </w:tc>
        <w:tc>
          <w:p>
            <w:pPr>
              <w:pStyle w:val="Compact"/>
              <w:jc w:val="center"/>
            </w:pPr>
            <w:r>
              <w:t xml:space="preserve">1.32e-06</w:t>
            </w:r>
          </w:p>
        </w:tc>
      </w:tr>
      <w:tr>
        <w:tc>
          <w:p>
            <w:pPr>
              <w:pStyle w:val="Compact"/>
              <w:jc w:val="center"/>
            </w:pPr>
            <w:r>
              <w:t xml:space="preserve">30</w:t>
            </w:r>
          </w:p>
        </w:tc>
        <w:tc>
          <w:p>
            <w:pPr>
              <w:pStyle w:val="Compact"/>
              <w:jc w:val="center"/>
            </w:pPr>
            <w:r>
              <w:t xml:space="preserve">0.000564</w:t>
            </w:r>
          </w:p>
        </w:tc>
        <w:tc>
          <w:p>
            <w:pPr>
              <w:pStyle w:val="Compact"/>
              <w:jc w:val="center"/>
            </w:pPr>
            <w:r>
              <w:t xml:space="preserve">4.41e-06</w:t>
            </w:r>
          </w:p>
        </w:tc>
        <w:tc>
          <w:p>
            <w:pPr>
              <w:pStyle w:val="Compact"/>
              <w:jc w:val="center"/>
            </w:pPr>
            <w:r>
              <w:t xml:space="preserve">0.0497</w:t>
            </w:r>
          </w:p>
        </w:tc>
        <w:tc>
          <w:p>
            <w:pPr>
              <w:pStyle w:val="Compact"/>
              <w:jc w:val="center"/>
            </w:pPr>
            <w:r>
              <w:t xml:space="preserve">4.55e-12</w:t>
            </w:r>
          </w:p>
        </w:tc>
        <w:tc>
          <w:p>
            <w:pPr>
              <w:pStyle w:val="Compact"/>
              <w:jc w:val="center"/>
            </w:pPr>
            <w:r>
              <w:t xml:space="preserve">7.33e-17</w:t>
            </w:r>
          </w:p>
        </w:tc>
        <w:tc>
          <w:p>
            <w:pPr>
              <w:pStyle w:val="Compact"/>
              <w:jc w:val="center"/>
            </w:pPr>
            <w:r>
              <w:t xml:space="preserve">4.89e-08</w:t>
            </w:r>
          </w:p>
        </w:tc>
      </w:tr>
    </w:tbl>
    <w:p>
      <w:pPr>
        <w:pStyle w:val="BodyText"/>
      </w:pPr>
      <w:r>
        <w:rPr>
          <w:b/>
        </w:rPr>
        <w:t xml:space="preserve">Transforming between time scales</w:t>
      </w:r>
      <w:r>
        <w:t xml:space="preserve"> </w:t>
      </w:r>
      <w:r>
        <w:t xml:space="preserve">Shape and scale parameters (defined as per the Weibull model at the beginning of the section) were derived using time in years. For different time units, e.g. months, the transformation is as follows:</w:t>
      </w:r>
    </w:p>
    <w:p>
      <w:pPr>
        <w:pStyle w:val="Compact"/>
        <w:numPr>
          <w:numId w:val="1001"/>
          <w:ilvl w:val="0"/>
        </w:numPr>
      </w:pPr>
      <w:r>
        <w:t xml:space="preserve">Shape</w:t>
      </w:r>
      <w:r>
        <w:t xml:space="preserve"> </w:t>
      </w:r>
      <m:oMath>
        <m:r>
          <m:t>γ</m:t>
        </m:r>
      </m:oMath>
      <w:r>
        <w:t xml:space="preserve"> </w:t>
      </w:r>
      <w:r>
        <w:t xml:space="preserve">is time-invariant and does not change.</w:t>
      </w:r>
    </w:p>
    <w:p>
      <w:pPr>
        <w:pStyle w:val="Compact"/>
        <w:numPr>
          <w:numId w:val="1001"/>
          <w:ilvl w:val="0"/>
        </w:numPr>
      </w:pPr>
      <w:r>
        <w:t xml:space="preserve">Scale in months (</w:t>
      </w:r>
      <m:oMath>
        <m:sSub>
          <m:e>
            <m:r>
              <m:t>λ</m:t>
            </m:r>
          </m:e>
          <m:sub>
            <m:r>
              <m:t>m</m:t>
            </m:r>
          </m:sub>
        </m:sSub>
      </m:oMath>
      <w:r>
        <w:t xml:space="preserve">) from scale in years (</w:t>
      </w:r>
      <m:oMath>
        <m:sSub>
          <m:e>
            <m:r>
              <m:t>λ</m:t>
            </m:r>
          </m:e>
          <m:sub>
            <m:r>
              <m:t>y</m:t>
            </m:r>
          </m:sub>
        </m:sSub>
      </m:oMath>
      <w:r>
        <w:t xml:space="preserve">):</w:t>
      </w:r>
    </w:p>
    <w:p>
      <w:pPr>
        <w:pStyle w:val="FirstParagraph"/>
      </w:pPr>
      <m:oMathPara>
        <m:oMathParaPr>
          <m:jc m:val="center"/>
        </m:oMathParaPr>
        <m:oMath>
          <m:sSub>
            <m:e>
              <m:r>
                <m:t>λ</m:t>
              </m:r>
            </m:e>
            <m:sub>
              <m:r>
                <m:t>m</m:t>
              </m:r>
            </m:sub>
          </m:sSub>
          <m:r>
            <m:t>=</m:t>
          </m:r>
          <m:sSub>
            <m:e>
              <m:r>
                <m:t>λ</m:t>
              </m:r>
            </m:e>
            <m:sub>
              <m:r>
                <m:t>y</m:t>
              </m:r>
            </m:sub>
          </m:sSub>
          <m:r>
            <m:t>/</m:t>
          </m:r>
          <m:sSup>
            <m:e>
              <m:r>
                <m:t>12</m:t>
              </m:r>
            </m:e>
            <m:sup>
              <m:r>
                <m:t>γ</m:t>
              </m:r>
            </m:sup>
          </m:sSup>
        </m:oMath>
      </m:oMathPara>
    </w:p>
    <w:p>
      <w:pPr>
        <w:pStyle w:val="FirstParagraph"/>
      </w:pPr>
      <w:r>
        <w:t xml:space="preserve">In this case, we get:</w:t>
      </w:r>
    </w:p>
    <w:p>
      <w:pPr>
        <w:pStyle w:val="SourceCode"/>
      </w:pPr>
      <w:r>
        <w:rPr>
          <w:rStyle w:val="CommentTok"/>
        </w:rPr>
        <w:t xml:space="preserve"># OS scale in months</w:t>
      </w:r>
      <w:r>
        <w:br w:type="textWrapping"/>
      </w:r>
      <w:r>
        <w:rPr>
          <w:rStyle w:val="NormalTok"/>
        </w:rPr>
        <w:t xml:space="preserve">os_scale </w:t>
      </w:r>
      <w:r>
        <w:rPr>
          <w:rStyle w:val="OperatorTok"/>
        </w:rPr>
        <w:t xml:space="preserve">/</w:t>
      </w:r>
      <w:r>
        <w:rPr>
          <w:rStyle w:val="StringTok"/>
        </w:rPr>
        <w:t xml:space="preserve"> </w:t>
      </w:r>
      <w:r>
        <w:rPr>
          <w:rStyle w:val="DecValTok"/>
        </w:rPr>
        <w:t xml:space="preserve">12</w:t>
      </w:r>
      <w:r>
        <w:rPr>
          <w:rStyle w:val="NormalTok"/>
        </w:rPr>
        <w:t xml:space="preserve"> </w:t>
      </w:r>
      <w:r>
        <w:rPr>
          <w:rStyle w:val="OperatorTok"/>
        </w:rPr>
        <w:t xml:space="preserve">^</w:t>
      </w:r>
      <w:r>
        <w:rPr>
          <w:rStyle w:val="StringTok"/>
        </w:rPr>
        <w:t xml:space="preserve"> </w:t>
      </w:r>
      <w:r>
        <w:rPr>
          <w:rStyle w:val="NormalTok"/>
        </w:rPr>
        <w:t xml:space="preserve">shape</w:t>
      </w:r>
    </w:p>
    <w:p>
      <w:pPr>
        <w:pStyle w:val="SourceCode"/>
      </w:pPr>
      <w:r>
        <w:rPr>
          <w:rStyle w:val="VerbatimChar"/>
        </w:rPr>
        <w:t xml:space="preserve">## [1] 0.006538393</w:t>
      </w:r>
    </w:p>
    <w:p>
      <w:pPr>
        <w:pStyle w:val="SourceCode"/>
      </w:pPr>
      <w:r>
        <w:rPr>
          <w:rStyle w:val="NormalTok"/>
        </w:rPr>
        <w:t xml:space="preserve">os_scale_lo </w:t>
      </w:r>
      <w:r>
        <w:rPr>
          <w:rStyle w:val="OperatorTok"/>
        </w:rPr>
        <w:t xml:space="preserve">/</w:t>
      </w:r>
      <w:r>
        <w:rPr>
          <w:rStyle w:val="StringTok"/>
        </w:rPr>
        <w:t xml:space="preserve"> </w:t>
      </w:r>
      <w:r>
        <w:rPr>
          <w:rStyle w:val="DecValTok"/>
        </w:rPr>
        <w:t xml:space="preserve">12</w:t>
      </w:r>
      <w:r>
        <w:rPr>
          <w:rStyle w:val="NormalTok"/>
        </w:rPr>
        <w:t xml:space="preserve"> </w:t>
      </w:r>
      <w:r>
        <w:rPr>
          <w:rStyle w:val="OperatorTok"/>
        </w:rPr>
        <w:t xml:space="preserve">^</w:t>
      </w:r>
      <w:r>
        <w:rPr>
          <w:rStyle w:val="StringTok"/>
        </w:rPr>
        <w:t xml:space="preserve"> </w:t>
      </w:r>
      <w:r>
        <w:rPr>
          <w:rStyle w:val="NormalTok"/>
        </w:rPr>
        <w:t xml:space="preserve">shape</w:t>
      </w:r>
    </w:p>
    <w:p>
      <w:pPr>
        <w:pStyle w:val="SourceCode"/>
      </w:pPr>
      <w:r>
        <w:rPr>
          <w:rStyle w:val="VerbatimChar"/>
        </w:rPr>
        <w:t xml:space="preserve">## [1] 0.002623538</w:t>
      </w:r>
    </w:p>
    <w:p>
      <w:pPr>
        <w:pStyle w:val="SourceCode"/>
      </w:pPr>
      <w:r>
        <w:rPr>
          <w:rStyle w:val="NormalTok"/>
        </w:rPr>
        <w:t xml:space="preserve">os_scale_up </w:t>
      </w:r>
      <w:r>
        <w:rPr>
          <w:rStyle w:val="OperatorTok"/>
        </w:rPr>
        <w:t xml:space="preserve">/</w:t>
      </w:r>
      <w:r>
        <w:rPr>
          <w:rStyle w:val="StringTok"/>
        </w:rPr>
        <w:t xml:space="preserve"> </w:t>
      </w:r>
      <w:r>
        <w:rPr>
          <w:rStyle w:val="DecValTok"/>
        </w:rPr>
        <w:t xml:space="preserve">12</w:t>
      </w:r>
      <w:r>
        <w:rPr>
          <w:rStyle w:val="NormalTok"/>
        </w:rPr>
        <w:t xml:space="preserve"> </w:t>
      </w:r>
      <w:r>
        <w:rPr>
          <w:rStyle w:val="OperatorTok"/>
        </w:rPr>
        <w:t xml:space="preserve">^</w:t>
      </w:r>
      <w:r>
        <w:rPr>
          <w:rStyle w:val="StringTok"/>
        </w:rPr>
        <w:t xml:space="preserve"> </w:t>
      </w:r>
      <w:r>
        <w:rPr>
          <w:rStyle w:val="NormalTok"/>
        </w:rPr>
        <w:t xml:space="preserve">shape</w:t>
      </w:r>
    </w:p>
    <w:p>
      <w:pPr>
        <w:pStyle w:val="SourceCode"/>
      </w:pPr>
      <w:r>
        <w:rPr>
          <w:rStyle w:val="VerbatimChar"/>
        </w:rPr>
        <w:t xml:space="preserve">## [1] 0.01077791</w:t>
      </w:r>
    </w:p>
    <w:p>
      <w:pPr>
        <w:pStyle w:val="SourceCode"/>
      </w:pPr>
      <w:r>
        <w:rPr>
          <w:rStyle w:val="CommentTok"/>
        </w:rPr>
        <w:t xml:space="preserve"># PFS scale in months</w:t>
      </w:r>
      <w:r>
        <w:br w:type="textWrapping"/>
      </w:r>
      <w:r>
        <w:rPr>
          <w:rStyle w:val="NormalTok"/>
        </w:rPr>
        <w:t xml:space="preserve">pfs_scale </w:t>
      </w:r>
      <w:r>
        <w:rPr>
          <w:rStyle w:val="OperatorTok"/>
        </w:rPr>
        <w:t xml:space="preserve">/</w:t>
      </w:r>
      <w:r>
        <w:rPr>
          <w:rStyle w:val="StringTok"/>
        </w:rPr>
        <w:t xml:space="preserve"> </w:t>
      </w:r>
      <w:r>
        <w:rPr>
          <w:rStyle w:val="DecValTok"/>
        </w:rPr>
        <w:t xml:space="preserve">12</w:t>
      </w:r>
      <w:r>
        <w:rPr>
          <w:rStyle w:val="NormalTok"/>
        </w:rPr>
        <w:t xml:space="preserve"> </w:t>
      </w:r>
      <w:r>
        <w:rPr>
          <w:rStyle w:val="OperatorTok"/>
        </w:rPr>
        <w:t xml:space="preserve">^</w:t>
      </w:r>
      <w:r>
        <w:rPr>
          <w:rStyle w:val="StringTok"/>
        </w:rPr>
        <w:t xml:space="preserve"> </w:t>
      </w:r>
      <w:r>
        <w:rPr>
          <w:rStyle w:val="NormalTok"/>
        </w:rPr>
        <w:t xml:space="preserve">shape</w:t>
      </w:r>
    </w:p>
    <w:p>
      <w:pPr>
        <w:pStyle w:val="SourceCode"/>
      </w:pPr>
      <w:r>
        <w:rPr>
          <w:rStyle w:val="VerbatimChar"/>
        </w:rPr>
        <w:t xml:space="preserve">## [1] 0.02282659</w:t>
      </w:r>
    </w:p>
    <w:p>
      <w:pPr>
        <w:pStyle w:val="SourceCode"/>
      </w:pPr>
      <w:r>
        <w:rPr>
          <w:rStyle w:val="NormalTok"/>
        </w:rPr>
        <w:t xml:space="preserve">pfs_scale_lo </w:t>
      </w:r>
      <w:r>
        <w:rPr>
          <w:rStyle w:val="OperatorTok"/>
        </w:rPr>
        <w:t xml:space="preserve">/</w:t>
      </w:r>
      <w:r>
        <w:rPr>
          <w:rStyle w:val="StringTok"/>
        </w:rPr>
        <w:t xml:space="preserve"> </w:t>
      </w:r>
      <w:r>
        <w:rPr>
          <w:rStyle w:val="DecValTok"/>
        </w:rPr>
        <w:t xml:space="preserve">12</w:t>
      </w:r>
      <w:r>
        <w:rPr>
          <w:rStyle w:val="NormalTok"/>
        </w:rPr>
        <w:t xml:space="preserve"> </w:t>
      </w:r>
      <w:r>
        <w:rPr>
          <w:rStyle w:val="OperatorTok"/>
        </w:rPr>
        <w:t xml:space="preserve">^</w:t>
      </w:r>
      <w:r>
        <w:rPr>
          <w:rStyle w:val="StringTok"/>
        </w:rPr>
        <w:t xml:space="preserve"> </w:t>
      </w:r>
      <w:r>
        <w:rPr>
          <w:rStyle w:val="NormalTok"/>
        </w:rPr>
        <w:t xml:space="preserve">shape</w:t>
      </w:r>
    </w:p>
    <w:p>
      <w:pPr>
        <w:pStyle w:val="SourceCode"/>
      </w:pPr>
      <w:r>
        <w:rPr>
          <w:rStyle w:val="VerbatimChar"/>
        </w:rPr>
        <w:t xml:space="preserve">## [1] 0.0147143</w:t>
      </w:r>
    </w:p>
    <w:p>
      <w:pPr>
        <w:pStyle w:val="SourceCode"/>
      </w:pPr>
      <w:r>
        <w:rPr>
          <w:rStyle w:val="NormalTok"/>
        </w:rPr>
        <w:t xml:space="preserve">pfs_scale_up </w:t>
      </w:r>
      <w:r>
        <w:rPr>
          <w:rStyle w:val="OperatorTok"/>
        </w:rPr>
        <w:t xml:space="preserve">/</w:t>
      </w:r>
      <w:r>
        <w:rPr>
          <w:rStyle w:val="StringTok"/>
        </w:rPr>
        <w:t xml:space="preserve"> </w:t>
      </w:r>
      <w:r>
        <w:rPr>
          <w:rStyle w:val="DecValTok"/>
        </w:rPr>
        <w:t xml:space="preserve">12</w:t>
      </w:r>
      <w:r>
        <w:rPr>
          <w:rStyle w:val="NormalTok"/>
        </w:rPr>
        <w:t xml:space="preserve"> </w:t>
      </w:r>
      <w:r>
        <w:rPr>
          <w:rStyle w:val="OperatorTok"/>
        </w:rPr>
        <w:t xml:space="preserve">^</w:t>
      </w:r>
      <w:r>
        <w:rPr>
          <w:rStyle w:val="StringTok"/>
        </w:rPr>
        <w:t xml:space="preserve"> </w:t>
      </w:r>
      <w:r>
        <w:rPr>
          <w:rStyle w:val="NormalTok"/>
        </w:rPr>
        <w:t xml:space="preserve">shape</w:t>
      </w:r>
    </w:p>
    <w:p>
      <w:pPr>
        <w:pStyle w:val="SourceCode"/>
      </w:pPr>
      <w:r>
        <w:rPr>
          <w:rStyle w:val="VerbatimChar"/>
        </w:rPr>
        <w:t xml:space="preserve">## [1] 0.03247261</w:t>
      </w:r>
    </w:p>
    <w:p>
      <w:pPr>
        <w:pStyle w:val="Heading1"/>
      </w:pPr>
      <w:bookmarkStart w:id="28" w:name="session-info"/>
      <w:r>
        <w:t xml:space="preserve">Session info</w:t>
      </w:r>
      <w:bookmarkEnd w:id="28"/>
    </w:p>
    <w:p>
      <w:pPr>
        <w:pStyle w:val="SourceCode"/>
      </w:pPr>
      <w:r>
        <w:rPr>
          <w:rStyle w:val="VerbatimChar"/>
        </w:rPr>
        <w:t xml:space="preserve">## [1] "C:/GIT/punta"</w:t>
      </w:r>
    </w:p>
    <w:p>
      <w:pPr>
        <w:pStyle w:val="SourceCode"/>
      </w:pPr>
      <w:r>
        <w:rPr>
          <w:rStyle w:val="VerbatimChar"/>
        </w:rPr>
        <w:t xml:space="preserve">## R version 3.4.2 (2017-09-28)</w:t>
      </w:r>
      <w:r>
        <w:br w:type="textWrapping"/>
      </w:r>
      <w:r>
        <w:rPr>
          <w:rStyle w:val="VerbatimChar"/>
        </w:rPr>
        <w:t xml:space="preserve">## Platform: x86_64-w64-mingw32/x64 (64-bit)</w:t>
      </w:r>
      <w:r>
        <w:br w:type="textWrapping"/>
      </w:r>
      <w:r>
        <w:rPr>
          <w:rStyle w:val="VerbatimChar"/>
        </w:rPr>
        <w:t xml:space="preserve">## Running under: Windows 10 x64 (build 17763)</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LC_COLLATE=English_United Kingdom.1252 </w:t>
      </w:r>
      <w:r>
        <w:br w:type="textWrapping"/>
      </w:r>
      <w:r>
        <w:rPr>
          <w:rStyle w:val="VerbatimChar"/>
        </w:rPr>
        <w:t xml:space="preserve">## [2] LC_CTYPE=English_United Kingdom.1252   </w:t>
      </w:r>
      <w:r>
        <w:br w:type="textWrapping"/>
      </w:r>
      <w:r>
        <w:rPr>
          <w:rStyle w:val="VerbatimChar"/>
        </w:rPr>
        <w:t xml:space="preserve">## [3] LC_MONETARY=English_United Kingdom.1252</w:t>
      </w:r>
      <w:r>
        <w:br w:type="textWrapping"/>
      </w:r>
      <w:r>
        <w:rPr>
          <w:rStyle w:val="VerbatimChar"/>
        </w:rPr>
        <w:t xml:space="preserve">## [4] LC_NUMERIC=C                           </w:t>
      </w:r>
      <w:r>
        <w:br w:type="textWrapping"/>
      </w:r>
      <w:r>
        <w:rPr>
          <w:rStyle w:val="VerbatimChar"/>
        </w:rPr>
        <w:t xml:space="preserve">## [5] LC_TIME=English_United Kingdom.1252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ggplot2_2.2.1 tidyr_0.8.3   dplyr_0.8.0.1 readxl_1.3.1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Rcpp_1.0.1       cellranger_1.1.0 pillar_1.4.3     compiler_3.4.2  </w:t>
      </w:r>
      <w:r>
        <w:br w:type="textWrapping"/>
      </w:r>
      <w:r>
        <w:rPr>
          <w:rStyle w:val="VerbatimChar"/>
        </w:rPr>
        <w:t xml:space="preserve">##  [5] plyr_1.8.4       tools_3.4.2      zeallot_0.1.0    digest_0.6.12   </w:t>
      </w:r>
      <w:r>
        <w:br w:type="textWrapping"/>
      </w:r>
      <w:r>
        <w:rPr>
          <w:rStyle w:val="VerbatimChar"/>
        </w:rPr>
        <w:t xml:space="preserve">##  [9] evaluate_0.14    tibble_2.1.1     gtable_0.2.0     pkgconfig_2.0.3 </w:t>
      </w:r>
      <w:r>
        <w:br w:type="textWrapping"/>
      </w:r>
      <w:r>
        <w:rPr>
          <w:rStyle w:val="VerbatimChar"/>
        </w:rPr>
        <w:t xml:space="preserve">## [13] rlang_0.3.4      cli_2.0.2        yaml_2.2.0       xfun_0.12       </w:t>
      </w:r>
      <w:r>
        <w:br w:type="textWrapping"/>
      </w:r>
      <w:r>
        <w:rPr>
          <w:rStyle w:val="VerbatimChar"/>
        </w:rPr>
        <w:t xml:space="preserve">## [17] stringr_1.4.0    knitr_1.28       vctrs_0.1.0      grid_3.4.2      </w:t>
      </w:r>
      <w:r>
        <w:br w:type="textWrapping"/>
      </w:r>
      <w:r>
        <w:rPr>
          <w:rStyle w:val="VerbatimChar"/>
        </w:rPr>
        <w:t xml:space="preserve">## [21] tidyselect_0.2.5 glue_1.3.1       R6_2.2.2         fansi_0.4.0     </w:t>
      </w:r>
      <w:r>
        <w:br w:type="textWrapping"/>
      </w:r>
      <w:r>
        <w:rPr>
          <w:rStyle w:val="VerbatimChar"/>
        </w:rPr>
        <w:t xml:space="preserve">## [25] rmarkdown_2.1    pander_0.6.1     purrr_0.3.2      magrittr_1.5    </w:t>
      </w:r>
      <w:r>
        <w:br w:type="textWrapping"/>
      </w:r>
      <w:r>
        <w:rPr>
          <w:rStyle w:val="VerbatimChar"/>
        </w:rPr>
        <w:t xml:space="preserve">## [29] scales_0.5.0     backports_1.1.1  htmltools_0.3.6  assertthat_0.2.0</w:t>
      </w:r>
      <w:r>
        <w:br w:type="textWrapping"/>
      </w:r>
      <w:r>
        <w:rPr>
          <w:rStyle w:val="VerbatimChar"/>
        </w:rPr>
        <w:t xml:space="preserve">## [33] colorspace_1.3-2 labeling_0.3     utf8_1.1.4       stringi_1.4.3   </w:t>
      </w:r>
      <w:r>
        <w:br w:type="textWrapping"/>
      </w:r>
      <w:r>
        <w:rPr>
          <w:rStyle w:val="VerbatimChar"/>
        </w:rPr>
        <w:t xml:space="preserve">## [37] lazyeval_0.2.1   munsell_0.4.3    crayon_1.3.4</w:t>
      </w:r>
    </w:p>
    <w:sectPr w:rsidR="000C17B0" w:rsidRPr="00B87869">
      <w:headerReference w:type="default" r:id="rId9"/>
      <w:footerReference w:type="default" r:id="rId1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inion">
    <w:panose1 w:val="02040503050201020203"/>
    <w:charset w:val="00"/>
    <w:family w:val="roman"/>
    <w:pitch w:val="variable"/>
    <w:sig w:usb0="E00002AF" w:usb1="5000E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3877835"/>
      <w:docPartObj>
        <w:docPartGallery w:val="Page Numbers (Bottom of Page)"/>
        <w:docPartUnique/>
      </w:docPartObj>
    </w:sdtPr>
    <w:sdtEndPr>
      <w:rPr>
        <w:noProof/>
      </w:rPr>
    </w:sdtEndPr>
    <w:sdtContent>
      <w:p w:rsidR="00BD1DE7" w:rsidRDefault="00BD1DE7">
        <w:pPr>
          <w:pStyle w:val="Footer"/>
          <w:jc w:val="center"/>
        </w:pPr>
        <w:r>
          <w:fldChar w:fldCharType="begin"/>
        </w:r>
        <w:r>
          <w:instrText xml:space="preserve"> PAGE   \* MERGEFORMAT </w:instrText>
        </w:r>
        <w:r>
          <w:fldChar w:fldCharType="separate"/>
        </w:r>
        <w:r w:rsidR="007D7E75">
          <w:rPr>
            <w:noProof/>
          </w:rPr>
          <w:t>1</w:t>
        </w:r>
        <w:r>
          <w:rPr>
            <w:noProof/>
          </w:rPr>
          <w:fldChar w:fldCharType="end"/>
        </w:r>
      </w:p>
    </w:sdtContent>
  </w:sdt>
  <w:p w:rsidR="00B84FD9" w:rsidRDefault="00B84FD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8" w:type="dxa"/>
      <w:tblLayout w:type="fixed"/>
      <w:tblCellMar>
        <w:left w:w="0" w:type="dxa"/>
        <w:right w:w="0" w:type="dxa"/>
      </w:tblCellMar>
      <w:tblLook w:val="0000" w:firstRow="0" w:lastRow="0" w:firstColumn="0" w:lastColumn="0" w:noHBand="0" w:noVBand="0"/>
    </w:tblPr>
    <w:tblGrid>
      <w:gridCol w:w="5516"/>
      <w:gridCol w:w="4242"/>
    </w:tblGrid>
    <w:tr w:rsidR="00B84FD9" w:rsidTr="008E26B5">
      <w:trPr>
        <w:cantSplit/>
        <w:trHeight w:hRule="exact" w:val="1560"/>
      </w:trPr>
      <w:tc>
        <w:tcPr>
          <w:tcW w:w="5529" w:type="dxa"/>
        </w:tcPr>
        <w:p w:rsidR="00B84FD9" w:rsidRDefault="00B84FD9" w:rsidP="008E26B5">
          <w:pPr>
            <w:pStyle w:val="EmptyLine"/>
            <w:rPr>
              <w:lang w:val="de-CH"/>
            </w:rPr>
          </w:pPr>
        </w:p>
      </w:tc>
      <w:tc>
        <w:tcPr>
          <w:tcW w:w="4252" w:type="dxa"/>
        </w:tcPr>
        <w:p w:rsidR="00B84FD9" w:rsidRDefault="00B84FD9" w:rsidP="008E26B5">
          <w:pPr>
            <w:spacing w:before="70"/>
            <w:jc w:val="right"/>
            <w:rPr>
              <w:noProof/>
              <w:lang w:val="de-CH" w:eastAsia="zh-CN"/>
            </w:rPr>
          </w:pPr>
        </w:p>
      </w:tc>
    </w:tr>
  </w:tbl>
  <w:p w:rsidR="00B84FD9" w:rsidRDefault="00B84FD9" w:rsidP="00B84F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27AC65A"/>
    <w:multiLevelType w:val="multilevel"/>
    <w:tmpl w:val="4CC21F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290EA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90DE050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3C3CEE"/>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0876E334"/>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964227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6AE604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2122788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D00C0E7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7C78AB62"/>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1D4C32C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5D4CA1FA"/>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ACA15EB"/>
    <w:multiLevelType w:val="multilevel"/>
    <w:tmpl w:val="100A8E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CBF760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2"/>
  </w:num>
  <w:num w:numId="4">
    <w:abstractNumId w:val="13"/>
  </w:num>
  <w:num w:numId="5">
    <w:abstractNumId w:val="11"/>
  </w:num>
  <w:num w:numId="6">
    <w:abstractNumId w:val="9"/>
  </w:num>
  <w:num w:numId="7">
    <w:abstractNumId w:val="8"/>
  </w:num>
  <w:num w:numId="8">
    <w:abstractNumId w:val="7"/>
  </w:num>
  <w:num w:numId="9">
    <w:abstractNumId w:val="6"/>
  </w:num>
  <w:num w:numId="10">
    <w:abstractNumId w:val="10"/>
  </w:num>
  <w:num w:numId="11">
    <w:abstractNumId w:val="5"/>
  </w:num>
  <w:num w:numId="12">
    <w:abstractNumId w:val="4"/>
  </w:num>
  <w:num w:numId="13">
    <w:abstractNumId w:val="3"/>
  </w:num>
  <w:num w:numId="14">
    <w:abstractNumId w:val="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993"/>
    <w:rPr>
      <w:rFonts w:asciiTheme="majorHAnsi" w:hAnsiTheme="majorHAnsi"/>
    </w:rPr>
  </w:style>
  <w:style w:type="paragraph" w:styleId="Heading1">
    <w:name w:val="heading 1"/>
    <w:basedOn w:val="Normal"/>
    <w:next w:val="BodyText"/>
    <w:uiPriority w:val="9"/>
    <w:qFormat/>
    <w:rsid w:val="00B263D6"/>
    <w:pPr>
      <w:keepNext/>
      <w:keepLines/>
      <w:numPr>
        <w:numId w:val="4"/>
      </w:numPr>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B263D6"/>
    <w:pPr>
      <w:keepNext/>
      <w:keepLines/>
      <w:numPr>
        <w:ilvl w:val="1"/>
        <w:numId w:val="4"/>
      </w:numPr>
      <w:spacing w:before="200" w:after="0"/>
      <w:outlineLvl w:val="1"/>
    </w:pPr>
    <w:rPr>
      <w:rFonts w:eastAsiaTheme="majorEastAsia" w:cstheme="majorBidi"/>
      <w:b/>
      <w:bCs/>
      <w:sz w:val="32"/>
      <w:szCs w:val="32"/>
    </w:rPr>
  </w:style>
  <w:style w:type="paragraph" w:styleId="Heading3">
    <w:name w:val="heading 3"/>
    <w:basedOn w:val="Normal"/>
    <w:next w:val="BodyText"/>
    <w:uiPriority w:val="9"/>
    <w:unhideWhenUsed/>
    <w:qFormat/>
    <w:rsid w:val="00B263D6"/>
    <w:pPr>
      <w:keepNext/>
      <w:keepLines/>
      <w:numPr>
        <w:ilvl w:val="2"/>
        <w:numId w:val="4"/>
      </w:numPr>
      <w:spacing w:before="200" w:after="0"/>
      <w:outlineLvl w:val="2"/>
    </w:pPr>
    <w:rPr>
      <w:rFonts w:eastAsiaTheme="majorEastAsia" w:cstheme="majorBidi"/>
      <w:b/>
      <w:bCs/>
      <w:sz w:val="28"/>
      <w:szCs w:val="28"/>
    </w:rPr>
  </w:style>
  <w:style w:type="paragraph" w:styleId="Heading4">
    <w:name w:val="heading 4"/>
    <w:basedOn w:val="Normal"/>
    <w:next w:val="BodyText"/>
    <w:uiPriority w:val="9"/>
    <w:unhideWhenUsed/>
    <w:qFormat/>
    <w:rsid w:val="00B263D6"/>
    <w:pPr>
      <w:keepNext/>
      <w:keepLines/>
      <w:numPr>
        <w:ilvl w:val="3"/>
        <w:numId w:val="4"/>
      </w:numPr>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B263D6"/>
    <w:pPr>
      <w:keepNext/>
      <w:keepLines/>
      <w:numPr>
        <w:ilvl w:val="4"/>
        <w:numId w:val="4"/>
      </w:numPr>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B263D6"/>
    <w:pPr>
      <w:keepNext/>
      <w:keepLines/>
      <w:numPr>
        <w:ilvl w:val="5"/>
        <w:numId w:val="4"/>
      </w:numPr>
      <w:spacing w:before="200" w:after="0"/>
      <w:outlineLvl w:val="5"/>
    </w:pPr>
    <w:rPr>
      <w:rFonts w:eastAsiaTheme="majorEastAsia" w:cstheme="majorBidi"/>
    </w:rPr>
  </w:style>
  <w:style w:type="paragraph" w:styleId="Heading7">
    <w:name w:val="heading 7"/>
    <w:basedOn w:val="Normal"/>
    <w:next w:val="Normal"/>
    <w:link w:val="Heading7Char"/>
    <w:rsid w:val="006E0993"/>
    <w:pPr>
      <w:keepNext/>
      <w:keepLines/>
      <w:numPr>
        <w:ilvl w:val="6"/>
        <w:numId w:val="4"/>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rsid w:val="006E0993"/>
    <w:pPr>
      <w:keepNext/>
      <w:keepLines/>
      <w:numPr>
        <w:ilvl w:val="7"/>
        <w:numId w:val="4"/>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rsid w:val="006E0993"/>
    <w:pPr>
      <w:keepNext/>
      <w:keepLines/>
      <w:numPr>
        <w:ilvl w:val="8"/>
        <w:numId w:val="4"/>
      </w:numPr>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E0993"/>
    <w:pPr>
      <w:spacing w:before="180" w:after="180"/>
    </w:pPr>
  </w:style>
  <w:style w:type="paragraph" w:customStyle="1" w:styleId="FirstParagraph">
    <w:name w:val="First Paragraph"/>
    <w:basedOn w:val="BodyText"/>
    <w:next w:val="BodyText"/>
    <w:qFormat/>
    <w:rsid w:val="006E0993"/>
  </w:style>
  <w:style w:type="paragraph" w:customStyle="1" w:styleId="Compact">
    <w:name w:val="Compact"/>
    <w:basedOn w:val="BodyText"/>
    <w:qFormat/>
    <w:pPr>
      <w:spacing w:before="36" w:after="36"/>
    </w:pPr>
  </w:style>
  <w:style w:type="paragraph" w:styleId="Title">
    <w:name w:val="Title"/>
    <w:basedOn w:val="Normal"/>
    <w:next w:val="BodyText"/>
    <w:qFormat/>
    <w:rsid w:val="00B263D6"/>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rsid w:val="00B263D6"/>
    <w:pPr>
      <w:spacing w:before="240"/>
    </w:pPr>
    <w:rPr>
      <w:sz w:val="30"/>
      <w:szCs w:val="30"/>
    </w:rPr>
  </w:style>
  <w:style w:type="paragraph" w:customStyle="1" w:styleId="Author">
    <w:name w:val="Author"/>
    <w:next w:val="BodyText"/>
    <w:qFormat/>
    <w:rsid w:val="006E0993"/>
    <w:pPr>
      <w:keepNext/>
      <w:keepLines/>
      <w:jc w:val="center"/>
    </w:pPr>
    <w:rPr>
      <w:rFonts w:asciiTheme="majorHAnsi" w:hAnsiTheme="majorHAnsi"/>
    </w:rPr>
  </w:style>
  <w:style w:type="paragraph" w:styleId="Date">
    <w:name w:val="Date"/>
    <w:next w:val="BodyText"/>
    <w:qFormat/>
    <w:rsid w:val="006E0993"/>
    <w:pPr>
      <w:keepNext/>
      <w:keepLines/>
      <w:jc w:val="center"/>
    </w:pPr>
    <w:rPr>
      <w:rFonts w:asciiTheme="majorHAnsi" w:hAnsiTheme="majorHAnsi"/>
    </w:rPr>
  </w:style>
  <w:style w:type="paragraph" w:customStyle="1" w:styleId="Abstract">
    <w:name w:val="Abstract"/>
    <w:basedOn w:val="Normal"/>
    <w:next w:val="BodyText"/>
    <w:qFormat/>
    <w:rsid w:val="006E0993"/>
    <w:pPr>
      <w:keepNext/>
      <w:keepLines/>
      <w:spacing w:before="300" w:after="300"/>
    </w:pPr>
    <w:rPr>
      <w:sz w:val="20"/>
      <w:szCs w:val="20"/>
    </w:rPr>
  </w:style>
  <w:style w:type="paragraph" w:styleId="Bibliography">
    <w:name w:val="Bibliography"/>
    <w:basedOn w:val="Normal"/>
    <w:qFormat/>
    <w:rsid w:val="006E0993"/>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B263D6"/>
    <w:pPr>
      <w:numPr>
        <w:numId w:val="0"/>
      </w:numPr>
      <w:spacing w:before="240" w:line="259" w:lineRule="auto"/>
      <w:outlineLvl w:val="9"/>
    </w:pPr>
    <w:rPr>
      <w:bCs w:val="0"/>
    </w:rPr>
  </w:style>
  <w:style w:type="paragraph" w:styleId="BalloonText">
    <w:name w:val="Balloon Text"/>
    <w:basedOn w:val="Normal"/>
    <w:link w:val="BalloonTextChar"/>
    <w:rsid w:val="006E0993"/>
    <w:pPr>
      <w:spacing w:after="0"/>
    </w:pPr>
    <w:rPr>
      <w:rFonts w:ascii="Tahoma" w:hAnsi="Tahoma" w:cs="Tahoma"/>
      <w:sz w:val="16"/>
      <w:szCs w:val="16"/>
    </w:rPr>
  </w:style>
  <w:style w:type="character" w:customStyle="1" w:styleId="BalloonTextChar">
    <w:name w:val="Balloon Text Char"/>
    <w:basedOn w:val="DefaultParagraphFont"/>
    <w:link w:val="BalloonText"/>
    <w:rsid w:val="006E0993"/>
    <w:rPr>
      <w:rFonts w:ascii="Tahoma" w:hAnsi="Tahoma" w:cs="Tahoma"/>
      <w:sz w:val="16"/>
      <w:szCs w:val="16"/>
    </w:rPr>
  </w:style>
  <w:style w:type="paragraph" w:styleId="TOC1">
    <w:name w:val="toc 1"/>
    <w:basedOn w:val="Normal"/>
    <w:next w:val="Normal"/>
    <w:autoRedefine/>
    <w:uiPriority w:val="39"/>
    <w:rsid w:val="006E0993"/>
    <w:pPr>
      <w:spacing w:after="100"/>
    </w:pPr>
  </w:style>
  <w:style w:type="paragraph" w:styleId="TOC2">
    <w:name w:val="toc 2"/>
    <w:basedOn w:val="Normal"/>
    <w:next w:val="Normal"/>
    <w:autoRedefine/>
    <w:uiPriority w:val="39"/>
    <w:rsid w:val="006E0993"/>
    <w:pPr>
      <w:spacing w:after="100"/>
      <w:ind w:left="240"/>
    </w:pPr>
  </w:style>
  <w:style w:type="character" w:customStyle="1" w:styleId="Heading7Char">
    <w:name w:val="Heading 7 Char"/>
    <w:basedOn w:val="DefaultParagraphFont"/>
    <w:link w:val="Heading7"/>
    <w:rsid w:val="006E09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6E09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6E0993"/>
    <w:rPr>
      <w:rFonts w:asciiTheme="majorHAnsi" w:eastAsiaTheme="majorEastAsia" w:hAnsiTheme="majorHAnsi" w:cstheme="majorBidi"/>
      <w:i/>
      <w:iCs/>
      <w:color w:val="404040" w:themeColor="text1" w:themeTint="BF"/>
      <w:sz w:val="20"/>
      <w:szCs w:val="20"/>
    </w:rPr>
  </w:style>
  <w:style w:type="character" w:customStyle="1" w:styleId="BodyTextChar">
    <w:name w:val="Body Text Char"/>
    <w:basedOn w:val="DefaultParagraphFont"/>
    <w:link w:val="BodyText"/>
    <w:rsid w:val="006E0993"/>
    <w:rPr>
      <w:rFonts w:asciiTheme="majorHAnsi" w:hAnsiTheme="majorHAnsi"/>
    </w:rPr>
  </w:style>
  <w:style w:type="paragraph" w:styleId="Header">
    <w:name w:val="header"/>
    <w:basedOn w:val="Normal"/>
    <w:link w:val="HeaderChar"/>
    <w:rsid w:val="00B84FD9"/>
    <w:pPr>
      <w:tabs>
        <w:tab w:val="center" w:pos="4680"/>
        <w:tab w:val="right" w:pos="9360"/>
      </w:tabs>
      <w:spacing w:after="0"/>
    </w:pPr>
  </w:style>
  <w:style w:type="character" w:customStyle="1" w:styleId="HeaderChar">
    <w:name w:val="Header Char"/>
    <w:basedOn w:val="DefaultParagraphFont"/>
    <w:link w:val="Header"/>
    <w:rsid w:val="00B84FD9"/>
    <w:rPr>
      <w:rFonts w:asciiTheme="majorHAnsi" w:hAnsiTheme="majorHAnsi"/>
    </w:rPr>
  </w:style>
  <w:style w:type="paragraph" w:styleId="Footer">
    <w:name w:val="footer"/>
    <w:basedOn w:val="Normal"/>
    <w:link w:val="FooterChar"/>
    <w:uiPriority w:val="99"/>
    <w:rsid w:val="00B84FD9"/>
    <w:pPr>
      <w:tabs>
        <w:tab w:val="center" w:pos="4680"/>
        <w:tab w:val="right" w:pos="9360"/>
      </w:tabs>
      <w:spacing w:after="0"/>
    </w:pPr>
  </w:style>
  <w:style w:type="character" w:customStyle="1" w:styleId="FooterChar">
    <w:name w:val="Footer Char"/>
    <w:basedOn w:val="DefaultParagraphFont"/>
    <w:link w:val="Footer"/>
    <w:uiPriority w:val="99"/>
    <w:rsid w:val="00B84FD9"/>
    <w:rPr>
      <w:rFonts w:asciiTheme="majorHAnsi" w:hAnsiTheme="majorHAnsi"/>
    </w:rPr>
  </w:style>
  <w:style w:type="paragraph" w:customStyle="1" w:styleId="EmptyLine">
    <w:name w:val="EmptyLine"/>
    <w:basedOn w:val="Normal"/>
    <w:rsid w:val="00B84FD9"/>
    <w:pPr>
      <w:widowControl w:val="0"/>
      <w:spacing w:after="0" w:line="10" w:lineRule="exact"/>
    </w:pPr>
    <w:rPr>
      <w:rFonts w:ascii="Minion" w:eastAsia="Times New Roman" w:hAnsi="Minion" w:cs="Times New Roman"/>
      <w:color w:val="FFFFFF"/>
      <w:sz w:val="22"/>
      <w:szCs w:val="20"/>
      <w:lang w:eastAsia="ru-RU"/>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Network meta-analysis of first-line therapies for triple negative breast cancer</vt:lpstr>
    </vt:vector>
  </TitlesOfParts>
  <Company>F. Hoffmann-La Roche, Ltd.</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02-A-EDA-TTE-Larotrectinib</dc:title>
  <dc:creator>Sandro Gsteiger</dc:creator>
  <cp:keywords/>
  <dcterms:created xsi:type="dcterms:W3CDTF">2020-06-01T13:04:10Z</dcterms:created>
  <dcterms:modified xsi:type="dcterms:W3CDTF">2020-06-01T13:04:10Z</dcterms:modified>
</cp:coreProperties>
</file>