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927" w:rsidRDefault="00600927" w:rsidP="00600927">
      <w:pPr>
        <w:pStyle w:val="Title"/>
      </w:pPr>
      <w:r>
        <w:t>WcfNQueueSMEx2 Visual Studio Solution Structure</w:t>
      </w:r>
    </w:p>
    <w:p w:rsidR="00600927" w:rsidRDefault="00600927" w:rsidP="00600927">
      <w:pPr>
        <w:pStyle w:val="Subtitle"/>
      </w:pPr>
      <w:r>
        <w:t>George Stevens</w:t>
      </w:r>
    </w:p>
    <w:tbl>
      <w:tblPr>
        <w:tblStyle w:val="TableGrid"/>
        <w:tblW w:w="0" w:type="auto"/>
        <w:tblLook w:val="04A0" w:firstRow="1" w:lastRow="0" w:firstColumn="1" w:lastColumn="0" w:noHBand="0" w:noVBand="1"/>
      </w:tblPr>
      <w:tblGrid>
        <w:gridCol w:w="3672"/>
        <w:gridCol w:w="3672"/>
        <w:gridCol w:w="3672"/>
      </w:tblGrid>
      <w:tr w:rsidR="00600927" w:rsidTr="00BC265C">
        <w:tc>
          <w:tcPr>
            <w:tcW w:w="3672" w:type="dxa"/>
          </w:tcPr>
          <w:p w:rsidR="00600927" w:rsidRPr="00E71C54" w:rsidRDefault="00600927" w:rsidP="00BC265C">
            <w:pPr>
              <w:pStyle w:val="NoSpacing"/>
              <w:jc w:val="center"/>
              <w:rPr>
                <w:b/>
              </w:rPr>
            </w:pPr>
            <w:r w:rsidRPr="00E71C54">
              <w:rPr>
                <w:b/>
              </w:rPr>
              <w:t>version</w:t>
            </w:r>
          </w:p>
        </w:tc>
        <w:tc>
          <w:tcPr>
            <w:tcW w:w="3672" w:type="dxa"/>
          </w:tcPr>
          <w:p w:rsidR="00600927" w:rsidRPr="00E71C54" w:rsidRDefault="00600927" w:rsidP="00BC265C">
            <w:pPr>
              <w:pStyle w:val="NoSpacing"/>
              <w:jc w:val="center"/>
              <w:rPr>
                <w:b/>
              </w:rPr>
            </w:pPr>
            <w:r w:rsidRPr="00E71C54">
              <w:rPr>
                <w:b/>
              </w:rPr>
              <w:t>date</w:t>
            </w:r>
          </w:p>
        </w:tc>
        <w:tc>
          <w:tcPr>
            <w:tcW w:w="3672" w:type="dxa"/>
          </w:tcPr>
          <w:p w:rsidR="00600927" w:rsidRPr="00E71C54" w:rsidRDefault="00600927" w:rsidP="00BC265C">
            <w:pPr>
              <w:pStyle w:val="NoSpacing"/>
              <w:jc w:val="center"/>
              <w:rPr>
                <w:b/>
              </w:rPr>
            </w:pPr>
            <w:r w:rsidRPr="00E71C54">
              <w:rPr>
                <w:b/>
              </w:rPr>
              <w:t>author</w:t>
            </w:r>
          </w:p>
        </w:tc>
      </w:tr>
      <w:tr w:rsidR="00600927" w:rsidTr="00BC265C">
        <w:tc>
          <w:tcPr>
            <w:tcW w:w="3672" w:type="dxa"/>
          </w:tcPr>
          <w:p w:rsidR="00600927" w:rsidRDefault="00600927" w:rsidP="00BC265C">
            <w:pPr>
              <w:pStyle w:val="NoSpacing"/>
              <w:jc w:val="center"/>
            </w:pPr>
            <w:r>
              <w:t>0.1</w:t>
            </w:r>
          </w:p>
        </w:tc>
        <w:tc>
          <w:tcPr>
            <w:tcW w:w="3672" w:type="dxa"/>
          </w:tcPr>
          <w:p w:rsidR="00600927" w:rsidRDefault="00600927" w:rsidP="00600927">
            <w:pPr>
              <w:pStyle w:val="NoSpacing"/>
              <w:jc w:val="center"/>
            </w:pPr>
            <w:r>
              <w:t>5/18/2015</w:t>
            </w:r>
          </w:p>
        </w:tc>
        <w:tc>
          <w:tcPr>
            <w:tcW w:w="3672" w:type="dxa"/>
          </w:tcPr>
          <w:p w:rsidR="00600927" w:rsidRDefault="00600927" w:rsidP="00BC265C">
            <w:pPr>
              <w:pStyle w:val="NoSpacing"/>
              <w:jc w:val="center"/>
            </w:pPr>
            <w:r>
              <w:t>George Stevens</w:t>
            </w:r>
          </w:p>
        </w:tc>
      </w:tr>
      <w:tr w:rsidR="00F065BF" w:rsidTr="00BC265C">
        <w:tc>
          <w:tcPr>
            <w:tcW w:w="3672" w:type="dxa"/>
          </w:tcPr>
          <w:p w:rsidR="00F065BF" w:rsidRDefault="00F065BF" w:rsidP="009E05DB">
            <w:pPr>
              <w:pStyle w:val="NoSpacing"/>
              <w:jc w:val="center"/>
            </w:pPr>
            <w:r>
              <w:t>0.5</w:t>
            </w:r>
          </w:p>
        </w:tc>
        <w:tc>
          <w:tcPr>
            <w:tcW w:w="3672" w:type="dxa"/>
          </w:tcPr>
          <w:p w:rsidR="00F065BF" w:rsidRDefault="00F065BF" w:rsidP="009E05DB">
            <w:pPr>
              <w:pStyle w:val="NoSpacing"/>
              <w:jc w:val="center"/>
            </w:pPr>
            <w:r>
              <w:t>6/6/15</w:t>
            </w:r>
          </w:p>
        </w:tc>
        <w:tc>
          <w:tcPr>
            <w:tcW w:w="3672" w:type="dxa"/>
          </w:tcPr>
          <w:p w:rsidR="00F065BF" w:rsidRDefault="00F065BF" w:rsidP="009E05DB">
            <w:pPr>
              <w:pStyle w:val="NoSpacing"/>
              <w:jc w:val="center"/>
            </w:pPr>
            <w:r>
              <w:t>George Stevens</w:t>
            </w:r>
          </w:p>
        </w:tc>
      </w:tr>
      <w:tr w:rsidR="00F065BF" w:rsidTr="00BC265C">
        <w:tc>
          <w:tcPr>
            <w:tcW w:w="3672" w:type="dxa"/>
          </w:tcPr>
          <w:p w:rsidR="00F065BF" w:rsidRDefault="00F065BF" w:rsidP="009E05DB">
            <w:pPr>
              <w:pStyle w:val="NoSpacing"/>
              <w:jc w:val="center"/>
            </w:pPr>
            <w:r>
              <w:t>0.6</w:t>
            </w:r>
          </w:p>
        </w:tc>
        <w:tc>
          <w:tcPr>
            <w:tcW w:w="3672" w:type="dxa"/>
          </w:tcPr>
          <w:p w:rsidR="00F065BF" w:rsidRDefault="00F065BF" w:rsidP="009E05DB">
            <w:pPr>
              <w:pStyle w:val="NoSpacing"/>
              <w:jc w:val="center"/>
            </w:pPr>
            <w:r>
              <w:t>6/12/15</w:t>
            </w:r>
          </w:p>
        </w:tc>
        <w:tc>
          <w:tcPr>
            <w:tcW w:w="3672" w:type="dxa"/>
          </w:tcPr>
          <w:p w:rsidR="00F065BF" w:rsidRDefault="00F065BF" w:rsidP="009E05DB">
            <w:pPr>
              <w:pStyle w:val="NoSpacing"/>
              <w:jc w:val="center"/>
            </w:pPr>
            <w:r>
              <w:t>George Stevens</w:t>
            </w:r>
          </w:p>
        </w:tc>
      </w:tr>
      <w:tr w:rsidR="00F065BF" w:rsidTr="00BC265C">
        <w:tc>
          <w:tcPr>
            <w:tcW w:w="3672" w:type="dxa"/>
          </w:tcPr>
          <w:p w:rsidR="00F065BF" w:rsidRDefault="00F065BF" w:rsidP="00F065BF">
            <w:pPr>
              <w:pStyle w:val="NoSpacing"/>
              <w:jc w:val="center"/>
            </w:pPr>
            <w:r>
              <w:t>0.7</w:t>
            </w:r>
          </w:p>
        </w:tc>
        <w:tc>
          <w:tcPr>
            <w:tcW w:w="3672" w:type="dxa"/>
          </w:tcPr>
          <w:p w:rsidR="00F065BF" w:rsidRDefault="00F065BF" w:rsidP="00F065BF">
            <w:pPr>
              <w:pStyle w:val="NoSpacing"/>
              <w:jc w:val="center"/>
            </w:pPr>
            <w:r>
              <w:t>6/26/15</w:t>
            </w:r>
          </w:p>
        </w:tc>
        <w:tc>
          <w:tcPr>
            <w:tcW w:w="3672" w:type="dxa"/>
          </w:tcPr>
          <w:p w:rsidR="00F065BF" w:rsidRDefault="00F065BF" w:rsidP="006C2597">
            <w:pPr>
              <w:pStyle w:val="NoSpacing"/>
              <w:jc w:val="center"/>
            </w:pPr>
            <w:r>
              <w:t>George Stevens</w:t>
            </w:r>
          </w:p>
        </w:tc>
      </w:tr>
    </w:tbl>
    <w:p w:rsidR="00600927" w:rsidRPr="002E5C42" w:rsidRDefault="00600927" w:rsidP="00600927">
      <w:pPr>
        <w:pStyle w:val="Heading1"/>
      </w:pPr>
      <w:r w:rsidRPr="002E5C42">
        <w:t>Introduction</w:t>
      </w:r>
    </w:p>
    <w:p w:rsidR="00D25655" w:rsidRDefault="0050793E" w:rsidP="0010039B">
      <w:pPr>
        <w:pStyle w:val="NoSpacing"/>
      </w:pPr>
      <w:r>
        <w:t xml:space="preserve">The </w:t>
      </w:r>
      <w:r w:rsidR="003D6776">
        <w:t xml:space="preserve">structure of the code in </w:t>
      </w:r>
      <w:r>
        <w:t>WcfNQueueSMEx2</w:t>
      </w:r>
      <w:r w:rsidR="003D6776">
        <w:t xml:space="preserve"> </w:t>
      </w:r>
      <w:r w:rsidR="00BC265C">
        <w:t>is my design</w:t>
      </w:r>
      <w:r>
        <w:t xml:space="preserve">.  I have used </w:t>
      </w:r>
      <w:r w:rsidR="003D6776">
        <w:t>portions</w:t>
      </w:r>
      <w:r>
        <w:t xml:space="preserve"> of the IDesign architecture in it as follows:  The component roles (client, managers, engines,</w:t>
      </w:r>
      <w:r w:rsidR="005830B8">
        <w:t xml:space="preserve"> </w:t>
      </w:r>
      <w:r w:rsidR="00373A97">
        <w:t>resource</w:t>
      </w:r>
      <w:r>
        <w:t xml:space="preserve"> accessors</w:t>
      </w:r>
      <w:r w:rsidR="00E30CEF">
        <w:t xml:space="preserve"> (aka data accessors</w:t>
      </w:r>
      <w:r>
        <w:t>)</w:t>
      </w:r>
      <w:r w:rsidR="00D462A8">
        <w:t>)</w:t>
      </w:r>
      <w:r>
        <w:t xml:space="preserve"> and their relationships, the layers</w:t>
      </w:r>
      <w:r w:rsidR="00D25655">
        <w:t xml:space="preserve"> and</w:t>
      </w:r>
      <w:r>
        <w:t xml:space="preserve"> closed architecture, and the concept of a subsystem.  This approach works well in practice to produce </w:t>
      </w:r>
      <w:r w:rsidR="006229CA">
        <w:t xml:space="preserve">systems that are both </w:t>
      </w:r>
      <w:r w:rsidR="00D25655">
        <w:t xml:space="preserve">cost effective and high </w:t>
      </w:r>
      <w:r>
        <w:t>quality</w:t>
      </w:r>
      <w:r w:rsidR="00D25655">
        <w:t>.  It also helps</w:t>
      </w:r>
      <w:r>
        <w:t xml:space="preserve"> achieve the </w:t>
      </w:r>
      <w:r w:rsidR="00D25655">
        <w:t xml:space="preserve">overall </w:t>
      </w:r>
      <w:r>
        <w:t>goals of this project</w:t>
      </w:r>
      <w:r w:rsidR="00D25655">
        <w:t>,</w:t>
      </w:r>
      <w:r>
        <w:t xml:space="preserve"> stated </w:t>
      </w:r>
      <w:r w:rsidR="00D25655">
        <w:t>here</w:t>
      </w:r>
      <w:r>
        <w:t xml:space="preserve">: </w:t>
      </w:r>
      <w:hyperlink r:id="rId8" w:history="1">
        <w:r w:rsidRPr="00D25655">
          <w:rPr>
            <w:rStyle w:val="Hyperlink"/>
          </w:rPr>
          <w:t>Introducing the “SO Apps” Series of Blog Articles and Code Examples</w:t>
        </w:r>
      </w:hyperlink>
      <w:r>
        <w:t xml:space="preserve">.  </w:t>
      </w:r>
      <w:r w:rsidR="00F065BF">
        <w:t xml:space="preserve"> The blog concerning WcfNQueueSMEx2 is </w:t>
      </w:r>
      <w:hyperlink r:id="rId9" w:history="1">
        <w:r w:rsidR="00F065BF" w:rsidRPr="00F065BF">
          <w:rPr>
            <w:rStyle w:val="Hyperlink"/>
          </w:rPr>
          <w:t>SO Apps 2, WcfNQueueSMEx2 – A System of Collaborating Microservices</w:t>
        </w:r>
      </w:hyperlink>
      <w:r w:rsidR="00F065BF">
        <w:t>.  It contains a link to the example code.</w:t>
      </w:r>
    </w:p>
    <w:p w:rsidR="00E37517" w:rsidRDefault="00E37517" w:rsidP="0010039B">
      <w:pPr>
        <w:pStyle w:val="NoSpacing"/>
      </w:pPr>
    </w:p>
    <w:p w:rsidR="00E37517" w:rsidRDefault="00E37517" w:rsidP="0010039B">
      <w:pPr>
        <w:pStyle w:val="NoSpacing"/>
      </w:pPr>
      <w:r>
        <w:t xml:space="preserve">For more information about </w:t>
      </w:r>
      <w:hyperlink r:id="rId10" w:history="1">
        <w:r w:rsidRPr="00E37517">
          <w:rPr>
            <w:rStyle w:val="Hyperlink"/>
          </w:rPr>
          <w:t>IDesign</w:t>
        </w:r>
      </w:hyperlink>
      <w:r>
        <w:t xml:space="preserve"> please click the link.  For information about the IDesign Method™</w:t>
      </w:r>
      <w:r w:rsidR="00D462A8">
        <w:t xml:space="preserve"> and its architecture</w:t>
      </w:r>
      <w:r>
        <w:t xml:space="preserve"> please see the section</w:t>
      </w:r>
      <w:r w:rsidR="00D462A8">
        <w:t>s</w:t>
      </w:r>
      <w:r>
        <w:t xml:space="preserve"> called “What is the IDesign Method™” </w:t>
      </w:r>
      <w:r w:rsidR="00D462A8">
        <w:t xml:space="preserve">and “Design Method™ Notations Example” </w:t>
      </w:r>
      <w:r>
        <w:t>in the document “</w:t>
      </w:r>
      <w:hyperlink r:id="rId11" w:history="1">
        <w:r w:rsidRPr="002352C6">
          <w:rPr>
            <w:rStyle w:val="Hyperlink"/>
          </w:rPr>
          <w:t>The IDesign Method:  Capturing Critical Design Aspects</w:t>
        </w:r>
      </w:hyperlink>
      <w:r>
        <w:t>”.</w:t>
      </w:r>
      <w:r w:rsidR="0041162B">
        <w:t xml:space="preserve">  You can learn how to do such architectural designs</w:t>
      </w:r>
      <w:r w:rsidR="00E7232A">
        <w:t xml:space="preserve"> yourself</w:t>
      </w:r>
      <w:r w:rsidR="0041162B">
        <w:t xml:space="preserve"> at these classes:  </w:t>
      </w:r>
      <w:hyperlink r:id="rId12" w:history="1">
        <w:r w:rsidR="0041162B" w:rsidRPr="00F07083">
          <w:rPr>
            <w:rStyle w:val="Hyperlink"/>
          </w:rPr>
          <w:t>IDesign Architects Master Class</w:t>
        </w:r>
      </w:hyperlink>
      <w:r w:rsidR="0041162B">
        <w:t xml:space="preserve"> and </w:t>
      </w:r>
      <w:hyperlink r:id="rId13" w:history="1">
        <w:r w:rsidR="0041162B" w:rsidRPr="00F07083">
          <w:rPr>
            <w:rStyle w:val="Hyperlink"/>
          </w:rPr>
          <w:t>IDesign Architect</w:t>
        </w:r>
        <w:r w:rsidR="0041162B">
          <w:rPr>
            <w:rStyle w:val="Hyperlink"/>
          </w:rPr>
          <w:t>ure</w:t>
        </w:r>
        <w:r w:rsidR="0041162B" w:rsidRPr="00F07083">
          <w:rPr>
            <w:rStyle w:val="Hyperlink"/>
          </w:rPr>
          <w:t xml:space="preserve"> Clinic</w:t>
        </w:r>
      </w:hyperlink>
      <w:r w:rsidR="0041162B">
        <w:t>.</w:t>
      </w:r>
      <w:r w:rsidR="00BC265C">
        <w:t xml:space="preserve">  By taking a class you are also able to participate in the</w:t>
      </w:r>
      <w:r w:rsidR="00373A97">
        <w:t xml:space="preserve"> valuable</w:t>
      </w:r>
      <w:r w:rsidR="00BC265C">
        <w:t xml:space="preserve"> IDesign </w:t>
      </w:r>
      <w:r w:rsidR="00373A97">
        <w:t xml:space="preserve">Alumni private </w:t>
      </w:r>
      <w:r w:rsidR="00BC265C">
        <w:t>Forum, from which the Visual Studio Solution structure presented below was obtained.</w:t>
      </w:r>
    </w:p>
    <w:p w:rsidR="0041162B" w:rsidRDefault="0041162B" w:rsidP="0010039B">
      <w:pPr>
        <w:pStyle w:val="NoSpacing"/>
      </w:pPr>
    </w:p>
    <w:p w:rsidR="00BF5940" w:rsidRDefault="0050793E" w:rsidP="0010039B">
      <w:pPr>
        <w:pStyle w:val="NoSpacing"/>
      </w:pPr>
      <w:r>
        <w:t>The structu</w:t>
      </w:r>
      <w:r w:rsidR="00D25655">
        <w:t xml:space="preserve">re of </w:t>
      </w:r>
      <w:r w:rsidR="000960C4">
        <w:t>a</w:t>
      </w:r>
      <w:r w:rsidR="00D25655">
        <w:t xml:space="preserve"> Visual Studio solution </w:t>
      </w:r>
      <w:r w:rsidR="00E37517">
        <w:t xml:space="preserve">can </w:t>
      </w:r>
      <w:r w:rsidR="00D25655">
        <w:t xml:space="preserve">act to </w:t>
      </w:r>
      <w:r w:rsidR="00E37517">
        <w:t xml:space="preserve">greatly </w:t>
      </w:r>
      <w:r w:rsidR="00D25655">
        <w:t xml:space="preserve">enhance the effectiveness of working with </w:t>
      </w:r>
      <w:r w:rsidR="000960C4">
        <w:t>a service oriented</w:t>
      </w:r>
      <w:r w:rsidR="00D25655">
        <w:t xml:space="preserve"> code structure.  Thus, I am using a</w:t>
      </w:r>
      <w:r w:rsidR="00BF5940">
        <w:t xml:space="preserve"> solution structure of </w:t>
      </w:r>
      <w:r w:rsidR="00D25655">
        <w:t xml:space="preserve">folders, </w:t>
      </w:r>
      <w:r w:rsidR="00D74231">
        <w:t xml:space="preserve">namespaces, and </w:t>
      </w:r>
      <w:r w:rsidR="00BF5940">
        <w:t xml:space="preserve">projects described by Monty Montgomery in the IDesign </w:t>
      </w:r>
      <w:r w:rsidR="00373A97">
        <w:t>Alumni</w:t>
      </w:r>
      <w:r w:rsidR="00BF5940">
        <w:t xml:space="preserve"> thread “Namespace convention and namespace best practices”.  Monty is a Master Architect at IDesign.  This structure fulfills the following goals</w:t>
      </w:r>
      <w:r w:rsidR="00066EDD">
        <w:t xml:space="preserve"> that enable Service Oriented Apps</w:t>
      </w:r>
      <w:r w:rsidR="00BF5940">
        <w:t>:</w:t>
      </w:r>
    </w:p>
    <w:p w:rsidR="00BF5940" w:rsidRDefault="00BF5940" w:rsidP="0010039B">
      <w:pPr>
        <w:pStyle w:val="NoSpacing"/>
      </w:pPr>
    </w:p>
    <w:p w:rsidR="00373A97" w:rsidRDefault="00373A97" w:rsidP="00BF5940">
      <w:pPr>
        <w:pStyle w:val="NoSpacing"/>
        <w:numPr>
          <w:ilvl w:val="0"/>
          <w:numId w:val="33"/>
        </w:numPr>
      </w:pPr>
      <w:r>
        <w:t>Use the IDesign practice of having a single developer implement a single service in a single assembly.  This speeds implementation time by not having to take time required for multiple developers to coordinate their work on a common service.</w:t>
      </w:r>
    </w:p>
    <w:p w:rsidR="00D75D5C" w:rsidRDefault="00373A97" w:rsidP="00BF5940">
      <w:pPr>
        <w:pStyle w:val="NoSpacing"/>
        <w:numPr>
          <w:ilvl w:val="0"/>
          <w:numId w:val="33"/>
        </w:numPr>
      </w:pPr>
      <w:r>
        <w:t>Facilitating</w:t>
      </w:r>
      <w:r w:rsidR="00E54146">
        <w:t xml:space="preserve"> </w:t>
      </w:r>
      <w:r w:rsidR="00D75D5C">
        <w:t>the composition of larger services from smaller services</w:t>
      </w:r>
      <w:r w:rsidR="000F2F03">
        <w:t>,</w:t>
      </w:r>
      <w:r>
        <w:t xml:space="preserve"> and scalability.  This is required for </w:t>
      </w:r>
      <w:r w:rsidR="00E54146">
        <w:t>typical SOA scenarios as follows:</w:t>
      </w:r>
    </w:p>
    <w:p w:rsidR="00E54146" w:rsidRDefault="00E54146" w:rsidP="00E54146">
      <w:pPr>
        <w:pStyle w:val="NoSpacing"/>
        <w:numPr>
          <w:ilvl w:val="1"/>
          <w:numId w:val="33"/>
        </w:numPr>
      </w:pPr>
      <w:r>
        <w:t>Service Oriented Apps are typically composed of a number of services, each of which may be hosted</w:t>
      </w:r>
      <w:r w:rsidR="00373A97">
        <w:t xml:space="preserve"> </w:t>
      </w:r>
      <w:r>
        <w:t xml:space="preserve">wherever -- In the data center, in the cloud, on several different virtual machines, with at times multiple instances of the same service alive at </w:t>
      </w:r>
      <w:r w:rsidR="006229CA">
        <w:t>once</w:t>
      </w:r>
      <w:r>
        <w:t xml:space="preserve"> and </w:t>
      </w:r>
      <w:r w:rsidR="001027F2">
        <w:t xml:space="preserve">possibly </w:t>
      </w:r>
      <w:r>
        <w:t>running in different hosts when scaled out</w:t>
      </w:r>
      <w:r w:rsidR="001027F2">
        <w:t xml:space="preserve">.  Services </w:t>
      </w:r>
      <w:r w:rsidR="00FC0E48">
        <w:t xml:space="preserve">or </w:t>
      </w:r>
      <w:r w:rsidR="001027F2">
        <w:t>components of a relatively smaller granularity</w:t>
      </w:r>
      <w:r w:rsidR="006229CA">
        <w:t xml:space="preserve"> (i.e. a smallish number of service operations)</w:t>
      </w:r>
      <w:r w:rsidR="001027F2">
        <w:t xml:space="preserve"> make such scenarios work better</w:t>
      </w:r>
      <w:r w:rsidR="00FC0E48">
        <w:t xml:space="preserve"> than </w:t>
      </w:r>
      <w:r w:rsidR="006229CA">
        <w:t>services having a quite large granularity</w:t>
      </w:r>
      <w:r w:rsidR="001027F2">
        <w:t>.</w:t>
      </w:r>
    </w:p>
    <w:p w:rsidR="00BF5940" w:rsidRDefault="00BF5940" w:rsidP="00BF5940">
      <w:pPr>
        <w:pStyle w:val="NoSpacing"/>
        <w:numPr>
          <w:ilvl w:val="0"/>
          <w:numId w:val="33"/>
        </w:numPr>
      </w:pPr>
      <w:r>
        <w:t xml:space="preserve">Promote reuse by presenting a broad view of the service oriented solution in source control and the </w:t>
      </w:r>
      <w:r w:rsidR="00787BBC">
        <w:t>Visu</w:t>
      </w:r>
      <w:r w:rsidR="00E7232A">
        <w:t>a</w:t>
      </w:r>
      <w:r w:rsidR="00787BBC">
        <w:t xml:space="preserve">l Studio </w:t>
      </w:r>
      <w:r>
        <w:t>Solution Explorer.  This minimizes the depth of solution folder hierarchies allow</w:t>
      </w:r>
      <w:r w:rsidR="00D74231">
        <w:t>ing</w:t>
      </w:r>
      <w:r>
        <w:t xml:space="preserve"> developers to easily explore</w:t>
      </w:r>
      <w:r w:rsidR="00D74231">
        <w:t xml:space="preserve"> the available</w:t>
      </w:r>
      <w:r>
        <w:t xml:space="preserve"> components</w:t>
      </w:r>
      <w:r w:rsidR="00E54146">
        <w:t xml:space="preserve"> by scrolling through them</w:t>
      </w:r>
      <w:r>
        <w:t>.</w:t>
      </w:r>
    </w:p>
    <w:p w:rsidR="00BF5940" w:rsidRDefault="00D75D5C" w:rsidP="00BF5940">
      <w:pPr>
        <w:pStyle w:val="NoSpacing"/>
        <w:numPr>
          <w:ilvl w:val="0"/>
          <w:numId w:val="33"/>
        </w:numPr>
      </w:pPr>
      <w:r>
        <w:t xml:space="preserve">Partition assemblies </w:t>
      </w:r>
      <w:r w:rsidR="00373A97">
        <w:t>containing service and data contracts so as</w:t>
      </w:r>
      <w:r>
        <w:t xml:space="preserve"> to produce the smallest possible client side foot print.</w:t>
      </w:r>
    </w:p>
    <w:p w:rsidR="00A30AB2" w:rsidRDefault="00A30AB2" w:rsidP="00BF5940">
      <w:pPr>
        <w:pStyle w:val="NoSpacing"/>
        <w:numPr>
          <w:ilvl w:val="0"/>
          <w:numId w:val="33"/>
        </w:numPr>
      </w:pPr>
      <w:r>
        <w:t>Allow easy finding of components</w:t>
      </w:r>
      <w:r w:rsidR="00D74231">
        <w:t xml:space="preserve"> in the </w:t>
      </w:r>
      <w:r w:rsidR="00787BBC">
        <w:t>Visual Studio S</w:t>
      </w:r>
      <w:r w:rsidR="00D74231">
        <w:t>olution</w:t>
      </w:r>
      <w:r>
        <w:t xml:space="preserve"> when looking at IDesign architecture diagram</w:t>
      </w:r>
      <w:r w:rsidR="00FC0E48">
        <w:t>s</w:t>
      </w:r>
      <w:r w:rsidR="006229CA">
        <w:t>.  Examples of these diagrams are shown in</w:t>
      </w:r>
      <w:r w:rsidR="006229CA" w:rsidRPr="006229CA">
        <w:t xml:space="preserve"> </w:t>
      </w:r>
      <w:r w:rsidR="006229CA">
        <w:t>“</w:t>
      </w:r>
      <w:hyperlink r:id="rId14" w:history="1">
        <w:r w:rsidR="006229CA" w:rsidRPr="002352C6">
          <w:rPr>
            <w:rStyle w:val="Hyperlink"/>
          </w:rPr>
          <w:t>The IDesign Method:  Capturing Critical Design Aspects</w:t>
        </w:r>
      </w:hyperlink>
      <w:r w:rsidR="006229CA">
        <w:t>”.</w:t>
      </w:r>
    </w:p>
    <w:p w:rsidR="00D75D5C" w:rsidRDefault="00D75D5C" w:rsidP="00D75D5C">
      <w:pPr>
        <w:pStyle w:val="NoSpacing"/>
      </w:pPr>
    </w:p>
    <w:p w:rsidR="00CE0D20" w:rsidRDefault="00D75D5C" w:rsidP="00F065BF">
      <w:pPr>
        <w:pStyle w:val="NoSpacing"/>
      </w:pPr>
      <w:r>
        <w:t>The above goals are realized in the structure of the WcfNQueueSMEx2 Visual Studio Solution</w:t>
      </w:r>
      <w:r w:rsidR="00787BBC">
        <w:t xml:space="preserve"> </w:t>
      </w:r>
      <w:r w:rsidR="00E30CEF">
        <w:t>presented later</w:t>
      </w:r>
      <w:r>
        <w:t>.</w:t>
      </w:r>
      <w:r w:rsidR="00CE0D20">
        <w:br w:type="page"/>
      </w:r>
    </w:p>
    <w:p w:rsidR="006D4D4A" w:rsidRDefault="006D4D4A" w:rsidP="00D75D5C">
      <w:pPr>
        <w:pStyle w:val="NoSpacing"/>
      </w:pPr>
      <w:r>
        <w:lastRenderedPageBreak/>
        <w:t>Here is Monty’s basic Namespace convention, with Product being optional:</w:t>
      </w:r>
    </w:p>
    <w:p w:rsidR="00AC4D07" w:rsidRDefault="00AC4D07" w:rsidP="00D75D5C">
      <w:pPr>
        <w:pStyle w:val="NoSpacing"/>
      </w:pPr>
    </w:p>
    <w:p w:rsidR="006D4D4A" w:rsidRPr="00D25655" w:rsidRDefault="006D4D4A" w:rsidP="00AC4D07">
      <w:pPr>
        <w:pStyle w:val="NoSpacing"/>
        <w:ind w:firstLine="720"/>
        <w:rPr>
          <w:b/>
        </w:rPr>
      </w:pPr>
      <w:r w:rsidRPr="00D25655">
        <w:rPr>
          <w:b/>
        </w:rPr>
        <w:t>&lt;Company&gt;.&lt;Concept&gt;.[&lt;Product&gt;].&lt;Subsystem&gt;</w:t>
      </w:r>
    </w:p>
    <w:p w:rsidR="006D4D4A" w:rsidRPr="00983185" w:rsidRDefault="006D4D4A" w:rsidP="00983185">
      <w:pPr>
        <w:pStyle w:val="NoSpacing"/>
      </w:pPr>
    </w:p>
    <w:p w:rsidR="006D4D4A" w:rsidRPr="00983185" w:rsidRDefault="006D4D4A" w:rsidP="00983185">
      <w:pPr>
        <w:pStyle w:val="NoSpacing"/>
      </w:pPr>
      <w:r w:rsidRPr="00983185">
        <w:t>For example</w:t>
      </w:r>
      <w:r w:rsidR="00D74231">
        <w:t>,</w:t>
      </w:r>
      <w:r w:rsidRPr="00983185">
        <w:t xml:space="preserve"> in the WcfNQueueSMEx2 </w:t>
      </w:r>
      <w:r w:rsidR="001027F2">
        <w:t>solution</w:t>
      </w:r>
      <w:r w:rsidR="00D74231">
        <w:t xml:space="preserve"> there is a namespace</w:t>
      </w:r>
      <w:r w:rsidR="001027F2">
        <w:t xml:space="preserve"> and project name</w:t>
      </w:r>
      <w:r w:rsidR="00FC0E48">
        <w:t>d</w:t>
      </w:r>
      <w:r w:rsidR="00D74231">
        <w:t xml:space="preserve"> </w:t>
      </w:r>
      <w:r w:rsidRPr="00E54146">
        <w:rPr>
          <w:b/>
        </w:rPr>
        <w:t>GS.Manager.DataFeed</w:t>
      </w:r>
      <w:r w:rsidR="001027F2">
        <w:t>. This is where the</w:t>
      </w:r>
      <w:r w:rsidR="00FC0E48">
        <w:t xml:space="preserve"> code for</w:t>
      </w:r>
      <w:r w:rsidR="001027F2">
        <w:t xml:space="preserve"> </w:t>
      </w:r>
      <w:r w:rsidRPr="00983185">
        <w:t xml:space="preserve">DataFeedManager </w:t>
      </w:r>
      <w:r w:rsidR="001027F2">
        <w:t>component</w:t>
      </w:r>
      <w:r w:rsidR="00D25655">
        <w:t xml:space="preserve"> (a </w:t>
      </w:r>
      <w:r w:rsidR="000960C4">
        <w:t xml:space="preserve">WCF </w:t>
      </w:r>
      <w:r w:rsidR="00D25655">
        <w:t>service</w:t>
      </w:r>
      <w:r w:rsidR="001027F2">
        <w:t>)</w:t>
      </w:r>
      <w:r w:rsidRPr="00983185">
        <w:t xml:space="preserve"> resides.</w:t>
      </w:r>
    </w:p>
    <w:p w:rsidR="006D4D4A" w:rsidRPr="00983185" w:rsidRDefault="006D4D4A" w:rsidP="00983185">
      <w:pPr>
        <w:pStyle w:val="NoSpacing"/>
        <w:numPr>
          <w:ilvl w:val="0"/>
          <w:numId w:val="35"/>
        </w:numPr>
      </w:pPr>
      <w:r w:rsidRPr="00D74231">
        <w:rPr>
          <w:u w:val="single"/>
        </w:rPr>
        <w:t>Company</w:t>
      </w:r>
      <w:r w:rsidRPr="00983185">
        <w:t xml:space="preserve"> is </w:t>
      </w:r>
      <w:r w:rsidRPr="00E54146">
        <w:rPr>
          <w:b/>
        </w:rPr>
        <w:t>GS</w:t>
      </w:r>
      <w:r w:rsidRPr="00983185">
        <w:t xml:space="preserve"> (abbreviation for my name for lack of anything better</w:t>
      </w:r>
      <w:r w:rsidR="00983185" w:rsidRPr="00983185">
        <w:t xml:space="preserve"> in this </w:t>
      </w:r>
      <w:r w:rsidR="00FC0E48">
        <w:t xml:space="preserve">code </w:t>
      </w:r>
      <w:r w:rsidR="00983185" w:rsidRPr="00983185">
        <w:t>example</w:t>
      </w:r>
      <w:r w:rsidRPr="00983185">
        <w:t>)</w:t>
      </w:r>
      <w:r w:rsidR="00983185" w:rsidRPr="00983185">
        <w:t>.</w:t>
      </w:r>
    </w:p>
    <w:p w:rsidR="006D4D4A" w:rsidRPr="00983185" w:rsidRDefault="006D4D4A" w:rsidP="00983185">
      <w:pPr>
        <w:pStyle w:val="NoSpacing"/>
        <w:numPr>
          <w:ilvl w:val="0"/>
          <w:numId w:val="35"/>
        </w:numPr>
      </w:pPr>
      <w:r w:rsidRPr="00D74231">
        <w:rPr>
          <w:u w:val="single"/>
        </w:rPr>
        <w:t>Concept</w:t>
      </w:r>
      <w:r w:rsidRPr="00983185">
        <w:t xml:space="preserve"> is </w:t>
      </w:r>
      <w:r w:rsidRPr="00E54146">
        <w:rPr>
          <w:b/>
        </w:rPr>
        <w:t>Manager</w:t>
      </w:r>
      <w:r w:rsidR="00D74231">
        <w:t>.  Please see the following definitions for more about Managers</w:t>
      </w:r>
      <w:r w:rsidR="00983185" w:rsidRPr="00983185">
        <w:t>.</w:t>
      </w:r>
    </w:p>
    <w:p w:rsidR="006D4D4A" w:rsidRPr="00983185" w:rsidRDefault="006D4D4A" w:rsidP="00983185">
      <w:pPr>
        <w:pStyle w:val="NoSpacing"/>
        <w:numPr>
          <w:ilvl w:val="0"/>
          <w:numId w:val="35"/>
        </w:numPr>
      </w:pPr>
      <w:r w:rsidRPr="00D74231">
        <w:rPr>
          <w:u w:val="single"/>
        </w:rPr>
        <w:t>Product</w:t>
      </w:r>
      <w:r w:rsidRPr="00983185">
        <w:t xml:space="preserve"> is omitted since there is only one product</w:t>
      </w:r>
      <w:r w:rsidR="00E54146">
        <w:t xml:space="preserve"> in this company at present.  H</w:t>
      </w:r>
      <w:r w:rsidRPr="00983185">
        <w:t>owever it could be something like Mobile if there were a mobile version</w:t>
      </w:r>
      <w:r w:rsidR="00983185" w:rsidRPr="00983185">
        <w:t>.</w:t>
      </w:r>
      <w:r w:rsidR="00787BBC">
        <w:t xml:space="preserve">  Or NextGen for the next major release. Etc.</w:t>
      </w:r>
    </w:p>
    <w:p w:rsidR="006D4D4A" w:rsidRPr="00983185" w:rsidRDefault="006D4D4A" w:rsidP="00983185">
      <w:pPr>
        <w:pStyle w:val="NoSpacing"/>
        <w:numPr>
          <w:ilvl w:val="0"/>
          <w:numId w:val="35"/>
        </w:numPr>
      </w:pPr>
      <w:r w:rsidRPr="00D74231">
        <w:rPr>
          <w:u w:val="single"/>
        </w:rPr>
        <w:t>Subsystem</w:t>
      </w:r>
      <w:r w:rsidRPr="00983185">
        <w:t xml:space="preserve"> is </w:t>
      </w:r>
      <w:r w:rsidRPr="00E54146">
        <w:rPr>
          <w:b/>
        </w:rPr>
        <w:t>DataFeed</w:t>
      </w:r>
      <w:r w:rsidR="00983185" w:rsidRPr="00983185">
        <w:t>.</w:t>
      </w:r>
      <w:r w:rsidR="00D74231">
        <w:t xml:space="preserve">  </w:t>
      </w:r>
    </w:p>
    <w:p w:rsidR="00983185" w:rsidRDefault="00983185" w:rsidP="001541BA">
      <w:pPr>
        <w:pStyle w:val="NoSpacing"/>
      </w:pPr>
    </w:p>
    <w:p w:rsidR="001027F2" w:rsidRDefault="00963A30" w:rsidP="001027F2">
      <w:pPr>
        <w:pStyle w:val="NoSpacing"/>
      </w:pPr>
      <w:r>
        <w:t>B</w:t>
      </w:r>
      <w:r w:rsidR="001027F2">
        <w:t xml:space="preserve">efore I </w:t>
      </w:r>
      <w:r w:rsidR="00D25655">
        <w:t>list the folders, namespaces, and projects</w:t>
      </w:r>
      <w:r w:rsidR="001027F2">
        <w:t xml:space="preserve"> in </w:t>
      </w:r>
      <w:r w:rsidR="001027F2" w:rsidRPr="00983185">
        <w:t xml:space="preserve">the WcfNQueueSMEx2 </w:t>
      </w:r>
      <w:r w:rsidR="001027F2">
        <w:t xml:space="preserve">solution some explanation is needed of the </w:t>
      </w:r>
      <w:r w:rsidR="001D7531">
        <w:t xml:space="preserve">key </w:t>
      </w:r>
      <w:r w:rsidR="001027F2">
        <w:t>terms used in this document.</w:t>
      </w:r>
      <w:r w:rsidR="00F07083">
        <w:t xml:space="preserve">  </w:t>
      </w:r>
      <w:r w:rsidR="00F07083">
        <w:rPr>
          <w:b/>
        </w:rPr>
        <w:t>Such</w:t>
      </w:r>
      <w:r w:rsidR="00F07083" w:rsidRPr="00F07083">
        <w:rPr>
          <w:b/>
        </w:rPr>
        <w:t xml:space="preserve"> knowledge will also be invaluable </w:t>
      </w:r>
      <w:r w:rsidR="00BC265C">
        <w:rPr>
          <w:b/>
        </w:rPr>
        <w:t>when</w:t>
      </w:r>
      <w:r w:rsidR="00F07083" w:rsidRPr="00F07083">
        <w:rPr>
          <w:b/>
        </w:rPr>
        <w:t xml:space="preserve"> inspecting and understanding the code of WcfNQueueSMEx2 since it often provides insights into the intent or “reasons why” things are done as they are</w:t>
      </w:r>
      <w:r w:rsidR="00F07083">
        <w:t>.</w:t>
      </w:r>
    </w:p>
    <w:p w:rsidR="00D25655" w:rsidRDefault="00D25655" w:rsidP="001027F2">
      <w:pPr>
        <w:pStyle w:val="NoSpacing"/>
      </w:pPr>
    </w:p>
    <w:p w:rsidR="008A167C" w:rsidRPr="002E5C42" w:rsidRDefault="008A167C" w:rsidP="008A167C">
      <w:pPr>
        <w:pStyle w:val="Heading1"/>
      </w:pPr>
      <w:r>
        <w:t>Definition of Terms and the Component Roles</w:t>
      </w:r>
    </w:p>
    <w:p w:rsidR="0023789E" w:rsidRDefault="00B50B31" w:rsidP="008A167C">
      <w:pPr>
        <w:pStyle w:val="NoSpacing"/>
      </w:pPr>
      <w:r>
        <w:rPr>
          <w:b/>
        </w:rPr>
        <w:t xml:space="preserve">Component </w:t>
      </w:r>
      <w:r w:rsidR="008A167C">
        <w:rPr>
          <w:b/>
        </w:rPr>
        <w:t>Roles</w:t>
      </w:r>
      <w:r>
        <w:rPr>
          <w:b/>
        </w:rPr>
        <w:t xml:space="preserve"> Overview</w:t>
      </w:r>
      <w:r w:rsidR="008A167C">
        <w:t xml:space="preserve"> – This architecture style decomposes a system into components which have several standard roles. </w:t>
      </w:r>
      <w:r w:rsidR="006229CA">
        <w:t>Using</w:t>
      </w:r>
      <w:r w:rsidR="008C3E0B">
        <w:t xml:space="preserve"> a few standard c</w:t>
      </w:r>
      <w:r w:rsidR="008A167C">
        <w:t>omponent roles make</w:t>
      </w:r>
      <w:r w:rsidR="008C3E0B">
        <w:t>s</w:t>
      </w:r>
      <w:r w:rsidR="008A167C">
        <w:t xml:space="preserve"> the architecture simple in that the same roles are repeated over and over, but hav</w:t>
      </w:r>
      <w:r w:rsidR="00BC265C">
        <w:t>e</w:t>
      </w:r>
      <w:r w:rsidR="008A167C">
        <w:t xml:space="preserve"> </w:t>
      </w:r>
      <w:r w:rsidR="0023789E">
        <w:t>unique</w:t>
      </w:r>
      <w:r w:rsidR="008A167C">
        <w:t xml:space="preserve"> </w:t>
      </w:r>
      <w:r w:rsidR="008C3E0B">
        <w:t xml:space="preserve">specific </w:t>
      </w:r>
      <w:r w:rsidR="008A167C">
        <w:t>purposes and contexts</w:t>
      </w:r>
      <w:r w:rsidR="00AF7115">
        <w:t xml:space="preserve"> each time </w:t>
      </w:r>
      <w:r w:rsidR="006229CA">
        <w:t>a role is</w:t>
      </w:r>
      <w:r w:rsidR="00AF7115">
        <w:t xml:space="preserve"> used</w:t>
      </w:r>
      <w:r w:rsidR="008A167C">
        <w:t>.  This aids in quickly gaining a</w:t>
      </w:r>
      <w:r w:rsidR="006229CA">
        <w:t>n</w:t>
      </w:r>
      <w:r w:rsidR="008A167C">
        <w:t xml:space="preserve"> understanding of the big picture</w:t>
      </w:r>
      <w:r w:rsidR="006229CA">
        <w:t xml:space="preserve"> view of the software system</w:t>
      </w:r>
      <w:r w:rsidR="0023789E">
        <w:t>’s structure and responsibilities of its components</w:t>
      </w:r>
      <w:r w:rsidR="008A167C">
        <w:t>.</w:t>
      </w:r>
      <w:r w:rsidR="00AF7115">
        <w:t xml:space="preserve"> And, </w:t>
      </w:r>
      <w:r w:rsidR="008C3E0B">
        <w:t xml:space="preserve">each </w:t>
      </w:r>
      <w:r w:rsidR="00AF7115">
        <w:t>component serves to encapsulate specific kinds of volatility by design</w:t>
      </w:r>
      <w:r w:rsidR="008C3E0B">
        <w:t>, based both on the role and</w:t>
      </w:r>
      <w:r w:rsidR="006229CA">
        <w:t xml:space="preserve"> also on</w:t>
      </w:r>
      <w:r w:rsidR="008C3E0B">
        <w:t xml:space="preserve"> the work a specific component is designed to do in performing the intended role</w:t>
      </w:r>
      <w:r w:rsidR="00AF7115">
        <w:t>.</w:t>
      </w:r>
      <w:r w:rsidR="008A167C">
        <w:t xml:space="preserve"> </w:t>
      </w:r>
      <w:r w:rsidR="0023789E">
        <w:t xml:space="preserve">Decoupling the structure of the code from the volatities (changeability) of </w:t>
      </w:r>
      <w:r w:rsidR="000960C4">
        <w:t xml:space="preserve">the </w:t>
      </w:r>
      <w:r w:rsidR="0023789E">
        <w:t>functional requirements and domain model greatly decreases the amount of refactoring of existing code that is necessary to fit in new functionality.  This can significantly reduce Time-To-Market and Total-Cost-of-Ownership, thus more closely aligning IT/Product Development with business goals.</w:t>
      </w:r>
    </w:p>
    <w:p w:rsidR="0023789E" w:rsidRDefault="0023789E" w:rsidP="008A167C">
      <w:pPr>
        <w:pStyle w:val="NoSpacing"/>
      </w:pPr>
    </w:p>
    <w:p w:rsidR="008A167C" w:rsidRDefault="008A167C" w:rsidP="008A167C">
      <w:pPr>
        <w:pStyle w:val="NoSpacing"/>
      </w:pPr>
      <w:r>
        <w:t xml:space="preserve">Here are the </w:t>
      </w:r>
      <w:r w:rsidR="00AF7115">
        <w:t xml:space="preserve">component </w:t>
      </w:r>
      <w:r>
        <w:t>roles</w:t>
      </w:r>
      <w:r w:rsidR="00B50B31">
        <w:t>, listed in the order they appear in the layered architecture that is used</w:t>
      </w:r>
      <w:r>
        <w:t xml:space="preserve">:  </w:t>
      </w:r>
    </w:p>
    <w:p w:rsidR="008A167C" w:rsidRDefault="008A167C" w:rsidP="008A167C">
      <w:pPr>
        <w:pStyle w:val="NoSpacing"/>
        <w:numPr>
          <w:ilvl w:val="0"/>
          <w:numId w:val="37"/>
        </w:numPr>
      </w:pPr>
      <w:r>
        <w:t>Client</w:t>
      </w:r>
    </w:p>
    <w:p w:rsidR="008A167C" w:rsidRDefault="008A167C" w:rsidP="008A167C">
      <w:pPr>
        <w:pStyle w:val="NoSpacing"/>
        <w:numPr>
          <w:ilvl w:val="0"/>
          <w:numId w:val="37"/>
        </w:numPr>
      </w:pPr>
      <w:r>
        <w:t>Manager</w:t>
      </w:r>
    </w:p>
    <w:p w:rsidR="008A167C" w:rsidRDefault="008A167C" w:rsidP="008A167C">
      <w:pPr>
        <w:pStyle w:val="NoSpacing"/>
        <w:numPr>
          <w:ilvl w:val="0"/>
          <w:numId w:val="37"/>
        </w:numPr>
      </w:pPr>
      <w:r>
        <w:t>Engine</w:t>
      </w:r>
    </w:p>
    <w:p w:rsidR="008A167C" w:rsidRDefault="008A167C" w:rsidP="008A167C">
      <w:pPr>
        <w:pStyle w:val="NoSpacing"/>
        <w:numPr>
          <w:ilvl w:val="0"/>
          <w:numId w:val="37"/>
        </w:numPr>
      </w:pPr>
      <w:r>
        <w:t>Data Accessor/Resource Accessor</w:t>
      </w:r>
    </w:p>
    <w:p w:rsidR="008A167C" w:rsidRDefault="008A167C" w:rsidP="008A167C">
      <w:pPr>
        <w:pStyle w:val="NoSpacing"/>
        <w:numPr>
          <w:ilvl w:val="0"/>
          <w:numId w:val="37"/>
        </w:numPr>
      </w:pPr>
      <w:r>
        <w:t>Database or other such physical Resource</w:t>
      </w:r>
      <w:r w:rsidRPr="00215165">
        <w:t xml:space="preserve"> </w:t>
      </w:r>
    </w:p>
    <w:p w:rsidR="008A167C" w:rsidRDefault="008A167C" w:rsidP="008A167C">
      <w:pPr>
        <w:pStyle w:val="NoSpacing"/>
      </w:pPr>
    </w:p>
    <w:p w:rsidR="008A167C" w:rsidRDefault="008A167C" w:rsidP="008A167C">
      <w:pPr>
        <w:pStyle w:val="NoSpacing"/>
      </w:pPr>
      <w:r>
        <w:t>The roles of Manager, Engine, Data Accessor/Resource Accessor are each implemented as a service when using WCF on .NET platforms</w:t>
      </w:r>
      <w:r w:rsidR="00B50B31">
        <w:t xml:space="preserve">.  These components </w:t>
      </w:r>
      <w:r>
        <w:t xml:space="preserve">can be considered to be microservices at the lowest level of granularity.  </w:t>
      </w:r>
    </w:p>
    <w:p w:rsidR="00B50B31" w:rsidRDefault="00B50B31" w:rsidP="008A167C">
      <w:pPr>
        <w:pStyle w:val="NoSpacing"/>
      </w:pPr>
    </w:p>
    <w:p w:rsidR="00C764CD" w:rsidRDefault="00B50B31" w:rsidP="00B50B31">
      <w:pPr>
        <w:pStyle w:val="NoSpacing"/>
      </w:pPr>
      <w:r>
        <w:rPr>
          <w:b/>
        </w:rPr>
        <w:t xml:space="preserve">Layered </w:t>
      </w:r>
      <w:r w:rsidRPr="00E97210">
        <w:rPr>
          <w:b/>
        </w:rPr>
        <w:t>Closed Architecture</w:t>
      </w:r>
      <w:r>
        <w:t xml:space="preserve"> – This is a layered, closed architecture </w:t>
      </w:r>
      <w:r w:rsidR="008C3E0B">
        <w:t>modeled after</w:t>
      </w:r>
      <w:r>
        <w:t xml:space="preserve"> the IDesign architecture style.</w:t>
      </w:r>
      <w:r w:rsidR="00C764CD">
        <w:t xml:space="preserve">  The layers are, from the top down:</w:t>
      </w:r>
    </w:p>
    <w:p w:rsidR="00C764CD" w:rsidRDefault="00C764CD" w:rsidP="00C764CD">
      <w:pPr>
        <w:pStyle w:val="NoSpacing"/>
        <w:numPr>
          <w:ilvl w:val="0"/>
          <w:numId w:val="38"/>
        </w:numPr>
      </w:pPr>
      <w:r>
        <w:t>Presentation Layer</w:t>
      </w:r>
      <w:r w:rsidR="000960C4">
        <w:t xml:space="preserve"> -- Clients</w:t>
      </w:r>
    </w:p>
    <w:p w:rsidR="00C764CD" w:rsidRDefault="00C764CD" w:rsidP="00C764CD">
      <w:pPr>
        <w:pStyle w:val="NoSpacing"/>
        <w:numPr>
          <w:ilvl w:val="0"/>
          <w:numId w:val="38"/>
        </w:numPr>
      </w:pPr>
      <w:r>
        <w:t>Business Logic Layer</w:t>
      </w:r>
      <w:r w:rsidR="000960C4">
        <w:t xml:space="preserve"> – Managers and Engines</w:t>
      </w:r>
    </w:p>
    <w:p w:rsidR="00C764CD" w:rsidRDefault="00C764CD" w:rsidP="00C764CD">
      <w:pPr>
        <w:pStyle w:val="NoSpacing"/>
        <w:numPr>
          <w:ilvl w:val="0"/>
          <w:numId w:val="38"/>
        </w:numPr>
      </w:pPr>
      <w:r>
        <w:t>Data Access/Resource Access Layer</w:t>
      </w:r>
      <w:r w:rsidR="000960C4">
        <w:t xml:space="preserve"> – Data Accessors and Resource Accessors</w:t>
      </w:r>
    </w:p>
    <w:p w:rsidR="00C764CD" w:rsidRDefault="00C764CD" w:rsidP="00C764CD">
      <w:pPr>
        <w:pStyle w:val="NoSpacing"/>
        <w:numPr>
          <w:ilvl w:val="0"/>
          <w:numId w:val="38"/>
        </w:numPr>
      </w:pPr>
      <w:r>
        <w:t>Data/Resource Layer</w:t>
      </w:r>
      <w:r w:rsidR="000960C4">
        <w:t xml:space="preserve"> – Databases, files, ORMs, caches, images, external APIs, etc.</w:t>
      </w:r>
    </w:p>
    <w:p w:rsidR="00C764CD" w:rsidRDefault="00C764CD" w:rsidP="00B50B31">
      <w:pPr>
        <w:pStyle w:val="NoSpacing"/>
      </w:pPr>
    </w:p>
    <w:p w:rsidR="008A167C" w:rsidRDefault="00B50B31" w:rsidP="008A167C">
      <w:pPr>
        <w:pStyle w:val="NoSpacing"/>
      </w:pPr>
      <w:r>
        <w:t xml:space="preserve">Succinctly, calls between components can only be done downward, never upward.  Engines cannot call Managers.  Data Accessors can neither call Engines nor Managers.   This acts to simplify the interaction between the roles and prevents a tangled crisscross of call chain sequences that are time consuming to work with and add little or no value.  Please see this link for more, plus the links it contains – </w:t>
      </w:r>
      <w:hyperlink r:id="rId15" w:history="1">
        <w:r w:rsidRPr="00B50B31">
          <w:rPr>
            <w:rStyle w:val="Hyperlink"/>
          </w:rPr>
          <w:t>Stack Overflow -- What is meant by open and closed layered architectures?</w:t>
        </w:r>
      </w:hyperlink>
      <w:r>
        <w:t>.</w:t>
      </w:r>
      <w:r w:rsidR="00AF7115">
        <w:t xml:space="preserve">  </w:t>
      </w:r>
    </w:p>
    <w:p w:rsidR="00746652" w:rsidRDefault="00746652">
      <w:pPr>
        <w:rPr>
          <w:b/>
        </w:rPr>
      </w:pPr>
      <w:r>
        <w:rPr>
          <w:b/>
        </w:rPr>
        <w:br w:type="page"/>
      </w:r>
    </w:p>
    <w:p w:rsidR="00E7232A" w:rsidRDefault="00E7232A" w:rsidP="008A167C">
      <w:pPr>
        <w:pStyle w:val="NoSpacing"/>
      </w:pPr>
    </w:p>
    <w:p w:rsidR="00D462A8" w:rsidRDefault="00D462A8" w:rsidP="008A167C">
      <w:pPr>
        <w:pStyle w:val="NoSpacing"/>
      </w:pPr>
      <w:r>
        <w:t>For</w:t>
      </w:r>
      <w:r w:rsidR="001D7531">
        <w:t xml:space="preserve"> more</w:t>
      </w:r>
      <w:r>
        <w:t xml:space="preserve"> information about these roles and this architecture please see the document noted above, “</w:t>
      </w:r>
      <w:hyperlink r:id="rId16" w:history="1">
        <w:r w:rsidRPr="002352C6">
          <w:rPr>
            <w:rStyle w:val="Hyperlink"/>
          </w:rPr>
          <w:t>The IDesign Method:  Capturing Critical Design Aspects</w:t>
        </w:r>
      </w:hyperlink>
      <w:r>
        <w:t xml:space="preserve">”.  </w:t>
      </w:r>
    </w:p>
    <w:p w:rsidR="00D462A8" w:rsidRDefault="00D462A8" w:rsidP="008A167C">
      <w:pPr>
        <w:pStyle w:val="NoSpacing"/>
      </w:pPr>
    </w:p>
    <w:p w:rsidR="00E7232A" w:rsidRPr="00983185" w:rsidRDefault="00CE0D20" w:rsidP="008A167C">
      <w:pPr>
        <w:pStyle w:val="NoSpacing"/>
      </w:pPr>
      <w:r>
        <w:t>Finally, b</w:t>
      </w:r>
      <w:r w:rsidR="00E7232A">
        <w:t xml:space="preserve">oth Engines and Data Accessors/Resource Accessors are WCF services in .NET implementations that run “In Process” to the Manager that uses them via the NetPipeBinding.  </w:t>
      </w:r>
      <w:r w:rsidR="004B57E8">
        <w:t xml:space="preserve">Please see pages 71 – 74 of </w:t>
      </w:r>
      <w:r w:rsidR="004B57E8" w:rsidRPr="009A0BF3">
        <w:rPr>
          <w:u w:val="single"/>
        </w:rPr>
        <w:t>Programming WCF Services</w:t>
      </w:r>
      <w:r w:rsidR="004B57E8">
        <w:t>, 3</w:t>
      </w:r>
      <w:r w:rsidR="004B57E8" w:rsidRPr="004B57E8">
        <w:rPr>
          <w:vertAlign w:val="superscript"/>
        </w:rPr>
        <w:t>rd</w:t>
      </w:r>
      <w:r w:rsidR="004B57E8">
        <w:t xml:space="preserve"> Edition, by Juval Lowy for examples of how to do this using ServiceModelEx’s InProcFactory&lt;T&gt; class.</w:t>
      </w:r>
      <w:r w:rsidR="001D7531">
        <w:t xml:space="preserve">  Also see my blog article associated with the WcfNQueueSMEx2 code example for the advantages of running Engines and Data Accessors/Resource Accessors in process to Managers.</w:t>
      </w:r>
    </w:p>
    <w:p w:rsidR="008A167C" w:rsidRDefault="008A167C" w:rsidP="008A167C">
      <w:pPr>
        <w:pStyle w:val="NoSpacing"/>
        <w:rPr>
          <w:b/>
        </w:rPr>
      </w:pPr>
    </w:p>
    <w:p w:rsidR="00D77D47" w:rsidRDefault="00C90DCD" w:rsidP="008A167C">
      <w:pPr>
        <w:pStyle w:val="NoSpacing"/>
      </w:pPr>
      <w:r>
        <w:t>For</w:t>
      </w:r>
      <w:r w:rsidR="00D77D47">
        <w:t xml:space="preserve"> a great conceptual diagram of how all the above </w:t>
      </w:r>
      <w:r>
        <w:t>generally fit</w:t>
      </w:r>
      <w:r w:rsidR="001B42AC">
        <w:t>s</w:t>
      </w:r>
      <w:r w:rsidR="00D77D47">
        <w:t xml:space="preserve"> together please </w:t>
      </w:r>
      <w:r>
        <w:t>see</w:t>
      </w:r>
      <w:r w:rsidR="00D77D47">
        <w:t xml:space="preserve"> “Figure 1 – Modern Software Architecture” in Monty Montgomery’s article “</w:t>
      </w:r>
      <w:hyperlink r:id="rId17" w:history="1">
        <w:r w:rsidR="00D77D47" w:rsidRPr="00805741">
          <w:rPr>
            <w:rStyle w:val="Hyperlink"/>
          </w:rPr>
          <w:t>From the Field:  Escaping Appland</w:t>
        </w:r>
      </w:hyperlink>
      <w:r w:rsidR="00D77D47">
        <w:t xml:space="preserve">”.  </w:t>
      </w:r>
      <w:r w:rsidR="001D7531" w:rsidRPr="001D7531">
        <w:rPr>
          <w:b/>
        </w:rPr>
        <w:t>Please do not pass up this diagram</w:t>
      </w:r>
      <w:r w:rsidR="001D7531">
        <w:t xml:space="preserve">! </w:t>
      </w:r>
      <w:r w:rsidR="00D77D47">
        <w:t>Plus, this article provides a strong basis for understanding service orientation and i</w:t>
      </w:r>
      <w:r w:rsidR="00805741">
        <w:t>t</w:t>
      </w:r>
      <w:r w:rsidR="00D77D47">
        <w:t xml:space="preserve">s benefits in our current </w:t>
      </w:r>
      <w:r w:rsidR="00805741">
        <w:t xml:space="preserve">technology </w:t>
      </w:r>
      <w:r w:rsidR="00D77D47">
        <w:t>environment.</w:t>
      </w:r>
    </w:p>
    <w:p w:rsidR="00342F57" w:rsidRPr="00D77D47" w:rsidRDefault="00342F57" w:rsidP="008A167C">
      <w:pPr>
        <w:pStyle w:val="NoSpacing"/>
      </w:pPr>
    </w:p>
    <w:p w:rsidR="009B5293" w:rsidRPr="002E5C42" w:rsidRDefault="009B5293" w:rsidP="009B5293">
      <w:pPr>
        <w:pStyle w:val="Heading1"/>
      </w:pPr>
      <w:r>
        <w:t>WcfNQueueSMEx2 Solution Structure</w:t>
      </w:r>
      <w:r w:rsidR="00E33483">
        <w:t xml:space="preserve">  </w:t>
      </w:r>
    </w:p>
    <w:p w:rsidR="000960C4" w:rsidRPr="000960C4" w:rsidRDefault="000960C4" w:rsidP="009B5293">
      <w:pPr>
        <w:pStyle w:val="NoSpacing"/>
      </w:pPr>
    </w:p>
    <w:p w:rsidR="009B5293" w:rsidRDefault="009B5293" w:rsidP="009B5293">
      <w:pPr>
        <w:pStyle w:val="NoSpacing"/>
      </w:pPr>
      <w:r w:rsidRPr="009B5293">
        <w:t xml:space="preserve">Below </w:t>
      </w:r>
      <w:r>
        <w:t>are listed the folders, namespaces, and projects in the WcfNQueueSMEx2 solution, along with brief comments on their gene</w:t>
      </w:r>
      <w:r w:rsidR="0022105C">
        <w:t>ral purpose where appropriate.  For the most part the list focuses on</w:t>
      </w:r>
      <w:r>
        <w:t xml:space="preserve"> those </w:t>
      </w:r>
      <w:r w:rsidR="0022105C">
        <w:t xml:space="preserve">that </w:t>
      </w:r>
      <w:r w:rsidR="001D492D">
        <w:t xml:space="preserve">are actually in use in the solution.  </w:t>
      </w:r>
      <w:r w:rsidR="0022105C">
        <w:t xml:space="preserve">However for the area of infrastructure (iFX) </w:t>
      </w:r>
      <w:r w:rsidR="00E30CEF">
        <w:t>standard</w:t>
      </w:r>
      <w:r w:rsidR="0022105C">
        <w:t xml:space="preserve"> projects are listed that are not currently in the solution in order to give you a sense of what things this area contains.  </w:t>
      </w:r>
      <w:r w:rsidR="001D492D">
        <w:t>For a much broader view of possible namespaces please see the</w:t>
      </w:r>
      <w:r w:rsidR="001D492D" w:rsidRPr="001D492D">
        <w:t xml:space="preserve"> </w:t>
      </w:r>
      <w:r w:rsidR="001D492D">
        <w:t xml:space="preserve">IDesign </w:t>
      </w:r>
      <w:r w:rsidR="00CE0D20">
        <w:t>Alumni</w:t>
      </w:r>
      <w:r w:rsidR="001D492D">
        <w:t xml:space="preserve"> thread “Namespace convention and namespace best practices”.  </w:t>
      </w:r>
    </w:p>
    <w:p w:rsidR="00A72A37" w:rsidRDefault="00A72A37" w:rsidP="009B5293">
      <w:pPr>
        <w:pStyle w:val="NoSpacing"/>
      </w:pPr>
    </w:p>
    <w:p w:rsidR="00A72A37" w:rsidRDefault="001D7531" w:rsidP="00A72A37">
      <w:pPr>
        <w:pStyle w:val="NoSpacing"/>
      </w:pPr>
      <w:r>
        <w:t xml:space="preserve">“Contract” folders and projects contain service and data contracts shared by clients and services they consume.  </w:t>
      </w:r>
      <w:r w:rsidR="00A72A37">
        <w:t xml:space="preserve">“Common” </w:t>
      </w:r>
      <w:r>
        <w:t xml:space="preserve">folders and </w:t>
      </w:r>
      <w:r w:rsidR="00A72A37">
        <w:t xml:space="preserve">projects contain things used </w:t>
      </w:r>
      <w:r w:rsidR="00E30CEF">
        <w:t>across</w:t>
      </w:r>
      <w:r w:rsidR="00A72A37">
        <w:t xml:space="preserve"> multiple subsystems and/or by multiple components.</w:t>
      </w:r>
    </w:p>
    <w:p w:rsidR="009B5293" w:rsidRDefault="009B5293" w:rsidP="009B5293">
      <w:pPr>
        <w:pStyle w:val="NoSpacing"/>
      </w:pPr>
    </w:p>
    <w:p w:rsidR="0022105C" w:rsidRDefault="001D492D" w:rsidP="001D492D">
      <w:pPr>
        <w:pStyle w:val="NoSpacing"/>
      </w:pPr>
      <w:r w:rsidRPr="003C24E7">
        <w:rPr>
          <w:b/>
        </w:rPr>
        <w:t>Contract</w:t>
      </w:r>
      <w:r>
        <w:t xml:space="preserve"> folder – All in this folder are </w:t>
      </w:r>
      <w:r w:rsidR="00A77387">
        <w:t xml:space="preserve">contracts </w:t>
      </w:r>
      <w:r>
        <w:t>shared by client and server</w:t>
      </w:r>
      <w:r w:rsidR="00262068">
        <w:t xml:space="preserve"> code</w:t>
      </w:r>
      <w:r w:rsidR="00E30CEF">
        <w:t xml:space="preserve">.  Each project contains the </w:t>
      </w:r>
      <w:r w:rsidR="00E30CEF" w:rsidRPr="00AC6F38">
        <w:rPr>
          <w:u w:val="single"/>
        </w:rPr>
        <w:t>data and service contracts</w:t>
      </w:r>
      <w:r w:rsidR="00E30CEF">
        <w:t xml:space="preserve"> required by a manager and client code that calls it</w:t>
      </w:r>
    </w:p>
    <w:p w:rsidR="001D492D" w:rsidRDefault="001D492D" w:rsidP="001D492D">
      <w:pPr>
        <w:pStyle w:val="NoSpacing"/>
      </w:pPr>
      <w:r>
        <w:tab/>
        <w:t>GS.Contract.DataFeed – Project</w:t>
      </w:r>
    </w:p>
    <w:p w:rsidR="001D492D" w:rsidRDefault="001D492D" w:rsidP="001D492D">
      <w:pPr>
        <w:pStyle w:val="NoSpacing"/>
      </w:pPr>
      <w:r>
        <w:tab/>
      </w:r>
      <w:r w:rsidR="005830B8">
        <w:t>GS.Contract.Admin -- Project</w:t>
      </w:r>
      <w:r>
        <w:tab/>
      </w:r>
    </w:p>
    <w:p w:rsidR="00A52688" w:rsidRDefault="001D492D" w:rsidP="00A52688">
      <w:pPr>
        <w:pStyle w:val="NoSpacing"/>
      </w:pPr>
      <w:r>
        <w:tab/>
        <w:t>GS.Contract.SomeOtherManager – Project</w:t>
      </w:r>
      <w:r w:rsidR="00A52688">
        <w:t xml:space="preserve"> </w:t>
      </w:r>
      <w:r w:rsidR="00262068">
        <w:t xml:space="preserve">             </w:t>
      </w:r>
    </w:p>
    <w:p w:rsidR="001D492D" w:rsidRDefault="001D492D" w:rsidP="001D492D">
      <w:pPr>
        <w:pStyle w:val="NoSpacing"/>
        <w:ind w:left="720" w:firstLine="720"/>
      </w:pPr>
    </w:p>
    <w:p w:rsidR="001D492D" w:rsidRDefault="001D492D" w:rsidP="001D492D">
      <w:pPr>
        <w:pStyle w:val="NoSpacing"/>
      </w:pPr>
      <w:r w:rsidRPr="003C24E7">
        <w:rPr>
          <w:b/>
        </w:rPr>
        <w:t>DataAccess</w:t>
      </w:r>
      <w:r>
        <w:t xml:space="preserve"> folder – All in this folder are concerned with providing Data Access</w:t>
      </w:r>
      <w:r w:rsidR="00AC6F38">
        <w:t xml:space="preserve"> or Resource Access</w:t>
      </w:r>
    </w:p>
    <w:p w:rsidR="00AC6F38" w:rsidRDefault="001D492D" w:rsidP="001D492D">
      <w:pPr>
        <w:pStyle w:val="NoSpacing"/>
        <w:ind w:left="720"/>
      </w:pPr>
      <w:r>
        <w:t>GS.DataAccess.Common – Project</w:t>
      </w:r>
    </w:p>
    <w:p w:rsidR="001D492D" w:rsidRDefault="00A77387" w:rsidP="005830B8">
      <w:pPr>
        <w:pStyle w:val="NoSpacing"/>
        <w:ind w:left="1440"/>
      </w:pPr>
      <w:r>
        <w:t>C</w:t>
      </w:r>
      <w:r w:rsidR="00AC6F38">
        <w:t xml:space="preserve">ontains Data Access </w:t>
      </w:r>
      <w:r w:rsidR="00AC6F38" w:rsidRPr="00262068">
        <w:rPr>
          <w:u w:val="single"/>
        </w:rPr>
        <w:t>service</w:t>
      </w:r>
      <w:r w:rsidR="00A52688" w:rsidRPr="00262068">
        <w:rPr>
          <w:u w:val="single"/>
        </w:rPr>
        <w:t xml:space="preserve"> and data</w:t>
      </w:r>
      <w:r w:rsidR="00AC6F38" w:rsidRPr="00262068">
        <w:rPr>
          <w:u w:val="single"/>
        </w:rPr>
        <w:t xml:space="preserve"> </w:t>
      </w:r>
      <w:r w:rsidR="001D492D" w:rsidRPr="00262068">
        <w:rPr>
          <w:u w:val="single"/>
        </w:rPr>
        <w:t>contracts</w:t>
      </w:r>
      <w:r w:rsidR="00AC6F38">
        <w:t>,</w:t>
      </w:r>
      <w:r w:rsidR="001D492D">
        <w:t xml:space="preserve"> </w:t>
      </w:r>
      <w:r w:rsidR="00AC6F38">
        <w:t xml:space="preserve">their </w:t>
      </w:r>
      <w:r w:rsidR="00AC6F38" w:rsidRPr="00262068">
        <w:rPr>
          <w:u w:val="single"/>
        </w:rPr>
        <w:t>implementations</w:t>
      </w:r>
      <w:r w:rsidR="00262068" w:rsidRPr="00262068">
        <w:t xml:space="preserve"> </w:t>
      </w:r>
      <w:r w:rsidR="00AC6F38">
        <w:t xml:space="preserve">and </w:t>
      </w:r>
      <w:r w:rsidR="00AC6F38" w:rsidRPr="00262068">
        <w:rPr>
          <w:u w:val="single"/>
        </w:rPr>
        <w:t>supporting classes</w:t>
      </w:r>
      <w:r w:rsidR="00262068">
        <w:t xml:space="preserve"> that are </w:t>
      </w:r>
      <w:r w:rsidR="001D492D" w:rsidRPr="00E30CEF">
        <w:rPr>
          <w:b/>
        </w:rPr>
        <w:t xml:space="preserve">used </w:t>
      </w:r>
      <w:r w:rsidR="003C24E7" w:rsidRPr="00E30CEF">
        <w:rPr>
          <w:b/>
        </w:rPr>
        <w:t>by multiple Engines or Managers</w:t>
      </w:r>
      <w:r>
        <w:t xml:space="preserve">, i.e. components that can call </w:t>
      </w:r>
      <w:r w:rsidR="00A8789F">
        <w:t xml:space="preserve">Resource or </w:t>
      </w:r>
      <w:r>
        <w:t>Data Accessors</w:t>
      </w:r>
      <w:r w:rsidR="001D492D">
        <w:tab/>
      </w:r>
    </w:p>
    <w:p w:rsidR="003C24E7" w:rsidRDefault="00C142AC" w:rsidP="001D492D">
      <w:pPr>
        <w:pStyle w:val="NoSpacing"/>
        <w:ind w:left="720"/>
      </w:pPr>
      <w:r>
        <w:t>GS.</w:t>
      </w:r>
      <w:r w:rsidR="001D492D">
        <w:t xml:space="preserve">DataAccess.FeedAdmin – Project  </w:t>
      </w:r>
    </w:p>
    <w:p w:rsidR="00262068" w:rsidRDefault="00262068" w:rsidP="003C24E7">
      <w:pPr>
        <w:pStyle w:val="NoSpacing"/>
        <w:ind w:left="1440"/>
      </w:pPr>
      <w:r>
        <w:t xml:space="preserve">Contains Data Access </w:t>
      </w:r>
      <w:r w:rsidRPr="00262068">
        <w:rPr>
          <w:u w:val="single"/>
        </w:rPr>
        <w:t>service and data contracts</w:t>
      </w:r>
      <w:r>
        <w:t xml:space="preserve">, their </w:t>
      </w:r>
      <w:r w:rsidRPr="00262068">
        <w:rPr>
          <w:u w:val="single"/>
        </w:rPr>
        <w:t>implementations</w:t>
      </w:r>
      <w:r w:rsidRPr="00262068">
        <w:t xml:space="preserve"> </w:t>
      </w:r>
      <w:r>
        <w:t xml:space="preserve">and </w:t>
      </w:r>
      <w:r w:rsidRPr="00262068">
        <w:rPr>
          <w:u w:val="single"/>
        </w:rPr>
        <w:t>supporting classes</w:t>
      </w:r>
      <w:r w:rsidR="00A8789F">
        <w:t xml:space="preserve"> </w:t>
      </w:r>
      <w:r>
        <w:t xml:space="preserve">relating to the Administration of Data Feeds (not to the ingested data) used only </w:t>
      </w:r>
      <w:r w:rsidR="00E30CEF">
        <w:t>by</w:t>
      </w:r>
      <w:r>
        <w:t xml:space="preserve"> the </w:t>
      </w:r>
      <w:r w:rsidR="00E30CEF">
        <w:t>IFeedAdmin service contract</w:t>
      </w:r>
      <w:r>
        <w:t>.  If this usage changes</w:t>
      </w:r>
      <w:r w:rsidR="00E30CEF">
        <w:t xml:space="preserve"> by it being u</w:t>
      </w:r>
      <w:r>
        <w:t>sed by Managers or Engines in multiple subsystems, then the files need to be moved to GS.DataAccess.Common.</w:t>
      </w:r>
      <w:r w:rsidR="00E30CEF">
        <w:t xml:space="preserve">  Note the AdminDA</w:t>
      </w:r>
      <w:r w:rsidR="00A8789F">
        <w:t xml:space="preserve"> microservice</w:t>
      </w:r>
      <w:r w:rsidR="00E30CEF">
        <w:t xml:space="preserve"> that implements IFeedAdmin resides in GS.DataAccess.Common since it is used by multiple subsystems.</w:t>
      </w:r>
    </w:p>
    <w:p w:rsidR="00D462A8" w:rsidRDefault="00D462A8" w:rsidP="001D492D">
      <w:pPr>
        <w:pStyle w:val="NoSpacing"/>
        <w:rPr>
          <w:b/>
        </w:rPr>
      </w:pPr>
    </w:p>
    <w:p w:rsidR="0022105C" w:rsidRDefault="001D492D" w:rsidP="001D492D">
      <w:pPr>
        <w:pStyle w:val="NoSpacing"/>
      </w:pPr>
      <w:r w:rsidRPr="003C24E7">
        <w:rPr>
          <w:b/>
        </w:rPr>
        <w:t>Engine</w:t>
      </w:r>
      <w:r>
        <w:t xml:space="preserve"> folder</w:t>
      </w:r>
      <w:r w:rsidR="00C142AC">
        <w:t xml:space="preserve"> – Contains things</w:t>
      </w:r>
      <w:r w:rsidR="0022105C">
        <w:t xml:space="preserve"> strictly pertaining to Engines</w:t>
      </w:r>
    </w:p>
    <w:p w:rsidR="001D492D" w:rsidRDefault="001D492D" w:rsidP="001D492D">
      <w:pPr>
        <w:pStyle w:val="NoSpacing"/>
      </w:pPr>
      <w:r>
        <w:tab/>
      </w:r>
      <w:r w:rsidR="00C142AC">
        <w:t>GS.</w:t>
      </w:r>
      <w:r>
        <w:t>Engine.Common – Project</w:t>
      </w:r>
    </w:p>
    <w:p w:rsidR="0022105C" w:rsidRDefault="0022105C" w:rsidP="00E30CEF">
      <w:pPr>
        <w:pStyle w:val="NoSpacing"/>
        <w:ind w:left="1440"/>
      </w:pPr>
      <w:r>
        <w:t xml:space="preserve">Contains Data Access </w:t>
      </w:r>
      <w:r w:rsidRPr="00262068">
        <w:rPr>
          <w:u w:val="single"/>
        </w:rPr>
        <w:t>service and data contracts</w:t>
      </w:r>
      <w:r>
        <w:t xml:space="preserve">, their </w:t>
      </w:r>
      <w:r w:rsidRPr="00262068">
        <w:rPr>
          <w:u w:val="single"/>
        </w:rPr>
        <w:t>implementations</w:t>
      </w:r>
      <w:r w:rsidRPr="00262068">
        <w:t xml:space="preserve"> </w:t>
      </w:r>
      <w:r>
        <w:t xml:space="preserve">and </w:t>
      </w:r>
      <w:r w:rsidRPr="00262068">
        <w:rPr>
          <w:u w:val="single"/>
        </w:rPr>
        <w:t>supporting classes</w:t>
      </w:r>
      <w:r>
        <w:t xml:space="preserve"> that are </w:t>
      </w:r>
      <w:r w:rsidRPr="00E30CEF">
        <w:rPr>
          <w:b/>
        </w:rPr>
        <w:t>used by multiple Managers</w:t>
      </w:r>
      <w:r>
        <w:t>, i.e. components that can call Engines</w:t>
      </w:r>
    </w:p>
    <w:p w:rsidR="00A52688" w:rsidRDefault="00A52688" w:rsidP="00A52688">
      <w:pPr>
        <w:pStyle w:val="NoSpacing"/>
      </w:pPr>
      <w:r>
        <w:tab/>
        <w:t>GS.Engine.Some</w:t>
      </w:r>
      <w:r w:rsidR="0088238F">
        <w:t>thing</w:t>
      </w:r>
      <w:r>
        <w:t xml:space="preserve"> – Project  </w:t>
      </w:r>
      <w:r w:rsidR="000310C1">
        <w:t xml:space="preserve">                        </w:t>
      </w:r>
    </w:p>
    <w:p w:rsidR="0088238F" w:rsidRDefault="00A52688" w:rsidP="00D462A8">
      <w:pPr>
        <w:pStyle w:val="NoSpacing"/>
        <w:ind w:left="1440"/>
      </w:pPr>
      <w:r>
        <w:t>Contains</w:t>
      </w:r>
      <w:r w:rsidR="0088238F">
        <w:t xml:space="preserve"> the SomeDataAnalysis</w:t>
      </w:r>
      <w:r>
        <w:t xml:space="preserve">Engine </w:t>
      </w:r>
      <w:r w:rsidRPr="0088238F">
        <w:rPr>
          <w:u w:val="single"/>
        </w:rPr>
        <w:t>service and data contracts</w:t>
      </w:r>
      <w:r>
        <w:t xml:space="preserve">, their implementations, and supporting classes, etc. relating to this Engine that are used only within the </w:t>
      </w:r>
      <w:r w:rsidR="0088238F">
        <w:t>“Some”</w:t>
      </w:r>
      <w:r>
        <w:t xml:space="preserve"> subsystem.  If this usage changes, i.e. it becomes used by Managers in multiple subsystems, then the files need to be moved to GS.Engines.Common.</w:t>
      </w:r>
    </w:p>
    <w:p w:rsidR="001D492D" w:rsidRDefault="00D462A8" w:rsidP="00342F57">
      <w:r>
        <w:rPr>
          <w:b/>
        </w:rPr>
        <w:br w:type="page"/>
      </w:r>
      <w:r w:rsidR="001D492D" w:rsidRPr="003C24E7">
        <w:rPr>
          <w:b/>
        </w:rPr>
        <w:t>Explore</w:t>
      </w:r>
      <w:r w:rsidR="001D492D">
        <w:t xml:space="preserve"> folder</w:t>
      </w:r>
      <w:r w:rsidR="00C142AC">
        <w:t xml:space="preserve"> – Contains exploratory coding</w:t>
      </w:r>
      <w:r w:rsidR="0022105C">
        <w:t xml:space="preserve"> projects and learning projects</w:t>
      </w:r>
    </w:p>
    <w:p w:rsidR="00C142AC" w:rsidRDefault="00C142AC" w:rsidP="001D492D">
      <w:pPr>
        <w:pStyle w:val="NoSpacing"/>
      </w:pPr>
      <w:r>
        <w:tab/>
        <w:t xml:space="preserve">GS.Explore.AzTableStorageApp </w:t>
      </w:r>
      <w:r w:rsidR="00A52688">
        <w:t>–</w:t>
      </w:r>
      <w:r>
        <w:t xml:space="preserve"> Project</w:t>
      </w:r>
    </w:p>
    <w:p w:rsidR="001D492D" w:rsidRDefault="00A52688" w:rsidP="001D492D">
      <w:pPr>
        <w:pStyle w:val="NoSpacing"/>
      </w:pPr>
      <w:r>
        <w:tab/>
      </w:r>
      <w:r>
        <w:tab/>
        <w:t xml:space="preserve">Contains all files associated with this </w:t>
      </w:r>
      <w:r w:rsidR="0088238F">
        <w:t xml:space="preserve">exploratory coding </w:t>
      </w:r>
      <w:r w:rsidR="00A8789F">
        <w:t>app</w:t>
      </w:r>
    </w:p>
    <w:p w:rsidR="0088238F" w:rsidRDefault="0088238F" w:rsidP="001D492D">
      <w:pPr>
        <w:pStyle w:val="NoSpacing"/>
        <w:rPr>
          <w:b/>
        </w:rPr>
      </w:pPr>
    </w:p>
    <w:p w:rsidR="001D492D" w:rsidRDefault="003C24E7" w:rsidP="001D492D">
      <w:pPr>
        <w:pStyle w:val="NoSpacing"/>
      </w:pPr>
      <w:r w:rsidRPr="003C24E7">
        <w:rPr>
          <w:b/>
        </w:rPr>
        <w:t>iFX</w:t>
      </w:r>
      <w:r w:rsidR="001D492D">
        <w:t xml:space="preserve"> folder</w:t>
      </w:r>
      <w:r>
        <w:t xml:space="preserve"> – iFX means Infrastructure</w:t>
      </w:r>
      <w:r w:rsidR="00C142AC">
        <w:t xml:space="preserve">.  Things in the infrastructure do not know about nor contain business logic.  </w:t>
      </w:r>
      <w:r w:rsidR="000F2F03">
        <w:t>Generally the infrastructure is a collection of small to medium</w:t>
      </w:r>
      <w:r w:rsidR="00F065BF">
        <w:t>-</w:t>
      </w:r>
      <w:r w:rsidR="000F2F03">
        <w:t xml:space="preserve"> sized rather independent productivity aids, rather than being a large integrated framework. </w:t>
      </w:r>
      <w:r w:rsidR="00C142AC">
        <w:t xml:space="preserve">Below are </w:t>
      </w:r>
      <w:r w:rsidR="00C142AC" w:rsidRPr="0088238F">
        <w:rPr>
          <w:b/>
        </w:rPr>
        <w:t>first listed the standard infrastructure projects</w:t>
      </w:r>
      <w:r w:rsidR="00C142AC">
        <w:t>, followed by those unique to the WcfNQueueSMEx2 solution.</w:t>
      </w:r>
    </w:p>
    <w:p w:rsidR="001D492D" w:rsidRDefault="001D492D" w:rsidP="001D492D">
      <w:pPr>
        <w:pStyle w:val="NoSpacing"/>
        <w:ind w:left="720"/>
      </w:pPr>
      <w:r>
        <w:t>GS.iFX.Common project</w:t>
      </w:r>
    </w:p>
    <w:p w:rsidR="001D492D" w:rsidRDefault="00A72A37" w:rsidP="001D492D">
      <w:pPr>
        <w:pStyle w:val="NoSpacing"/>
        <w:ind w:left="720"/>
      </w:pPr>
      <w:r>
        <w:tab/>
        <w:t>Contains non-business logic, non-contract infrastructure items shared by both the client and server</w:t>
      </w:r>
    </w:p>
    <w:p w:rsidR="001D492D" w:rsidRDefault="001D492D" w:rsidP="001D492D">
      <w:pPr>
        <w:pStyle w:val="NoSpacing"/>
        <w:ind w:left="720"/>
      </w:pPr>
      <w:r>
        <w:t>GS.iFX.Contract project</w:t>
      </w:r>
    </w:p>
    <w:p w:rsidR="001D492D" w:rsidRDefault="00A72A37" w:rsidP="0088238F">
      <w:pPr>
        <w:pStyle w:val="NoSpacing"/>
        <w:ind w:left="1440"/>
      </w:pPr>
      <w:r>
        <w:t xml:space="preserve">Contains non-business logic infrastructure </w:t>
      </w:r>
      <w:r w:rsidR="0088238F">
        <w:t xml:space="preserve">data and service </w:t>
      </w:r>
      <w:r>
        <w:t>contracts shared by both the client and serve</w:t>
      </w:r>
      <w:r w:rsidR="0088238F">
        <w:t>r</w:t>
      </w:r>
    </w:p>
    <w:p w:rsidR="001D492D" w:rsidRDefault="001D492D" w:rsidP="001D492D">
      <w:pPr>
        <w:pStyle w:val="NoSpacing"/>
        <w:ind w:left="720"/>
      </w:pPr>
      <w:r>
        <w:t>GS.iFX.Core project</w:t>
      </w:r>
    </w:p>
    <w:p w:rsidR="001D492D" w:rsidRDefault="00A72A37" w:rsidP="00A72A37">
      <w:pPr>
        <w:pStyle w:val="NoSpacing"/>
        <w:ind w:left="1440"/>
      </w:pPr>
      <w:r>
        <w:t>Contains non-business logic infrastructure items shared on the server</w:t>
      </w:r>
      <w:r w:rsidR="0088238F">
        <w:t xml:space="preserve"> only -- </w:t>
      </w:r>
      <w:r>
        <w:t>like caches, configuration helpers, mappers, security items, and non-service-oriented helpers</w:t>
      </w:r>
    </w:p>
    <w:p w:rsidR="001D492D" w:rsidRDefault="001D492D" w:rsidP="001D492D">
      <w:pPr>
        <w:pStyle w:val="NoSpacing"/>
        <w:ind w:left="720"/>
      </w:pPr>
      <w:r>
        <w:t>GS.iFX.Host</w:t>
      </w:r>
      <w:r w:rsidRPr="00907F39">
        <w:t xml:space="preserve"> </w:t>
      </w:r>
      <w:r>
        <w:t>project</w:t>
      </w:r>
    </w:p>
    <w:p w:rsidR="001D492D" w:rsidRDefault="00A52688" w:rsidP="00A72A37">
      <w:pPr>
        <w:pStyle w:val="NoSpacing"/>
        <w:ind w:left="1440"/>
      </w:pPr>
      <w:r>
        <w:t>Not used.  See the folder iFX.Host for hosting.</w:t>
      </w:r>
      <w:r w:rsidR="0022105C">
        <w:t xml:space="preserve">  A separate folder is used since hosting is done on</w:t>
      </w:r>
      <w:r w:rsidR="00A72A37">
        <w:t>-</w:t>
      </w:r>
      <w:r w:rsidR="0022105C">
        <w:t>prem and in the cloud, each requiring separate projects</w:t>
      </w:r>
    </w:p>
    <w:p w:rsidR="001D492D" w:rsidRDefault="001D492D" w:rsidP="001D492D">
      <w:pPr>
        <w:pStyle w:val="NoSpacing"/>
        <w:ind w:left="720"/>
      </w:pPr>
      <w:r>
        <w:t>GS.iFX.Proxy</w:t>
      </w:r>
      <w:r w:rsidRPr="00907F39">
        <w:t xml:space="preserve"> </w:t>
      </w:r>
      <w:r>
        <w:t>project</w:t>
      </w:r>
    </w:p>
    <w:p w:rsidR="001D492D" w:rsidRDefault="004147E2" w:rsidP="004147E2">
      <w:pPr>
        <w:pStyle w:val="NoSpacing"/>
        <w:ind w:left="720" w:firstLine="720"/>
      </w:pPr>
      <w:r>
        <w:t>Contains non-business logic infrastructure items that are proxy related</w:t>
      </w:r>
    </w:p>
    <w:p w:rsidR="001D492D" w:rsidRDefault="001D492D" w:rsidP="001D492D">
      <w:pPr>
        <w:pStyle w:val="NoSpacing"/>
        <w:ind w:left="720"/>
      </w:pPr>
      <w:r>
        <w:t>GS.iFX.Service</w:t>
      </w:r>
      <w:r w:rsidRPr="00907F39">
        <w:t xml:space="preserve"> </w:t>
      </w:r>
      <w:r>
        <w:t>project</w:t>
      </w:r>
    </w:p>
    <w:p w:rsidR="001D492D" w:rsidRDefault="004147E2" w:rsidP="004147E2">
      <w:pPr>
        <w:pStyle w:val="NoSpacing"/>
        <w:ind w:left="720" w:firstLine="720"/>
      </w:pPr>
      <w:r>
        <w:t>Contains non-business logic infrastructure items that are service-oriented and shared on the server</w:t>
      </w:r>
    </w:p>
    <w:p w:rsidR="001D492D" w:rsidRDefault="001D492D" w:rsidP="001D492D">
      <w:pPr>
        <w:pStyle w:val="NoSpacing"/>
        <w:ind w:left="720"/>
      </w:pPr>
      <w:r>
        <w:t>GS.iFX.Test</w:t>
      </w:r>
      <w:r w:rsidRPr="00907F39">
        <w:t xml:space="preserve"> </w:t>
      </w:r>
      <w:r>
        <w:t>project</w:t>
      </w:r>
    </w:p>
    <w:p w:rsidR="00A52688" w:rsidRDefault="00A52688" w:rsidP="001D492D">
      <w:pPr>
        <w:pStyle w:val="NoSpacing"/>
        <w:ind w:left="720"/>
      </w:pPr>
      <w:r>
        <w:tab/>
        <w:t>Contains testing code for unit and integration tests</w:t>
      </w:r>
    </w:p>
    <w:p w:rsidR="00C142AC" w:rsidRDefault="00C142AC" w:rsidP="001D492D">
      <w:pPr>
        <w:pStyle w:val="NoSpacing"/>
        <w:ind w:left="720"/>
      </w:pPr>
    </w:p>
    <w:p w:rsidR="00A52688" w:rsidRDefault="00C142AC" w:rsidP="001D492D">
      <w:pPr>
        <w:pStyle w:val="NoSpacing"/>
        <w:ind w:left="720"/>
      </w:pPr>
      <w:r>
        <w:t>GS.iFX.Azure project</w:t>
      </w:r>
    </w:p>
    <w:p w:rsidR="00A52688" w:rsidRDefault="0088238F" w:rsidP="004147E2">
      <w:pPr>
        <w:pStyle w:val="NoSpacing"/>
        <w:ind w:left="1440"/>
      </w:pPr>
      <w:r>
        <w:t>This c</w:t>
      </w:r>
      <w:r w:rsidR="00C142AC">
        <w:t xml:space="preserve">ontains Azure helpers </w:t>
      </w:r>
      <w:r w:rsidR="0022105C">
        <w:t>having</w:t>
      </w:r>
      <w:r w:rsidR="00C142AC">
        <w:t xml:space="preserve"> no business logic.</w:t>
      </w:r>
      <w:r w:rsidR="0082275D">
        <w:t xml:space="preserve">  There could also be separate projects for other clouds for composability</w:t>
      </w:r>
    </w:p>
    <w:p w:rsidR="00A52688" w:rsidRDefault="00A52688" w:rsidP="001D492D">
      <w:pPr>
        <w:pStyle w:val="NoSpacing"/>
        <w:ind w:left="720"/>
      </w:pPr>
      <w:r>
        <w:t xml:space="preserve">GS.iFX.TestUI project </w:t>
      </w:r>
    </w:p>
    <w:p w:rsidR="001D492D" w:rsidRDefault="00A52688" w:rsidP="004147E2">
      <w:pPr>
        <w:pStyle w:val="NoSpacing"/>
        <w:ind w:left="1440"/>
      </w:pPr>
      <w:r>
        <w:t>Contains UI helper classes for test clients and also for trace and console writ</w:t>
      </w:r>
      <w:r w:rsidR="0088238F">
        <w:t>elines used in server side code</w:t>
      </w:r>
    </w:p>
    <w:p w:rsidR="007C2200" w:rsidRDefault="007C2200" w:rsidP="001D492D">
      <w:pPr>
        <w:pStyle w:val="NoSpacing"/>
      </w:pPr>
      <w:r>
        <w:rPr>
          <w:b/>
        </w:rPr>
        <w:t>iFX.Host</w:t>
      </w:r>
      <w:r>
        <w:t xml:space="preserve"> folder</w:t>
      </w:r>
    </w:p>
    <w:p w:rsidR="0088238F" w:rsidRDefault="0088238F" w:rsidP="0088238F">
      <w:pPr>
        <w:pStyle w:val="NoSpacing"/>
        <w:ind w:firstLine="720"/>
      </w:pPr>
      <w:r>
        <w:t>GS.iFx.Host.AdminNSomeServiceHost – Project</w:t>
      </w:r>
    </w:p>
    <w:p w:rsidR="0088238F" w:rsidRDefault="0088238F" w:rsidP="0088238F">
      <w:pPr>
        <w:pStyle w:val="NoSpacing"/>
        <w:ind w:left="1440"/>
      </w:pPr>
      <w:r>
        <w:t>Contains WCF service host and its supporting items for the Admin and “Some” subsystems combined, running in a console app or a Windows Service</w:t>
      </w:r>
      <w:r w:rsidR="007C2200">
        <w:tab/>
      </w:r>
    </w:p>
    <w:p w:rsidR="007C2200" w:rsidRDefault="007C2200" w:rsidP="0088238F">
      <w:pPr>
        <w:pStyle w:val="NoSpacing"/>
        <w:ind w:firstLine="720"/>
      </w:pPr>
      <w:r>
        <w:t>GS.iFX.Host.Azure.DataFeedSvc – Project</w:t>
      </w:r>
    </w:p>
    <w:p w:rsidR="000310C1" w:rsidRDefault="000310C1" w:rsidP="000310C1">
      <w:pPr>
        <w:pStyle w:val="NoSpacing"/>
        <w:ind w:left="720" w:firstLine="720"/>
      </w:pPr>
      <w:r>
        <w:t>Contains items required to host a WorkerRole in Azure for the DataFeed subsystem</w:t>
      </w:r>
    </w:p>
    <w:p w:rsidR="007C2200" w:rsidRDefault="007C2200" w:rsidP="001D492D">
      <w:pPr>
        <w:pStyle w:val="NoSpacing"/>
      </w:pPr>
      <w:r>
        <w:tab/>
        <w:t>GS.iFX.Host.Azure.DataFeedWorker – Project</w:t>
      </w:r>
    </w:p>
    <w:p w:rsidR="000310C1" w:rsidRDefault="000310C1" w:rsidP="000310C1">
      <w:pPr>
        <w:pStyle w:val="NoSpacing"/>
        <w:ind w:left="720" w:firstLine="720"/>
      </w:pPr>
      <w:r>
        <w:t>Contains WorkerRole and its supporting items for the DataFeed subsystem running in Azure</w:t>
      </w:r>
    </w:p>
    <w:p w:rsidR="007C2200" w:rsidRDefault="007C2200" w:rsidP="001D492D">
      <w:pPr>
        <w:pStyle w:val="NoSpacing"/>
      </w:pPr>
      <w:r>
        <w:tab/>
        <w:t xml:space="preserve">GS.iFx.Host.DataFeedServiceHost </w:t>
      </w:r>
      <w:r w:rsidR="000310C1">
        <w:t>–</w:t>
      </w:r>
      <w:r>
        <w:t xml:space="preserve"> Project</w:t>
      </w:r>
    </w:p>
    <w:p w:rsidR="000310C1" w:rsidRDefault="000310C1" w:rsidP="000310C1">
      <w:pPr>
        <w:pStyle w:val="NoSpacing"/>
        <w:ind w:left="720" w:firstLine="720"/>
      </w:pPr>
      <w:r>
        <w:t xml:space="preserve">Contains WCF service host and its supporting items for the DataFeed subsystem running in a </w:t>
      </w:r>
    </w:p>
    <w:p w:rsidR="007C2200" w:rsidRDefault="0088238F" w:rsidP="0088238F">
      <w:pPr>
        <w:pStyle w:val="NoSpacing"/>
        <w:ind w:left="720" w:firstLine="720"/>
      </w:pPr>
      <w:r>
        <w:t>c</w:t>
      </w:r>
      <w:r w:rsidR="000310C1">
        <w:t>onsole</w:t>
      </w:r>
      <w:r>
        <w:t xml:space="preserve"> app or a Windows Service</w:t>
      </w:r>
    </w:p>
    <w:p w:rsidR="00D462A8" w:rsidRDefault="00D462A8">
      <w:pPr>
        <w:rPr>
          <w:b/>
        </w:rPr>
      </w:pPr>
      <w:r>
        <w:rPr>
          <w:b/>
        </w:rPr>
        <w:br w:type="page"/>
      </w:r>
    </w:p>
    <w:p w:rsidR="001D492D" w:rsidRPr="004147E2" w:rsidRDefault="001D492D" w:rsidP="001D492D">
      <w:pPr>
        <w:pStyle w:val="NoSpacing"/>
      </w:pPr>
      <w:r w:rsidRPr="003C24E7">
        <w:rPr>
          <w:b/>
        </w:rPr>
        <w:t>Manager</w:t>
      </w:r>
      <w:r w:rsidR="004147E2">
        <w:t xml:space="preserve"> folder</w:t>
      </w:r>
    </w:p>
    <w:p w:rsidR="004147E2" w:rsidRDefault="001D492D" w:rsidP="0088238F">
      <w:pPr>
        <w:pStyle w:val="NoSpacing"/>
        <w:ind w:left="720"/>
      </w:pPr>
      <w:r>
        <w:t xml:space="preserve">No common </w:t>
      </w:r>
      <w:r w:rsidR="0088238F">
        <w:t xml:space="preserve">project is required </w:t>
      </w:r>
      <w:r>
        <w:t>here</w:t>
      </w:r>
      <w:r w:rsidR="004147E2">
        <w:t xml:space="preserve"> since </w:t>
      </w:r>
      <w:r w:rsidR="0088238F">
        <w:t xml:space="preserve">the </w:t>
      </w:r>
      <w:r w:rsidR="006A07FD">
        <w:t xml:space="preserve">Manager’s </w:t>
      </w:r>
      <w:r w:rsidR="0088238F">
        <w:t>service and data contracts are in the above Contracts folder so they can be shared by clients and the service herein.</w:t>
      </w:r>
    </w:p>
    <w:p w:rsidR="0088238F" w:rsidRDefault="0088238F" w:rsidP="0088238F">
      <w:pPr>
        <w:pStyle w:val="NoSpacing"/>
        <w:ind w:left="720"/>
      </w:pPr>
      <w:r>
        <w:t xml:space="preserve">GS.Manager.AdminManager – Project  </w:t>
      </w:r>
    </w:p>
    <w:p w:rsidR="0088238F" w:rsidRDefault="0088238F" w:rsidP="006A07FD">
      <w:pPr>
        <w:pStyle w:val="NoSpacing"/>
        <w:ind w:left="1440"/>
      </w:pPr>
      <w:r>
        <w:t xml:space="preserve">Contains </w:t>
      </w:r>
      <w:r w:rsidR="006A07FD">
        <w:t xml:space="preserve">the </w:t>
      </w:r>
      <w:r w:rsidRPr="006A07FD">
        <w:t>AdminManager implementation and</w:t>
      </w:r>
      <w:r w:rsidR="006A07FD">
        <w:t xml:space="preserve"> any </w:t>
      </w:r>
      <w:r w:rsidRPr="006A07FD">
        <w:t>supporting classes that are used only within the Admin</w:t>
      </w:r>
      <w:r w:rsidR="006A07FD">
        <w:t xml:space="preserve"> subsystem</w:t>
      </w:r>
    </w:p>
    <w:p w:rsidR="004147E2" w:rsidRDefault="004147E2" w:rsidP="004147E2">
      <w:pPr>
        <w:pStyle w:val="NoSpacing"/>
        <w:ind w:left="720"/>
      </w:pPr>
      <w:r>
        <w:t xml:space="preserve">GS.Manager.DataFeedManager – Project  </w:t>
      </w:r>
    </w:p>
    <w:p w:rsidR="006A07FD" w:rsidRPr="006A07FD" w:rsidRDefault="006A07FD" w:rsidP="006A07FD">
      <w:pPr>
        <w:pStyle w:val="NoSpacing"/>
        <w:ind w:left="1440"/>
      </w:pPr>
      <w:r>
        <w:t>Contains the DataFeed</w:t>
      </w:r>
      <w:r w:rsidRPr="006A07FD">
        <w:t>Manager implementation and</w:t>
      </w:r>
      <w:r>
        <w:t xml:space="preserve"> any </w:t>
      </w:r>
      <w:r w:rsidRPr="006A07FD">
        <w:t xml:space="preserve">supporting classes that are used only within the </w:t>
      </w:r>
      <w:r>
        <w:t xml:space="preserve"> DataFeed subsystem</w:t>
      </w:r>
    </w:p>
    <w:p w:rsidR="000310C1" w:rsidRDefault="004147E2" w:rsidP="006A07FD">
      <w:pPr>
        <w:pStyle w:val="NoSpacing"/>
        <w:ind w:firstLine="720"/>
      </w:pPr>
      <w:r>
        <w:t xml:space="preserve">GS.Manager.SomeManager – Project  </w:t>
      </w:r>
      <w:r w:rsidR="000310C1">
        <w:t xml:space="preserve">                  </w:t>
      </w:r>
    </w:p>
    <w:p w:rsidR="006A07FD" w:rsidRDefault="006A07FD" w:rsidP="006A07FD">
      <w:pPr>
        <w:pStyle w:val="NoSpacing"/>
        <w:ind w:left="1440"/>
      </w:pPr>
      <w:r>
        <w:t>Contains the Some</w:t>
      </w:r>
      <w:r w:rsidRPr="006A07FD">
        <w:t>Manager implementation and</w:t>
      </w:r>
      <w:r>
        <w:t xml:space="preserve"> any </w:t>
      </w:r>
      <w:r w:rsidRPr="006A07FD">
        <w:t xml:space="preserve">supporting classes that are used only within the </w:t>
      </w:r>
      <w:r>
        <w:t>DataFeed subsystem</w:t>
      </w:r>
    </w:p>
    <w:p w:rsidR="00141B56" w:rsidRPr="006A07FD" w:rsidRDefault="00141B56" w:rsidP="006A07FD">
      <w:pPr>
        <w:pStyle w:val="NoSpacing"/>
        <w:ind w:left="1440"/>
      </w:pPr>
    </w:p>
    <w:p w:rsidR="001D492D" w:rsidRDefault="001D492D" w:rsidP="001D492D">
      <w:pPr>
        <w:pStyle w:val="NoSpacing"/>
      </w:pPr>
      <w:r w:rsidRPr="003C24E7">
        <w:rPr>
          <w:b/>
        </w:rPr>
        <w:t>Proxy</w:t>
      </w:r>
      <w:r>
        <w:t xml:space="preserve"> folder</w:t>
      </w:r>
    </w:p>
    <w:p w:rsidR="006A07FD" w:rsidRDefault="006A07FD" w:rsidP="006A07FD">
      <w:pPr>
        <w:pStyle w:val="NoSpacing"/>
        <w:ind w:left="720"/>
      </w:pPr>
      <w:r>
        <w:t xml:space="preserve">GS.Proxy.Admin– Project  </w:t>
      </w:r>
    </w:p>
    <w:p w:rsidR="006A07FD" w:rsidRDefault="006A07FD" w:rsidP="0055448E">
      <w:pPr>
        <w:pStyle w:val="NoSpacing"/>
        <w:ind w:left="1440"/>
      </w:pPr>
      <w:r w:rsidRPr="006A07FD">
        <w:t xml:space="preserve">Contains the proxy implementation and supporting classes for proxies that are used </w:t>
      </w:r>
      <w:r>
        <w:t>by clients accessing the AdminManager</w:t>
      </w:r>
    </w:p>
    <w:p w:rsidR="004147E2" w:rsidRDefault="004147E2" w:rsidP="004147E2">
      <w:pPr>
        <w:pStyle w:val="NoSpacing"/>
        <w:ind w:left="720"/>
      </w:pPr>
      <w:r>
        <w:t xml:space="preserve">GS.Proxy.DataFeed – Project  </w:t>
      </w:r>
    </w:p>
    <w:p w:rsidR="000310C1" w:rsidRDefault="004147E2" w:rsidP="006A07FD">
      <w:pPr>
        <w:pStyle w:val="NoSpacing"/>
        <w:ind w:left="1440"/>
      </w:pPr>
      <w:r w:rsidRPr="006A07FD">
        <w:t xml:space="preserve">Contains </w:t>
      </w:r>
      <w:r w:rsidR="006A07FD" w:rsidRPr="006A07FD">
        <w:t xml:space="preserve">the proxy </w:t>
      </w:r>
      <w:r w:rsidRPr="006A07FD">
        <w:t xml:space="preserve">implementation and supporting classes for proxies that are used </w:t>
      </w:r>
      <w:r w:rsidR="006A07FD">
        <w:t xml:space="preserve">by clients accessing the </w:t>
      </w:r>
      <w:r w:rsidRPr="006A07FD">
        <w:t>DataFeed</w:t>
      </w:r>
      <w:r w:rsidR="006A07FD">
        <w:t>Manager</w:t>
      </w:r>
    </w:p>
    <w:p w:rsidR="000310C1" w:rsidRDefault="004147E2" w:rsidP="000310C1">
      <w:pPr>
        <w:pStyle w:val="NoSpacing"/>
        <w:ind w:firstLine="720"/>
      </w:pPr>
      <w:r>
        <w:t xml:space="preserve">GS.Proxy.Some – Project  </w:t>
      </w:r>
      <w:r w:rsidR="000310C1">
        <w:tab/>
      </w:r>
      <w:r w:rsidR="000310C1">
        <w:tab/>
      </w:r>
      <w:r w:rsidR="000310C1">
        <w:tab/>
      </w:r>
    </w:p>
    <w:p w:rsidR="000310C1" w:rsidRDefault="006A07FD" w:rsidP="006A07FD">
      <w:pPr>
        <w:pStyle w:val="NoSpacing"/>
        <w:ind w:left="1440"/>
      </w:pPr>
      <w:r w:rsidRPr="006A07FD">
        <w:t xml:space="preserve">Contains the proxy implementation and supporting classes for proxies that are used </w:t>
      </w:r>
      <w:r>
        <w:t xml:space="preserve">by clients for accessing </w:t>
      </w:r>
      <w:r w:rsidRPr="006A07FD">
        <w:t xml:space="preserve">the </w:t>
      </w:r>
      <w:r>
        <w:t>SomeManager</w:t>
      </w:r>
    </w:p>
    <w:p w:rsidR="00141B56" w:rsidRDefault="00141B56" w:rsidP="006A07FD">
      <w:pPr>
        <w:pStyle w:val="NoSpacing"/>
        <w:ind w:left="1440"/>
        <w:rPr>
          <w:b/>
        </w:rPr>
      </w:pPr>
    </w:p>
    <w:p w:rsidR="001D492D" w:rsidRDefault="001D492D" w:rsidP="001D492D">
      <w:pPr>
        <w:pStyle w:val="NoSpacing"/>
      </w:pPr>
      <w:r w:rsidRPr="003C24E7">
        <w:rPr>
          <w:b/>
        </w:rPr>
        <w:t>Test</w:t>
      </w:r>
      <w:r>
        <w:t xml:space="preserve"> folder</w:t>
      </w:r>
      <w:r w:rsidR="007C2200">
        <w:t xml:space="preserve"> – Note that none of the below test projects have yet to be implemented.</w:t>
      </w:r>
    </w:p>
    <w:p w:rsidR="001D492D" w:rsidRDefault="004147E2" w:rsidP="001D492D">
      <w:pPr>
        <w:pStyle w:val="NoSpacing"/>
      </w:pPr>
      <w:r>
        <w:tab/>
        <w:t>GS.Test.Common – Project</w:t>
      </w:r>
    </w:p>
    <w:p w:rsidR="004147E2" w:rsidRDefault="004147E2" w:rsidP="0055448E">
      <w:pPr>
        <w:pStyle w:val="NoSpacing"/>
        <w:ind w:left="1440"/>
      </w:pPr>
      <w:r>
        <w:t xml:space="preserve">Contains unit and integration test </w:t>
      </w:r>
      <w:r w:rsidRPr="00262068">
        <w:rPr>
          <w:u w:val="single"/>
        </w:rPr>
        <w:t>service and data contracts</w:t>
      </w:r>
      <w:r>
        <w:t xml:space="preserve">, their </w:t>
      </w:r>
      <w:r w:rsidRPr="00262068">
        <w:rPr>
          <w:u w:val="single"/>
        </w:rPr>
        <w:t>implementations</w:t>
      </w:r>
      <w:r w:rsidRPr="00262068">
        <w:t xml:space="preserve"> </w:t>
      </w:r>
      <w:r>
        <w:t xml:space="preserve">and </w:t>
      </w:r>
      <w:r w:rsidRPr="00262068">
        <w:rPr>
          <w:u w:val="single"/>
        </w:rPr>
        <w:t>supporting classes</w:t>
      </w:r>
      <w:r>
        <w:t xml:space="preserve"> that are shared by both </w:t>
      </w:r>
      <w:r w:rsidR="0055448E">
        <w:t>throughout the server</w:t>
      </w:r>
    </w:p>
    <w:p w:rsidR="0055448E" w:rsidRDefault="0055448E" w:rsidP="0055448E">
      <w:pPr>
        <w:pStyle w:val="NoSpacing"/>
        <w:ind w:left="720"/>
      </w:pPr>
      <w:r>
        <w:t>GS.Test.Admin – Project</w:t>
      </w:r>
    </w:p>
    <w:p w:rsidR="0055448E" w:rsidRDefault="0055448E" w:rsidP="0055448E">
      <w:pPr>
        <w:pStyle w:val="NoSpacing"/>
        <w:ind w:left="1440"/>
      </w:pPr>
      <w:r>
        <w:t xml:space="preserve">Contains unit and integration test </w:t>
      </w:r>
      <w:r w:rsidRPr="00262068">
        <w:rPr>
          <w:u w:val="single"/>
        </w:rPr>
        <w:t>service and data contracts</w:t>
      </w:r>
      <w:r>
        <w:t xml:space="preserve">, their </w:t>
      </w:r>
      <w:r w:rsidRPr="00262068">
        <w:rPr>
          <w:u w:val="single"/>
        </w:rPr>
        <w:t>implementations</w:t>
      </w:r>
      <w:r w:rsidRPr="00262068">
        <w:t xml:space="preserve"> </w:t>
      </w:r>
      <w:r>
        <w:t xml:space="preserve">and </w:t>
      </w:r>
      <w:r w:rsidRPr="00262068">
        <w:rPr>
          <w:u w:val="single"/>
        </w:rPr>
        <w:t>supporting classes</w:t>
      </w:r>
      <w:r>
        <w:t xml:space="preserve"> for the Admin subsystem</w:t>
      </w:r>
    </w:p>
    <w:p w:rsidR="004147E2" w:rsidRDefault="004147E2" w:rsidP="001D492D">
      <w:pPr>
        <w:pStyle w:val="NoSpacing"/>
      </w:pPr>
      <w:r>
        <w:tab/>
        <w:t>GS.Test.DataFeed – Project</w:t>
      </w:r>
    </w:p>
    <w:p w:rsidR="004147E2" w:rsidRDefault="004147E2" w:rsidP="0055448E">
      <w:pPr>
        <w:pStyle w:val="NoSpacing"/>
        <w:ind w:left="1440"/>
      </w:pPr>
      <w:r>
        <w:t xml:space="preserve">Contains unit and integration test </w:t>
      </w:r>
      <w:r w:rsidRPr="00262068">
        <w:rPr>
          <w:u w:val="single"/>
        </w:rPr>
        <w:t>service and data contracts</w:t>
      </w:r>
      <w:r>
        <w:t xml:space="preserve">, their </w:t>
      </w:r>
      <w:r w:rsidRPr="00262068">
        <w:rPr>
          <w:u w:val="single"/>
        </w:rPr>
        <w:t>implementations</w:t>
      </w:r>
      <w:r w:rsidRPr="00262068">
        <w:t xml:space="preserve"> </w:t>
      </w:r>
      <w:r>
        <w:t xml:space="preserve">and </w:t>
      </w:r>
      <w:r w:rsidRPr="00262068">
        <w:rPr>
          <w:u w:val="single"/>
        </w:rPr>
        <w:t>supporting classes</w:t>
      </w:r>
      <w:r>
        <w:t xml:space="preserve"> for the DataFeed subsystem</w:t>
      </w:r>
    </w:p>
    <w:p w:rsidR="004147E2" w:rsidRDefault="004147E2" w:rsidP="001D492D">
      <w:pPr>
        <w:pStyle w:val="NoSpacing"/>
      </w:pPr>
      <w:r>
        <w:tab/>
        <w:t>G</w:t>
      </w:r>
      <w:r w:rsidR="007C2200">
        <w:t>S</w:t>
      </w:r>
      <w:r>
        <w:t xml:space="preserve">.Test.Some </w:t>
      </w:r>
      <w:r w:rsidR="007C2200">
        <w:t>–</w:t>
      </w:r>
      <w:r>
        <w:t xml:space="preserve"> Project</w:t>
      </w:r>
    </w:p>
    <w:p w:rsidR="007C2200" w:rsidRDefault="007C2200" w:rsidP="00141B56">
      <w:pPr>
        <w:pStyle w:val="NoSpacing"/>
        <w:ind w:left="1440"/>
      </w:pPr>
      <w:r>
        <w:t xml:space="preserve">Contains unit and integration test </w:t>
      </w:r>
      <w:r w:rsidRPr="00262068">
        <w:rPr>
          <w:u w:val="single"/>
        </w:rPr>
        <w:t>service and data contracts</w:t>
      </w:r>
      <w:r>
        <w:t xml:space="preserve">, their </w:t>
      </w:r>
      <w:r w:rsidRPr="00262068">
        <w:rPr>
          <w:u w:val="single"/>
        </w:rPr>
        <w:t>implementations</w:t>
      </w:r>
      <w:r w:rsidRPr="00262068">
        <w:t xml:space="preserve"> </w:t>
      </w:r>
      <w:r>
        <w:t xml:space="preserve">and </w:t>
      </w:r>
      <w:r w:rsidRPr="00262068">
        <w:rPr>
          <w:u w:val="single"/>
        </w:rPr>
        <w:t>supporting classes</w:t>
      </w:r>
      <w:r w:rsidR="0055448E">
        <w:t xml:space="preserve"> for the DataFeed subsystem</w:t>
      </w:r>
    </w:p>
    <w:p w:rsidR="00141B56" w:rsidRDefault="00141B56" w:rsidP="00141B56">
      <w:pPr>
        <w:pStyle w:val="NoSpacing"/>
        <w:ind w:left="1440"/>
      </w:pPr>
    </w:p>
    <w:p w:rsidR="007C2200" w:rsidRDefault="007C2200" w:rsidP="007C2200">
      <w:pPr>
        <w:pStyle w:val="NoSpacing"/>
      </w:pPr>
      <w:r>
        <w:rPr>
          <w:b/>
        </w:rPr>
        <w:t>Test.Client</w:t>
      </w:r>
      <w:r>
        <w:t xml:space="preserve"> folder</w:t>
      </w:r>
      <w:r w:rsidR="00141B56">
        <w:t xml:space="preserve"> -- Contains Test Clients</w:t>
      </w:r>
      <w:r w:rsidR="00141B56" w:rsidRPr="00141B56">
        <w:t xml:space="preserve"> </w:t>
      </w:r>
      <w:r w:rsidR="00141B56">
        <w:t>used for user interaction and implemented as standalone programs, plus items unique to each Test Client.</w:t>
      </w:r>
    </w:p>
    <w:p w:rsidR="00141B56" w:rsidRDefault="00141B56" w:rsidP="00141B56">
      <w:pPr>
        <w:pStyle w:val="NoSpacing"/>
        <w:ind w:firstLine="720"/>
      </w:pPr>
      <w:r>
        <w:t>GS.Test.Client.AdminNSomeTester – Project</w:t>
      </w:r>
    </w:p>
    <w:p w:rsidR="007C2200" w:rsidRDefault="007C2200" w:rsidP="007C2200">
      <w:pPr>
        <w:pStyle w:val="NoSpacing"/>
      </w:pPr>
      <w:r>
        <w:tab/>
        <w:t>GS.Test.Client.DataSourceSimulator – Project</w:t>
      </w:r>
    </w:p>
    <w:p w:rsidR="00141B56" w:rsidRDefault="00141B56" w:rsidP="007C2200">
      <w:pPr>
        <w:pStyle w:val="NoSpacing"/>
        <w:rPr>
          <w:b/>
        </w:rPr>
      </w:pPr>
    </w:p>
    <w:p w:rsidR="007C2200" w:rsidRDefault="007C2200" w:rsidP="007C2200">
      <w:pPr>
        <w:pStyle w:val="NoSpacing"/>
      </w:pPr>
      <w:r w:rsidRPr="003C24E7">
        <w:rPr>
          <w:b/>
        </w:rPr>
        <w:t>UI</w:t>
      </w:r>
      <w:r>
        <w:t xml:space="preserve"> folder -- </w:t>
      </w:r>
      <w:r w:rsidR="00141B56">
        <w:t>N</w:t>
      </w:r>
      <w:r>
        <w:t xml:space="preserve">o UI projects have yet to be implemented.  However, projects in this folder would be </w:t>
      </w:r>
      <w:r w:rsidR="00141B56">
        <w:t xml:space="preserve">those </w:t>
      </w:r>
      <w:r>
        <w:t>required to implement an MVC app</w:t>
      </w:r>
      <w:r w:rsidR="00141B56">
        <w:t>,</w:t>
      </w:r>
      <w:r>
        <w:t xml:space="preserve"> or a WPF app</w:t>
      </w:r>
      <w:r w:rsidR="00141B56">
        <w:t>,</w:t>
      </w:r>
      <w:r>
        <w:t xml:space="preserve"> or a Windows Phone App, etc.</w:t>
      </w:r>
      <w:r w:rsidR="00F12B0F">
        <w:t xml:space="preserve"> for this system.</w:t>
      </w:r>
    </w:p>
    <w:p w:rsidR="007C2200" w:rsidRDefault="007C2200" w:rsidP="007C2200">
      <w:pPr>
        <w:pStyle w:val="NoSpacing"/>
        <w:rPr>
          <w:b/>
        </w:rPr>
      </w:pPr>
    </w:p>
    <w:p w:rsidR="007C2200" w:rsidRDefault="001D492D" w:rsidP="007C2200">
      <w:pPr>
        <w:pStyle w:val="NoSpacing"/>
      </w:pPr>
      <w:r w:rsidRPr="003C24E7">
        <w:rPr>
          <w:b/>
        </w:rPr>
        <w:t>Utiliti</w:t>
      </w:r>
      <w:r w:rsidRPr="007C2200">
        <w:rPr>
          <w:b/>
        </w:rPr>
        <w:t>es</w:t>
      </w:r>
      <w:r>
        <w:t xml:space="preserve"> folder</w:t>
      </w:r>
      <w:r w:rsidR="007C2200">
        <w:t xml:space="preserve"> – Note that no utility projects have yet to be</w:t>
      </w:r>
      <w:r w:rsidR="00141B56">
        <w:t xml:space="preserve"> truely</w:t>
      </w:r>
      <w:r w:rsidR="007C2200">
        <w:t xml:space="preserve"> implemented.</w:t>
      </w:r>
    </w:p>
    <w:p w:rsidR="007C2200" w:rsidRDefault="007C2200" w:rsidP="001D492D">
      <w:pPr>
        <w:pStyle w:val="NoSpacing"/>
      </w:pPr>
      <w:r>
        <w:tab/>
        <w:t>GS.Utilities.Timer – Project</w:t>
      </w:r>
    </w:p>
    <w:p w:rsidR="007C2200" w:rsidRDefault="007C2200" w:rsidP="007C2200">
      <w:pPr>
        <w:pStyle w:val="NoSpacing"/>
        <w:ind w:left="720" w:firstLine="720"/>
      </w:pPr>
      <w:r>
        <w:t xml:space="preserve">Contains </w:t>
      </w:r>
      <w:r w:rsidRPr="00262068">
        <w:rPr>
          <w:u w:val="single"/>
        </w:rPr>
        <w:t>service and data contracts</w:t>
      </w:r>
      <w:r>
        <w:t xml:space="preserve">, their </w:t>
      </w:r>
      <w:r w:rsidRPr="00262068">
        <w:rPr>
          <w:u w:val="single"/>
        </w:rPr>
        <w:t>implementations</w:t>
      </w:r>
      <w:r w:rsidRPr="00262068">
        <w:t xml:space="preserve"> </w:t>
      </w:r>
      <w:r>
        <w:t xml:space="preserve">and </w:t>
      </w:r>
      <w:r w:rsidRPr="00262068">
        <w:rPr>
          <w:u w:val="single"/>
        </w:rPr>
        <w:t>supporting classes</w:t>
      </w:r>
      <w:r>
        <w:t xml:space="preserve"> for the Timer utility</w:t>
      </w:r>
    </w:p>
    <w:p w:rsidR="001D492D" w:rsidRDefault="001D492D" w:rsidP="001D492D">
      <w:pPr>
        <w:pStyle w:val="NoSpacing"/>
      </w:pPr>
    </w:p>
    <w:p w:rsidR="001D492D" w:rsidRDefault="001D492D" w:rsidP="009B5293">
      <w:pPr>
        <w:pStyle w:val="NoSpacing"/>
      </w:pPr>
    </w:p>
    <w:p w:rsidR="001D492D" w:rsidRDefault="001D492D" w:rsidP="009B5293">
      <w:pPr>
        <w:pStyle w:val="NoSpacing"/>
      </w:pPr>
    </w:p>
    <w:p w:rsidR="00600927" w:rsidRDefault="00600927">
      <w:r>
        <w:br w:type="page"/>
      </w:r>
    </w:p>
    <w:p w:rsidR="0010039B" w:rsidRPr="00D462A8" w:rsidRDefault="00600927" w:rsidP="0010039B">
      <w:pPr>
        <w:pStyle w:val="NoSpacing"/>
        <w:rPr>
          <w:u w:val="single"/>
        </w:rPr>
      </w:pPr>
      <w:r w:rsidRPr="00D462A8">
        <w:rPr>
          <w:u w:val="single"/>
        </w:rPr>
        <w:t>Revision History</w:t>
      </w:r>
    </w:p>
    <w:p w:rsidR="00600927" w:rsidRDefault="00600927" w:rsidP="0010039B">
      <w:pPr>
        <w:pStyle w:val="NoSpacing"/>
      </w:pPr>
    </w:p>
    <w:p w:rsidR="00600927" w:rsidRDefault="00600927" w:rsidP="0010039B">
      <w:pPr>
        <w:pStyle w:val="NoSpacing"/>
      </w:pPr>
      <w:r>
        <w:t>V 0.1, 5-18-15, George Stevens.  Initial document using Monty’s posts in the above mentioned thread.</w:t>
      </w:r>
    </w:p>
    <w:p w:rsidR="00141B56" w:rsidRDefault="00141B56" w:rsidP="0010039B">
      <w:pPr>
        <w:pStyle w:val="NoSpacing"/>
      </w:pPr>
    </w:p>
    <w:p w:rsidR="00141B56" w:rsidRDefault="00766B59" w:rsidP="000960C4">
      <w:pPr>
        <w:pStyle w:val="NoSpacing"/>
      </w:pPr>
      <w:r>
        <w:t>V 0.2, 5-19-15, George Stevens.  Refined concepts and namespace/solution structure based on feedback and deeper understanding of the basic organizing principles involved.</w:t>
      </w:r>
    </w:p>
    <w:p w:rsidR="00141B56" w:rsidRDefault="00141B56" w:rsidP="000960C4">
      <w:pPr>
        <w:pStyle w:val="NoSpacing"/>
      </w:pPr>
    </w:p>
    <w:p w:rsidR="000960C4" w:rsidRPr="000960C4" w:rsidRDefault="000960C4" w:rsidP="000960C4">
      <w:pPr>
        <w:pStyle w:val="NoSpacing"/>
      </w:pPr>
      <w:r w:rsidRPr="000960C4">
        <w:t>V 0.</w:t>
      </w:r>
      <w:r>
        <w:t>3</w:t>
      </w:r>
      <w:r w:rsidRPr="000960C4">
        <w:t>, 5-</w:t>
      </w:r>
      <w:r>
        <w:t>29</w:t>
      </w:r>
      <w:r w:rsidRPr="000960C4">
        <w:t xml:space="preserve">-15, George Stevens.  </w:t>
      </w:r>
      <w:r>
        <w:t>First try at the “Solution Structure… “ section</w:t>
      </w:r>
      <w:r w:rsidRPr="000960C4">
        <w:t>.</w:t>
      </w:r>
    </w:p>
    <w:p w:rsidR="000960C4" w:rsidRPr="000960C4" w:rsidRDefault="000960C4" w:rsidP="000960C4">
      <w:pPr>
        <w:pStyle w:val="NoSpacing"/>
      </w:pPr>
    </w:p>
    <w:p w:rsidR="000960C4" w:rsidRPr="000960C4" w:rsidRDefault="000960C4" w:rsidP="000960C4">
      <w:pPr>
        <w:pStyle w:val="NoSpacing"/>
      </w:pPr>
      <w:r w:rsidRPr="000960C4">
        <w:t>V 0.</w:t>
      </w:r>
      <w:r>
        <w:t>4</w:t>
      </w:r>
      <w:r w:rsidRPr="000960C4">
        <w:t xml:space="preserve">, </w:t>
      </w:r>
      <w:r>
        <w:t>6</w:t>
      </w:r>
      <w:r w:rsidRPr="000960C4">
        <w:t>-</w:t>
      </w:r>
      <w:r>
        <w:t>4</w:t>
      </w:r>
      <w:r w:rsidRPr="000960C4">
        <w:t xml:space="preserve">-15, George Stevens.  </w:t>
      </w:r>
      <w:r>
        <w:t>Major edit.  Added most of the “Definition of Terms..” section</w:t>
      </w:r>
      <w:r w:rsidRPr="000960C4">
        <w:t>.</w:t>
      </w:r>
      <w:r>
        <w:t xml:space="preserve">  Revised the “Solution Structure..” section to sync with the code.</w:t>
      </w:r>
    </w:p>
    <w:p w:rsidR="000960C4" w:rsidRPr="000960C4" w:rsidRDefault="000960C4" w:rsidP="000960C4">
      <w:pPr>
        <w:pStyle w:val="NoSpacing"/>
      </w:pPr>
    </w:p>
    <w:p w:rsidR="000960C4" w:rsidRDefault="000960C4" w:rsidP="000960C4">
      <w:pPr>
        <w:pStyle w:val="NoSpacing"/>
      </w:pPr>
      <w:r w:rsidRPr="000960C4">
        <w:t>V 0.</w:t>
      </w:r>
      <w:r>
        <w:t>5</w:t>
      </w:r>
      <w:r w:rsidRPr="000960C4">
        <w:t xml:space="preserve">, </w:t>
      </w:r>
      <w:r>
        <w:t>6</w:t>
      </w:r>
      <w:r w:rsidRPr="000960C4">
        <w:t>-</w:t>
      </w:r>
      <w:r>
        <w:t>6</w:t>
      </w:r>
      <w:r w:rsidRPr="000960C4">
        <w:t xml:space="preserve">-15, George Stevens.  </w:t>
      </w:r>
      <w:r>
        <w:t>Minor edits to the “Introduction” and “Definition of Terms..” sections</w:t>
      </w:r>
      <w:r w:rsidRPr="000960C4">
        <w:t>.</w:t>
      </w:r>
      <w:r w:rsidR="0022105C">
        <w:t xml:space="preserve">  Major edits to “Solution Structure…” section.</w:t>
      </w:r>
    </w:p>
    <w:p w:rsidR="00141B56" w:rsidRDefault="00141B56" w:rsidP="000960C4">
      <w:pPr>
        <w:pStyle w:val="NoSpacing"/>
      </w:pPr>
    </w:p>
    <w:p w:rsidR="00141B56" w:rsidRDefault="00141B56" w:rsidP="00141B56">
      <w:pPr>
        <w:pStyle w:val="NoSpacing"/>
      </w:pPr>
      <w:r w:rsidRPr="000960C4">
        <w:t>V 0.</w:t>
      </w:r>
      <w:r>
        <w:t>6</w:t>
      </w:r>
      <w:r w:rsidRPr="000960C4">
        <w:t xml:space="preserve">, </w:t>
      </w:r>
      <w:r>
        <w:t>6</w:t>
      </w:r>
      <w:r w:rsidRPr="000960C4">
        <w:t>-</w:t>
      </w:r>
      <w:r>
        <w:t>1</w:t>
      </w:r>
      <w:r w:rsidR="000F2F03">
        <w:t>2</w:t>
      </w:r>
      <w:r w:rsidRPr="000960C4">
        <w:t xml:space="preserve">-15, George Stevens.  </w:t>
      </w:r>
      <w:r>
        <w:t>Major edits to incorporate feedback, plus finalization of the “Solution Structure…” section to clean it up and sync with the code.</w:t>
      </w:r>
    </w:p>
    <w:p w:rsidR="00F065BF" w:rsidRDefault="00F065BF" w:rsidP="00141B56">
      <w:pPr>
        <w:pStyle w:val="NoSpacing"/>
      </w:pPr>
    </w:p>
    <w:p w:rsidR="00F065BF" w:rsidRPr="000960C4" w:rsidRDefault="00F065BF" w:rsidP="00141B56">
      <w:pPr>
        <w:pStyle w:val="NoSpacing"/>
      </w:pPr>
      <w:r>
        <w:t>V 0.7, 6-26-15, George Stevens.  Fixed minor errors in folder and project definitions and included a link to the blog article</w:t>
      </w:r>
      <w:bookmarkStart w:id="0" w:name="_GoBack"/>
      <w:bookmarkEnd w:id="0"/>
      <w:r>
        <w:t>.</w:t>
      </w:r>
    </w:p>
    <w:p w:rsidR="00141B56" w:rsidRPr="000960C4" w:rsidRDefault="00141B56" w:rsidP="000960C4">
      <w:pPr>
        <w:pStyle w:val="NoSpacing"/>
      </w:pPr>
    </w:p>
    <w:p w:rsidR="000960C4" w:rsidRDefault="000960C4" w:rsidP="0010039B">
      <w:pPr>
        <w:pStyle w:val="NoSpacing"/>
      </w:pPr>
    </w:p>
    <w:sectPr w:rsidR="000960C4" w:rsidSect="00907F39">
      <w:footerReference w:type="default" r:id="rId18"/>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692A" w:rsidRDefault="001F692A" w:rsidP="00907F39">
      <w:pPr>
        <w:spacing w:after="0" w:line="240" w:lineRule="auto"/>
      </w:pPr>
      <w:r>
        <w:separator/>
      </w:r>
    </w:p>
  </w:endnote>
  <w:endnote w:type="continuationSeparator" w:id="0">
    <w:p w:rsidR="001F692A" w:rsidRDefault="001F692A" w:rsidP="00907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1016049"/>
      <w:docPartObj>
        <w:docPartGallery w:val="Page Numbers (Bottom of Page)"/>
        <w:docPartUnique/>
      </w:docPartObj>
    </w:sdtPr>
    <w:sdtEndPr>
      <w:rPr>
        <w:noProof/>
      </w:rPr>
    </w:sdtEndPr>
    <w:sdtContent>
      <w:p w:rsidR="00BC265C" w:rsidRDefault="00BC265C">
        <w:pPr>
          <w:pStyle w:val="Footer"/>
          <w:jc w:val="center"/>
        </w:pPr>
        <w:r>
          <w:t xml:space="preserve">- </w:t>
        </w:r>
        <w:r>
          <w:fldChar w:fldCharType="begin"/>
        </w:r>
        <w:r>
          <w:instrText xml:space="preserve"> PAGE   \* MERGEFORMAT </w:instrText>
        </w:r>
        <w:r>
          <w:fldChar w:fldCharType="separate"/>
        </w:r>
        <w:r w:rsidR="001F692A">
          <w:rPr>
            <w:noProof/>
          </w:rPr>
          <w:t>1</w:t>
        </w:r>
        <w:r>
          <w:rPr>
            <w:noProof/>
          </w:rPr>
          <w:fldChar w:fldCharType="end"/>
        </w:r>
        <w:r>
          <w:rPr>
            <w:noProof/>
          </w:rPr>
          <w:t xml:space="preserve"> -</w:t>
        </w:r>
      </w:p>
    </w:sdtContent>
  </w:sdt>
  <w:p w:rsidR="00BC265C" w:rsidRDefault="00BC26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692A" w:rsidRDefault="001F692A" w:rsidP="00907F39">
      <w:pPr>
        <w:spacing w:after="0" w:line="240" w:lineRule="auto"/>
      </w:pPr>
      <w:r>
        <w:separator/>
      </w:r>
    </w:p>
  </w:footnote>
  <w:footnote w:type="continuationSeparator" w:id="0">
    <w:p w:rsidR="001F692A" w:rsidRDefault="001F692A" w:rsidP="00907F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6D65"/>
    <w:multiLevelType w:val="multilevel"/>
    <w:tmpl w:val="22A2ED96"/>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nsid w:val="01EE2D01"/>
    <w:multiLevelType w:val="multilevel"/>
    <w:tmpl w:val="693CC51A"/>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start w:val="1"/>
      <w:numFmt w:val="lowerLetter"/>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nsid w:val="032E3B25"/>
    <w:multiLevelType w:val="multilevel"/>
    <w:tmpl w:val="7DC0D48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nsid w:val="1A765FDA"/>
    <w:multiLevelType w:val="multilevel"/>
    <w:tmpl w:val="DEE8F3D6"/>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nsid w:val="1B304594"/>
    <w:multiLevelType w:val="multilevel"/>
    <w:tmpl w:val="2592D10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nsid w:val="1B8046D5"/>
    <w:multiLevelType w:val="hybridMultilevel"/>
    <w:tmpl w:val="FAB49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A86AEC"/>
    <w:multiLevelType w:val="multilevel"/>
    <w:tmpl w:val="55E47A7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nsid w:val="1E5E3BBE"/>
    <w:multiLevelType w:val="multilevel"/>
    <w:tmpl w:val="59D479D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nsid w:val="267349F3"/>
    <w:multiLevelType w:val="multilevel"/>
    <w:tmpl w:val="769260A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nsid w:val="28307E51"/>
    <w:multiLevelType w:val="hybridMultilevel"/>
    <w:tmpl w:val="83BE9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221266"/>
    <w:multiLevelType w:val="hybridMultilevel"/>
    <w:tmpl w:val="EEBC3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BB51BE"/>
    <w:multiLevelType w:val="multilevel"/>
    <w:tmpl w:val="68F03C50"/>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nsid w:val="31105DC0"/>
    <w:multiLevelType w:val="multilevel"/>
    <w:tmpl w:val="BD36390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nsid w:val="383C25FC"/>
    <w:multiLevelType w:val="multilevel"/>
    <w:tmpl w:val="E79CFFEE"/>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nsid w:val="41F63549"/>
    <w:multiLevelType w:val="multilevel"/>
    <w:tmpl w:val="C7E8C34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
    <w:nsid w:val="429D4E9F"/>
    <w:multiLevelType w:val="multilevel"/>
    <w:tmpl w:val="EC10DA1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
    <w:nsid w:val="49FE673C"/>
    <w:multiLevelType w:val="hybridMultilevel"/>
    <w:tmpl w:val="D28E3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4C1205"/>
    <w:multiLevelType w:val="multilevel"/>
    <w:tmpl w:val="1542EC2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
    <w:nsid w:val="529C6553"/>
    <w:multiLevelType w:val="multilevel"/>
    <w:tmpl w:val="DD5CAB7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nsid w:val="56D145BF"/>
    <w:multiLevelType w:val="hybridMultilevel"/>
    <w:tmpl w:val="07AE1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5B6770"/>
    <w:multiLevelType w:val="multilevel"/>
    <w:tmpl w:val="0DB4F95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
    <w:nsid w:val="5921007C"/>
    <w:multiLevelType w:val="multilevel"/>
    <w:tmpl w:val="865AC820"/>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2">
    <w:nsid w:val="5C822EDC"/>
    <w:multiLevelType w:val="hybridMultilevel"/>
    <w:tmpl w:val="B2748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1F2AC3"/>
    <w:multiLevelType w:val="multilevel"/>
    <w:tmpl w:val="4BA69CF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4">
    <w:nsid w:val="6911098B"/>
    <w:multiLevelType w:val="multilevel"/>
    <w:tmpl w:val="90F22B48"/>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5">
    <w:nsid w:val="79725A06"/>
    <w:multiLevelType w:val="multilevel"/>
    <w:tmpl w:val="AA74A280"/>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3"/>
    <w:lvlOverride w:ilvl="0">
      <w:startOverride w:val="1"/>
    </w:lvlOverride>
  </w:num>
  <w:num w:numId="2">
    <w:abstractNumId w:val="3"/>
    <w:lvlOverride w:ilvl="0"/>
    <w:lvlOverride w:ilvl="1">
      <w:startOverride w:val="1"/>
    </w:lvlOverride>
  </w:num>
  <w:num w:numId="3">
    <w:abstractNumId w:val="3"/>
    <w:lvlOverride w:ilvl="0"/>
    <w:lvlOverride w:ilvl="1">
      <w:startOverride w:val="2"/>
    </w:lvlOverride>
  </w:num>
  <w:num w:numId="4">
    <w:abstractNumId w:val="1"/>
    <w:lvlOverride w:ilvl="0">
      <w:startOverride w:val="3"/>
    </w:lvlOverride>
  </w:num>
  <w:num w:numId="5">
    <w:abstractNumId w:val="1"/>
    <w:lvlOverride w:ilvl="0"/>
    <w:lvlOverride w:ilvl="1">
      <w:startOverride w:val="1"/>
    </w:lvlOverride>
  </w:num>
  <w:num w:numId="6">
    <w:abstractNumId w:val="1"/>
    <w:lvlOverride w:ilvl="0"/>
    <w:lvlOverride w:ilvl="1">
      <w:startOverride w:val="2"/>
    </w:lvlOverride>
  </w:num>
  <w:num w:numId="7">
    <w:abstractNumId w:val="1"/>
    <w:lvlOverride w:ilvl="0"/>
    <w:lvlOverride w:ilvl="1"/>
    <w:lvlOverride w:ilvl="2">
      <w:startOverride w:val="1"/>
    </w:lvlOverride>
  </w:num>
  <w:num w:numId="8">
    <w:abstractNumId w:val="1"/>
    <w:lvlOverride w:ilvl="0"/>
    <w:lvlOverride w:ilvl="1"/>
    <w:lvlOverride w:ilvl="2">
      <w:startOverride w:val="2"/>
    </w:lvlOverride>
  </w:num>
  <w:num w:numId="9">
    <w:abstractNumId w:val="25"/>
    <w:lvlOverride w:ilvl="0">
      <w:startOverride w:val="4"/>
    </w:lvlOverride>
  </w:num>
  <w:num w:numId="10">
    <w:abstractNumId w:val="25"/>
    <w:lvlOverride w:ilvl="0"/>
    <w:lvlOverride w:ilvl="1">
      <w:startOverride w:val="1"/>
    </w:lvlOverride>
  </w:num>
  <w:num w:numId="11">
    <w:abstractNumId w:val="13"/>
    <w:lvlOverride w:ilvl="0">
      <w:startOverride w:val="5"/>
    </w:lvlOverride>
  </w:num>
  <w:num w:numId="12">
    <w:abstractNumId w:val="13"/>
    <w:lvlOverride w:ilvl="0"/>
    <w:lvlOverride w:ilvl="1">
      <w:startOverride w:val="1"/>
    </w:lvlOverride>
  </w:num>
  <w:num w:numId="13">
    <w:abstractNumId w:val="24"/>
    <w:lvlOverride w:ilvl="0">
      <w:startOverride w:val="6"/>
    </w:lvlOverride>
  </w:num>
  <w:num w:numId="14">
    <w:abstractNumId w:val="24"/>
    <w:lvlOverride w:ilvl="0"/>
    <w:lvlOverride w:ilvl="1">
      <w:startOverride w:val="1"/>
    </w:lvlOverride>
  </w:num>
  <w:num w:numId="15">
    <w:abstractNumId w:val="21"/>
    <w:lvlOverride w:ilvl="0">
      <w:startOverride w:val="7"/>
    </w:lvlOverride>
  </w:num>
  <w:num w:numId="16">
    <w:abstractNumId w:val="21"/>
    <w:lvlOverride w:ilvl="0"/>
    <w:lvlOverride w:ilvl="1">
      <w:startOverride w:val="1"/>
    </w:lvlOverride>
  </w:num>
  <w:num w:numId="17">
    <w:abstractNumId w:val="0"/>
    <w:lvlOverride w:ilvl="0">
      <w:startOverride w:val="8"/>
    </w:lvlOverride>
  </w:num>
  <w:num w:numId="18">
    <w:abstractNumId w:val="0"/>
    <w:lvlOverride w:ilvl="0"/>
    <w:lvlOverride w:ilvl="1">
      <w:startOverride w:val="1"/>
    </w:lvlOverride>
  </w:num>
  <w:num w:numId="19">
    <w:abstractNumId w:val="11"/>
    <w:lvlOverride w:ilvl="0">
      <w:startOverride w:val="9"/>
    </w:lvlOverride>
  </w:num>
  <w:num w:numId="20">
    <w:abstractNumId w:val="11"/>
    <w:lvlOverride w:ilvl="0"/>
    <w:lvlOverride w:ilvl="1">
      <w:startOverride w:val="1"/>
    </w:lvlOverride>
  </w:num>
  <w:num w:numId="21">
    <w:abstractNumId w:val="4"/>
    <w:lvlOverride w:ilvl="0">
      <w:startOverride w:val="10"/>
    </w:lvlOverride>
  </w:num>
  <w:num w:numId="22">
    <w:abstractNumId w:val="20"/>
    <w:lvlOverride w:ilvl="0">
      <w:startOverride w:val="11"/>
    </w:lvlOverride>
  </w:num>
  <w:num w:numId="23">
    <w:abstractNumId w:val="7"/>
    <w:lvlOverride w:ilvl="0">
      <w:startOverride w:val="12"/>
    </w:lvlOverride>
  </w:num>
  <w:num w:numId="24">
    <w:abstractNumId w:val="17"/>
    <w:lvlOverride w:ilvl="0">
      <w:startOverride w:val="13"/>
    </w:lvlOverride>
  </w:num>
  <w:num w:numId="25">
    <w:abstractNumId w:val="15"/>
    <w:lvlOverride w:ilvl="0">
      <w:startOverride w:val="14"/>
    </w:lvlOverride>
  </w:num>
  <w:num w:numId="26">
    <w:abstractNumId w:val="12"/>
    <w:lvlOverride w:ilvl="0">
      <w:startOverride w:val="15"/>
    </w:lvlOverride>
  </w:num>
  <w:num w:numId="27">
    <w:abstractNumId w:val="14"/>
    <w:lvlOverride w:ilvl="0">
      <w:startOverride w:val="17"/>
    </w:lvlOverride>
  </w:num>
  <w:num w:numId="28">
    <w:abstractNumId w:val="18"/>
    <w:lvlOverride w:ilvl="0">
      <w:startOverride w:val="18"/>
    </w:lvlOverride>
  </w:num>
  <w:num w:numId="29">
    <w:abstractNumId w:val="8"/>
    <w:lvlOverride w:ilvl="0">
      <w:startOverride w:val="20"/>
    </w:lvlOverride>
  </w:num>
  <w:num w:numId="30">
    <w:abstractNumId w:val="2"/>
    <w:lvlOverride w:ilvl="0">
      <w:startOverride w:val="21"/>
    </w:lvlOverride>
  </w:num>
  <w:num w:numId="31">
    <w:abstractNumId w:val="6"/>
    <w:lvlOverride w:ilvl="0">
      <w:startOverride w:val="23"/>
    </w:lvlOverride>
  </w:num>
  <w:num w:numId="32">
    <w:abstractNumId w:val="23"/>
    <w:lvlOverride w:ilvl="0">
      <w:startOverride w:val="24"/>
    </w:lvlOverride>
  </w:num>
  <w:num w:numId="33">
    <w:abstractNumId w:val="10"/>
  </w:num>
  <w:num w:numId="34">
    <w:abstractNumId w:val="9"/>
  </w:num>
  <w:num w:numId="35">
    <w:abstractNumId w:val="16"/>
  </w:num>
  <w:num w:numId="36">
    <w:abstractNumId w:val="5"/>
  </w:num>
  <w:num w:numId="37">
    <w:abstractNumId w:val="19"/>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39B"/>
    <w:rsid w:val="000310C1"/>
    <w:rsid w:val="00051172"/>
    <w:rsid w:val="00053AE6"/>
    <w:rsid w:val="00066EDD"/>
    <w:rsid w:val="000960C4"/>
    <w:rsid w:val="000C19B8"/>
    <w:rsid w:val="000D4306"/>
    <w:rsid w:val="000E224F"/>
    <w:rsid w:val="000F2F03"/>
    <w:rsid w:val="0010039B"/>
    <w:rsid w:val="001027F2"/>
    <w:rsid w:val="00113612"/>
    <w:rsid w:val="00141B56"/>
    <w:rsid w:val="001541BA"/>
    <w:rsid w:val="001B42AC"/>
    <w:rsid w:val="001D492D"/>
    <w:rsid w:val="001D7531"/>
    <w:rsid w:val="001F692A"/>
    <w:rsid w:val="00215165"/>
    <w:rsid w:val="0022105C"/>
    <w:rsid w:val="002352C6"/>
    <w:rsid w:val="0023789E"/>
    <w:rsid w:val="0024065D"/>
    <w:rsid w:val="00246E48"/>
    <w:rsid w:val="00262068"/>
    <w:rsid w:val="00266FF9"/>
    <w:rsid w:val="002D38C1"/>
    <w:rsid w:val="002F3A09"/>
    <w:rsid w:val="002F5506"/>
    <w:rsid w:val="0032580C"/>
    <w:rsid w:val="00325A32"/>
    <w:rsid w:val="00342F57"/>
    <w:rsid w:val="00365BF6"/>
    <w:rsid w:val="00373A97"/>
    <w:rsid w:val="00373BA6"/>
    <w:rsid w:val="003A153A"/>
    <w:rsid w:val="003C24E7"/>
    <w:rsid w:val="003C6B4C"/>
    <w:rsid w:val="003D6776"/>
    <w:rsid w:val="0041162B"/>
    <w:rsid w:val="004147E2"/>
    <w:rsid w:val="00416BDF"/>
    <w:rsid w:val="00416E92"/>
    <w:rsid w:val="00445F7C"/>
    <w:rsid w:val="00482FE5"/>
    <w:rsid w:val="004A4580"/>
    <w:rsid w:val="004B57E8"/>
    <w:rsid w:val="004E4776"/>
    <w:rsid w:val="004F0C67"/>
    <w:rsid w:val="0050793E"/>
    <w:rsid w:val="00545794"/>
    <w:rsid w:val="0055448E"/>
    <w:rsid w:val="005830B8"/>
    <w:rsid w:val="005B7292"/>
    <w:rsid w:val="00600927"/>
    <w:rsid w:val="00600B78"/>
    <w:rsid w:val="006229CA"/>
    <w:rsid w:val="00697CD3"/>
    <w:rsid w:val="006A07FD"/>
    <w:rsid w:val="006B07E3"/>
    <w:rsid w:val="006C3051"/>
    <w:rsid w:val="006D4D4A"/>
    <w:rsid w:val="00702596"/>
    <w:rsid w:val="00714DE3"/>
    <w:rsid w:val="00746652"/>
    <w:rsid w:val="00766B59"/>
    <w:rsid w:val="00780AE6"/>
    <w:rsid w:val="00787BBC"/>
    <w:rsid w:val="007C2200"/>
    <w:rsid w:val="007F6278"/>
    <w:rsid w:val="00805741"/>
    <w:rsid w:val="008178AF"/>
    <w:rsid w:val="0082275D"/>
    <w:rsid w:val="00841B7C"/>
    <w:rsid w:val="0088238F"/>
    <w:rsid w:val="008A167C"/>
    <w:rsid w:val="008B63CE"/>
    <w:rsid w:val="008C3498"/>
    <w:rsid w:val="008C3E0B"/>
    <w:rsid w:val="00907F39"/>
    <w:rsid w:val="00927858"/>
    <w:rsid w:val="0095355B"/>
    <w:rsid w:val="00963A30"/>
    <w:rsid w:val="00983185"/>
    <w:rsid w:val="009A0BF3"/>
    <w:rsid w:val="009B2561"/>
    <w:rsid w:val="009B5293"/>
    <w:rsid w:val="00A30AB2"/>
    <w:rsid w:val="00A52688"/>
    <w:rsid w:val="00A72A37"/>
    <w:rsid w:val="00A77387"/>
    <w:rsid w:val="00A8789F"/>
    <w:rsid w:val="00AB4C31"/>
    <w:rsid w:val="00AC4D07"/>
    <w:rsid w:val="00AC6F38"/>
    <w:rsid w:val="00AD411D"/>
    <w:rsid w:val="00AF7115"/>
    <w:rsid w:val="00B10013"/>
    <w:rsid w:val="00B25F44"/>
    <w:rsid w:val="00B50B31"/>
    <w:rsid w:val="00B71F38"/>
    <w:rsid w:val="00BC265C"/>
    <w:rsid w:val="00BC3323"/>
    <w:rsid w:val="00BD261B"/>
    <w:rsid w:val="00BE0348"/>
    <w:rsid w:val="00BE1023"/>
    <w:rsid w:val="00BF5940"/>
    <w:rsid w:val="00C142AC"/>
    <w:rsid w:val="00C764CD"/>
    <w:rsid w:val="00C90DCD"/>
    <w:rsid w:val="00CE0D20"/>
    <w:rsid w:val="00CE590E"/>
    <w:rsid w:val="00D14337"/>
    <w:rsid w:val="00D15F3D"/>
    <w:rsid w:val="00D15FC7"/>
    <w:rsid w:val="00D25655"/>
    <w:rsid w:val="00D403E9"/>
    <w:rsid w:val="00D462A8"/>
    <w:rsid w:val="00D56615"/>
    <w:rsid w:val="00D74231"/>
    <w:rsid w:val="00D75D5C"/>
    <w:rsid w:val="00D77D47"/>
    <w:rsid w:val="00D77E9F"/>
    <w:rsid w:val="00DB6E86"/>
    <w:rsid w:val="00DE3A15"/>
    <w:rsid w:val="00DF1D7B"/>
    <w:rsid w:val="00DF4F93"/>
    <w:rsid w:val="00E30CEF"/>
    <w:rsid w:val="00E33483"/>
    <w:rsid w:val="00E37517"/>
    <w:rsid w:val="00E54146"/>
    <w:rsid w:val="00E7232A"/>
    <w:rsid w:val="00E97210"/>
    <w:rsid w:val="00EC3635"/>
    <w:rsid w:val="00EC76B6"/>
    <w:rsid w:val="00EE629D"/>
    <w:rsid w:val="00EF3931"/>
    <w:rsid w:val="00F065BF"/>
    <w:rsid w:val="00F07083"/>
    <w:rsid w:val="00F12B0F"/>
    <w:rsid w:val="00F20C3C"/>
    <w:rsid w:val="00FA71D0"/>
    <w:rsid w:val="00FC0E48"/>
    <w:rsid w:val="00FC7D48"/>
    <w:rsid w:val="00FD7907"/>
    <w:rsid w:val="00FE5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92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039B"/>
    <w:pPr>
      <w:spacing w:after="0" w:line="240" w:lineRule="auto"/>
    </w:pPr>
  </w:style>
  <w:style w:type="paragraph" w:styleId="BalloonText">
    <w:name w:val="Balloon Text"/>
    <w:basedOn w:val="Normal"/>
    <w:link w:val="BalloonTextChar"/>
    <w:uiPriority w:val="99"/>
    <w:semiHidden/>
    <w:unhideWhenUsed/>
    <w:rsid w:val="00983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185"/>
    <w:rPr>
      <w:rFonts w:ascii="Tahoma" w:hAnsi="Tahoma" w:cs="Tahoma"/>
      <w:sz w:val="16"/>
      <w:szCs w:val="16"/>
    </w:rPr>
  </w:style>
  <w:style w:type="character" w:customStyle="1" w:styleId="Heading1Char">
    <w:name w:val="Heading 1 Char"/>
    <w:basedOn w:val="DefaultParagraphFont"/>
    <w:link w:val="Heading1"/>
    <w:uiPriority w:val="9"/>
    <w:rsid w:val="0060092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6009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927"/>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600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60092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00927"/>
    <w:rPr>
      <w:rFonts w:eastAsiaTheme="minorEastAsia"/>
      <w:color w:val="5A5A5A" w:themeColor="text1" w:themeTint="A5"/>
      <w:spacing w:val="15"/>
    </w:rPr>
  </w:style>
  <w:style w:type="paragraph" w:styleId="Header">
    <w:name w:val="header"/>
    <w:basedOn w:val="Normal"/>
    <w:link w:val="HeaderChar"/>
    <w:uiPriority w:val="99"/>
    <w:unhideWhenUsed/>
    <w:rsid w:val="00907F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F39"/>
  </w:style>
  <w:style w:type="paragraph" w:styleId="Footer">
    <w:name w:val="footer"/>
    <w:basedOn w:val="Normal"/>
    <w:link w:val="FooterChar"/>
    <w:uiPriority w:val="99"/>
    <w:unhideWhenUsed/>
    <w:rsid w:val="00907F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F39"/>
  </w:style>
  <w:style w:type="paragraph" w:styleId="ListParagraph">
    <w:name w:val="List Paragraph"/>
    <w:basedOn w:val="Normal"/>
    <w:uiPriority w:val="34"/>
    <w:qFormat/>
    <w:rsid w:val="00416E92"/>
    <w:pPr>
      <w:ind w:left="720"/>
      <w:contextualSpacing/>
    </w:pPr>
  </w:style>
  <w:style w:type="character" w:styleId="Hyperlink">
    <w:name w:val="Hyperlink"/>
    <w:basedOn w:val="DefaultParagraphFont"/>
    <w:uiPriority w:val="99"/>
    <w:unhideWhenUsed/>
    <w:rsid w:val="002352C6"/>
    <w:rPr>
      <w:color w:val="0000FF" w:themeColor="hyperlink"/>
      <w:u w:val="single"/>
    </w:rPr>
  </w:style>
  <w:style w:type="character" w:styleId="FollowedHyperlink">
    <w:name w:val="FollowedHyperlink"/>
    <w:basedOn w:val="DefaultParagraphFont"/>
    <w:uiPriority w:val="99"/>
    <w:semiHidden/>
    <w:unhideWhenUsed/>
    <w:rsid w:val="002352C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92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039B"/>
    <w:pPr>
      <w:spacing w:after="0" w:line="240" w:lineRule="auto"/>
    </w:pPr>
  </w:style>
  <w:style w:type="paragraph" w:styleId="BalloonText">
    <w:name w:val="Balloon Text"/>
    <w:basedOn w:val="Normal"/>
    <w:link w:val="BalloonTextChar"/>
    <w:uiPriority w:val="99"/>
    <w:semiHidden/>
    <w:unhideWhenUsed/>
    <w:rsid w:val="00983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185"/>
    <w:rPr>
      <w:rFonts w:ascii="Tahoma" w:hAnsi="Tahoma" w:cs="Tahoma"/>
      <w:sz w:val="16"/>
      <w:szCs w:val="16"/>
    </w:rPr>
  </w:style>
  <w:style w:type="character" w:customStyle="1" w:styleId="Heading1Char">
    <w:name w:val="Heading 1 Char"/>
    <w:basedOn w:val="DefaultParagraphFont"/>
    <w:link w:val="Heading1"/>
    <w:uiPriority w:val="9"/>
    <w:rsid w:val="0060092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6009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927"/>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600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60092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00927"/>
    <w:rPr>
      <w:rFonts w:eastAsiaTheme="minorEastAsia"/>
      <w:color w:val="5A5A5A" w:themeColor="text1" w:themeTint="A5"/>
      <w:spacing w:val="15"/>
    </w:rPr>
  </w:style>
  <w:style w:type="paragraph" w:styleId="Header">
    <w:name w:val="header"/>
    <w:basedOn w:val="Normal"/>
    <w:link w:val="HeaderChar"/>
    <w:uiPriority w:val="99"/>
    <w:unhideWhenUsed/>
    <w:rsid w:val="00907F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F39"/>
  </w:style>
  <w:style w:type="paragraph" w:styleId="Footer">
    <w:name w:val="footer"/>
    <w:basedOn w:val="Normal"/>
    <w:link w:val="FooterChar"/>
    <w:uiPriority w:val="99"/>
    <w:unhideWhenUsed/>
    <w:rsid w:val="00907F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F39"/>
  </w:style>
  <w:style w:type="paragraph" w:styleId="ListParagraph">
    <w:name w:val="List Paragraph"/>
    <w:basedOn w:val="Normal"/>
    <w:uiPriority w:val="34"/>
    <w:qFormat/>
    <w:rsid w:val="00416E92"/>
    <w:pPr>
      <w:ind w:left="720"/>
      <w:contextualSpacing/>
    </w:pPr>
  </w:style>
  <w:style w:type="character" w:styleId="Hyperlink">
    <w:name w:val="Hyperlink"/>
    <w:basedOn w:val="DefaultParagraphFont"/>
    <w:uiPriority w:val="99"/>
    <w:unhideWhenUsed/>
    <w:rsid w:val="002352C6"/>
    <w:rPr>
      <w:color w:val="0000FF" w:themeColor="hyperlink"/>
      <w:u w:val="single"/>
    </w:rPr>
  </w:style>
  <w:style w:type="character" w:styleId="FollowedHyperlink">
    <w:name w:val="FollowedHyperlink"/>
    <w:basedOn w:val="DefaultParagraphFont"/>
    <w:uiPriority w:val="99"/>
    <w:semiHidden/>
    <w:unhideWhenUsed/>
    <w:rsid w:val="002352C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824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silverlightprism.wordpress.com/2015/05/12/introducing-the-so-apps-series-of-blog-articles-and-code-examples/" TargetMode="External"/><Relationship Id="rId13" Type="http://schemas.openxmlformats.org/officeDocument/2006/relationships/hyperlink" Target="http://www.idesign.net/Clinics/Architecture-Clinic"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idesign.net/Training/Architect-Master-Class" TargetMode="External"/><Relationship Id="rId17" Type="http://schemas.openxmlformats.org/officeDocument/2006/relationships/hyperlink" Target="http://iasaglobal.org/iasa/from-the-field-escaping-appland/" TargetMode="External"/><Relationship Id="rId2" Type="http://schemas.openxmlformats.org/officeDocument/2006/relationships/styles" Target="styles.xml"/><Relationship Id="rId16" Type="http://schemas.openxmlformats.org/officeDocument/2006/relationships/hyperlink" Target="http://www.idesign.net/Downloads/GetDownload/190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design.net/Downloads/GetDownload/1902" TargetMode="External"/><Relationship Id="rId5" Type="http://schemas.openxmlformats.org/officeDocument/2006/relationships/webSettings" Target="webSettings.xml"/><Relationship Id="rId15" Type="http://schemas.openxmlformats.org/officeDocument/2006/relationships/hyperlink" Target="http://stackoverflow.com/questions/904257/what-is-meant-by-open-and-closed-layered-architectures" TargetMode="External"/><Relationship Id="rId10" Type="http://schemas.openxmlformats.org/officeDocument/2006/relationships/hyperlink" Target="http://www.idesign.ne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tnetsilverlightprism.wordpress.com/2015/06/12/so-apps-2-wcfnqueuesmex2-a-system-of-collaborating-microservices/" TargetMode="External"/><Relationship Id="rId14" Type="http://schemas.openxmlformats.org/officeDocument/2006/relationships/hyperlink" Target="http://www.idesign.net/Downloads/GetDownload/19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1068</TotalTime>
  <Pages>6</Pages>
  <Words>2601</Words>
  <Characters>14830</Characters>
  <Application>Microsoft Office Word</Application>
  <DocSecurity>0</DocSecurity>
  <Lines>123</Lines>
  <Paragraphs>34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Introduction</vt:lpstr>
      <vt:lpstr>Definition of Terms and the Component Roles</vt:lpstr>
      <vt:lpstr>WcfNQueueSMEx2 Solution Structure  </vt:lpstr>
    </vt:vector>
  </TitlesOfParts>
  <Company>Microsoft</Company>
  <LinksUpToDate>false</LinksUpToDate>
  <CharactersWithSpaces>17397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dc:creator>
  <cp:lastModifiedBy>Geo</cp:lastModifiedBy>
  <cp:revision>46</cp:revision>
  <cp:lastPrinted>2015-06-26T13:38:00Z</cp:lastPrinted>
  <dcterms:created xsi:type="dcterms:W3CDTF">2015-05-19T13:48:00Z</dcterms:created>
  <dcterms:modified xsi:type="dcterms:W3CDTF">2015-06-26T13:44:00Z</dcterms:modified>
</cp:coreProperties>
</file>