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30" w:type="dxa"/>
        <w:tblLayout w:type="fixed"/>
        <w:tblLook w:val="0600" w:firstRow="0" w:lastRow="0" w:firstColumn="0" w:lastColumn="0" w:noHBand="1" w:noVBand="1"/>
      </w:tblPr>
      <w:tblGrid>
        <w:gridCol w:w="738"/>
        <w:gridCol w:w="630"/>
        <w:gridCol w:w="180"/>
        <w:gridCol w:w="720"/>
        <w:gridCol w:w="374"/>
        <w:gridCol w:w="357"/>
        <w:gridCol w:w="25"/>
        <w:gridCol w:w="720"/>
        <w:gridCol w:w="1386"/>
      </w:tblGrid>
      <w:tr w:rsidR="00E11F10" w:rsidTr="00E11F10">
        <w:trPr>
          <w:trHeight w:val="548"/>
        </w:trPr>
        <w:tc>
          <w:tcPr>
            <w:tcW w:w="2999" w:type="dxa"/>
            <w:gridSpan w:val="6"/>
            <w:tcBorders>
              <w:bottom w:val="single" w:sz="8" w:space="0" w:color="auto"/>
            </w:tcBorders>
          </w:tcPr>
          <w:p w:rsidR="00E11F10" w:rsidRPr="007B3E5E" w:rsidRDefault="00E11F10" w:rsidP="00E11F10">
            <w:pPr>
              <w:spacing w:line="240" w:lineRule="auto"/>
              <w:rPr>
                <w:b/>
              </w:rPr>
            </w:pPr>
            <w:proofErr w:type="spellStart"/>
            <w:r w:rsidRPr="008325AC">
              <w:rPr>
                <w:b/>
                <w:sz w:val="28"/>
              </w:rPr>
              <w:t>Val’Kyr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sz w:val="14"/>
                <w:szCs w:val="14"/>
              </w:rPr>
              <w:t>(Medium</w:t>
            </w:r>
            <w:r w:rsidRPr="009E2921">
              <w:rPr>
                <w:sz w:val="14"/>
                <w:szCs w:val="14"/>
              </w:rPr>
              <w:t xml:space="preserve"> aberration, lawful </w:t>
            </w:r>
            <w:r>
              <w:rPr>
                <w:sz w:val="14"/>
                <w:szCs w:val="14"/>
              </w:rPr>
              <w:t>evil</w:t>
            </w:r>
            <w:r w:rsidRPr="009E2921">
              <w:rPr>
                <w:sz w:val="14"/>
                <w:szCs w:val="14"/>
              </w:rPr>
              <w:t>)</w:t>
            </w:r>
          </w:p>
        </w:tc>
        <w:tc>
          <w:tcPr>
            <w:tcW w:w="2131" w:type="dxa"/>
            <w:gridSpan w:val="3"/>
            <w:tcBorders>
              <w:bottom w:val="single" w:sz="8" w:space="0" w:color="auto"/>
            </w:tcBorders>
          </w:tcPr>
          <w:p w:rsidR="00E11F10" w:rsidRDefault="00E11F10" w:rsidP="00E11F10">
            <w:pPr>
              <w:spacing w:line="240" w:lineRule="auto"/>
            </w:pPr>
            <w:r>
              <w:t xml:space="preserve">CR: 6 </w:t>
            </w:r>
            <w:r w:rsidRPr="007B3E5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2300</w:t>
            </w:r>
            <w:r w:rsidRPr="007B3E5E">
              <w:rPr>
                <w:sz w:val="20"/>
                <w:szCs w:val="20"/>
              </w:rPr>
              <w:t>XP)</w:t>
            </w:r>
          </w:p>
        </w:tc>
      </w:tr>
      <w:tr w:rsidR="00E11F10" w:rsidTr="00E11F10">
        <w:trPr>
          <w:trHeight w:val="376"/>
        </w:trPr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1F10" w:rsidRDefault="00E11F10" w:rsidP="00E11F10">
            <w:pPr>
              <w:spacing w:line="240" w:lineRule="auto"/>
            </w:pPr>
            <w:r>
              <w:t xml:space="preserve">AC: </w:t>
            </w:r>
            <w:r>
              <w:rPr>
                <w:b/>
              </w:rPr>
              <w:t>1</w:t>
            </w:r>
            <w:r w:rsidR="0080241F">
              <w:rPr>
                <w:b/>
              </w:rPr>
              <w:t>4</w:t>
            </w:r>
            <w:bookmarkStart w:id="0" w:name="_GoBack"/>
            <w:bookmarkEnd w:id="0"/>
          </w:p>
        </w:tc>
        <w:tc>
          <w:tcPr>
            <w:tcW w:w="12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1F10" w:rsidRDefault="00E11F10" w:rsidP="00E11F10">
            <w:pPr>
              <w:spacing w:line="240" w:lineRule="auto"/>
            </w:pPr>
            <w:r>
              <w:t xml:space="preserve">HP: </w:t>
            </w:r>
            <w:r>
              <w:rPr>
                <w:b/>
              </w:rPr>
              <w:t>50</w:t>
            </w:r>
          </w:p>
        </w:tc>
        <w:tc>
          <w:tcPr>
            <w:tcW w:w="248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1F10" w:rsidRDefault="00E11F10" w:rsidP="00E11F10">
            <w:pPr>
              <w:spacing w:line="240" w:lineRule="auto"/>
            </w:pPr>
            <w:r>
              <w:t>Run: 30ft, Fly: 60ft</w:t>
            </w:r>
          </w:p>
        </w:tc>
      </w:tr>
      <w:tr w:rsidR="00E11F10" w:rsidTr="00E11F10">
        <w:trPr>
          <w:trHeight w:val="712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1F10" w:rsidRDefault="00E11F10" w:rsidP="00E11F1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</w:t>
            </w:r>
          </w:p>
          <w:p w:rsidR="00E11F10" w:rsidRPr="00AF47B0" w:rsidRDefault="00E11F10" w:rsidP="00E11F1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7(</w:t>
            </w:r>
            <w:r>
              <w:rPr>
                <w:b/>
                <w:sz w:val="18"/>
                <w:szCs w:val="18"/>
              </w:rPr>
              <w:t>-2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1F10" w:rsidRDefault="00E11F10" w:rsidP="00E11F10">
            <w:pPr>
              <w:spacing w:line="240" w:lineRule="auto"/>
              <w:rPr>
                <w:sz w:val="18"/>
                <w:szCs w:val="18"/>
              </w:rPr>
            </w:pPr>
            <w:r w:rsidRPr="00AF47B0">
              <w:rPr>
                <w:sz w:val="18"/>
                <w:szCs w:val="18"/>
              </w:rPr>
              <w:t>DEX</w:t>
            </w:r>
          </w:p>
          <w:p w:rsidR="00E11F10" w:rsidRPr="00AF47B0" w:rsidRDefault="00E11F10" w:rsidP="00E11F1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16(</w:t>
            </w:r>
            <w:r>
              <w:rPr>
                <w:b/>
                <w:sz w:val="18"/>
                <w:szCs w:val="18"/>
              </w:rPr>
              <w:t>+3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1F10" w:rsidRDefault="00E11F10" w:rsidP="00E11F1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</w:t>
            </w:r>
          </w:p>
          <w:p w:rsidR="00E11F10" w:rsidRPr="00AF47B0" w:rsidRDefault="00E11F10" w:rsidP="00E11F1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12(</w:t>
            </w:r>
            <w:r>
              <w:rPr>
                <w:b/>
                <w:sz w:val="18"/>
                <w:szCs w:val="18"/>
              </w:rPr>
              <w:t>+1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1F10" w:rsidRDefault="00E11F10" w:rsidP="00E11F1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:rsidR="00E11F10" w:rsidRPr="00AF47B0" w:rsidRDefault="00E11F10" w:rsidP="00E11F1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13(</w:t>
            </w:r>
            <w:r>
              <w:rPr>
                <w:b/>
                <w:sz w:val="18"/>
                <w:szCs w:val="18"/>
              </w:rPr>
              <w:t>+1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1F10" w:rsidRDefault="00E11F10" w:rsidP="00E11F10">
            <w:pPr>
              <w:spacing w:line="240" w:lineRule="auto"/>
              <w:rPr>
                <w:sz w:val="18"/>
                <w:szCs w:val="18"/>
              </w:rPr>
            </w:pPr>
            <w:r w:rsidRPr="00AF47B0">
              <w:rPr>
                <w:sz w:val="18"/>
                <w:szCs w:val="18"/>
              </w:rPr>
              <w:t>WIS</w:t>
            </w:r>
          </w:p>
          <w:p w:rsidR="00E11F10" w:rsidRPr="00AF47B0" w:rsidRDefault="00E11F10" w:rsidP="00E11F1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14(</w:t>
            </w:r>
            <w:r w:rsidRPr="00DB61D4">
              <w:rPr>
                <w:b/>
                <w:sz w:val="18"/>
                <w:szCs w:val="18"/>
              </w:rPr>
              <w:t>+</w:t>
            </w:r>
            <w:r>
              <w:rPr>
                <w:b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1F10" w:rsidRDefault="00E11F10" w:rsidP="00E11F1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</w:t>
            </w:r>
          </w:p>
          <w:p w:rsidR="00E11F10" w:rsidRPr="00AF47B0" w:rsidRDefault="00E11F10" w:rsidP="00E11F1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16(</w:t>
            </w:r>
            <w:r>
              <w:rPr>
                <w:b/>
                <w:sz w:val="18"/>
                <w:szCs w:val="18"/>
              </w:rPr>
              <w:t>+3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E11F10" w:rsidRDefault="00E11F10"/>
    <w:tbl>
      <w:tblPr>
        <w:tblW w:w="5130" w:type="dxa"/>
        <w:tblLayout w:type="fixed"/>
        <w:tblLook w:val="0600" w:firstRow="0" w:lastRow="0" w:firstColumn="0" w:lastColumn="0" w:noHBand="1" w:noVBand="1"/>
      </w:tblPr>
      <w:tblGrid>
        <w:gridCol w:w="5130"/>
      </w:tblGrid>
      <w:tr w:rsidR="00E11F10" w:rsidTr="00E11F10">
        <w:trPr>
          <w:trHeight w:val="5081"/>
        </w:trPr>
        <w:tc>
          <w:tcPr>
            <w:tcW w:w="5130" w:type="dxa"/>
            <w:tcBorders>
              <w:top w:val="single" w:sz="8" w:space="0" w:color="auto"/>
            </w:tcBorders>
          </w:tcPr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Skills: </w:t>
            </w:r>
            <w:r>
              <w:rPr>
                <w:sz w:val="18"/>
                <w:szCs w:val="18"/>
              </w:rPr>
              <w:t>Perception +6, immune to prone</w:t>
            </w:r>
          </w:p>
          <w:p w:rsidR="00E11F10" w:rsidRDefault="00E11F10" w:rsidP="00E11F10">
            <w:pPr>
              <w:spacing w:after="240" w:line="240" w:lineRule="auto"/>
              <w:ind w:right="-184"/>
              <w:contextualSpacing/>
              <w:rPr>
                <w:b/>
                <w:sz w:val="18"/>
                <w:szCs w:val="18"/>
              </w:rPr>
            </w:pPr>
            <w:r w:rsidRPr="007B3E5E">
              <w:rPr>
                <w:b/>
                <w:sz w:val="18"/>
                <w:szCs w:val="18"/>
              </w:rPr>
              <w:t>Senses: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Darkvision</w:t>
            </w:r>
            <w:proofErr w:type="spellEnd"/>
            <w:r>
              <w:rPr>
                <w:sz w:val="18"/>
                <w:szCs w:val="18"/>
              </w:rPr>
              <w:t xml:space="preserve"> (120ft), Passive perception 16</w:t>
            </w: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 w:rsidRPr="007B3E5E">
              <w:rPr>
                <w:b/>
                <w:sz w:val="18"/>
                <w:szCs w:val="18"/>
              </w:rPr>
              <w:t>Languages:</w:t>
            </w:r>
            <w:r w:rsidRPr="007B3E5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Common, </w:t>
            </w:r>
            <w:proofErr w:type="spellStart"/>
            <w:r>
              <w:rPr>
                <w:sz w:val="18"/>
                <w:szCs w:val="18"/>
              </w:rPr>
              <w:t>Elvish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Gutterspeak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Dwarvish</w:t>
            </w:r>
            <w:proofErr w:type="spellEnd"/>
            <w:r>
              <w:rPr>
                <w:sz w:val="18"/>
                <w:szCs w:val="18"/>
              </w:rPr>
              <w:t>, Giant.</w:t>
            </w: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Hover: </w:t>
            </w:r>
            <w:r w:rsidRPr="003B7046">
              <w:rPr>
                <w:sz w:val="18"/>
                <w:szCs w:val="18"/>
              </w:rPr>
              <w:t>Hovers as long as it is alive</w:t>
            </w:r>
            <w:r>
              <w:rPr>
                <w:sz w:val="18"/>
                <w:szCs w:val="18"/>
              </w:rPr>
              <w:t>, can stand as well.</w:t>
            </w:r>
          </w:p>
          <w:p w:rsidR="00E11F10" w:rsidRPr="00567754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 w:rsidRPr="00567754">
              <w:rPr>
                <w:b/>
                <w:sz w:val="18"/>
                <w:szCs w:val="18"/>
              </w:rPr>
              <w:t>Damage Resistances</w:t>
            </w:r>
            <w:r>
              <w:rPr>
                <w:b/>
                <w:sz w:val="18"/>
                <w:szCs w:val="18"/>
              </w:rPr>
              <w:t>:</w:t>
            </w:r>
            <w:r w:rsidRPr="00567754">
              <w:rPr>
                <w:sz w:val="18"/>
                <w:szCs w:val="18"/>
              </w:rPr>
              <w:t xml:space="preserve"> acid, cold, fire, lightning, thunder;</w:t>
            </w:r>
          </w:p>
          <w:p w:rsidR="00E11F10" w:rsidRPr="00567754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 w:rsidRPr="00567754">
              <w:rPr>
                <w:sz w:val="18"/>
                <w:szCs w:val="18"/>
              </w:rPr>
              <w:t xml:space="preserve">bludgeoning, piercing, and slashing from </w:t>
            </w:r>
            <w:proofErr w:type="spellStart"/>
            <w:r w:rsidRPr="00567754">
              <w:rPr>
                <w:sz w:val="18"/>
                <w:szCs w:val="18"/>
              </w:rPr>
              <w:t>non magical</w:t>
            </w:r>
            <w:proofErr w:type="spellEnd"/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 w:rsidRPr="00567754">
              <w:rPr>
                <w:sz w:val="18"/>
                <w:szCs w:val="18"/>
              </w:rPr>
              <w:t>weapons that aren't silvered</w:t>
            </w:r>
            <w:r>
              <w:rPr>
                <w:sz w:val="18"/>
                <w:szCs w:val="18"/>
              </w:rPr>
              <w:t>.</w:t>
            </w:r>
          </w:p>
          <w:p w:rsidR="00E11F10" w:rsidRPr="00567754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 w:rsidRPr="00076A64">
              <w:rPr>
                <w:b/>
                <w:sz w:val="18"/>
                <w:szCs w:val="18"/>
              </w:rPr>
              <w:t>Damage Immunities</w:t>
            </w:r>
            <w:r>
              <w:rPr>
                <w:b/>
                <w:sz w:val="18"/>
                <w:szCs w:val="18"/>
              </w:rPr>
              <w:t>:</w:t>
            </w:r>
            <w:r w:rsidRPr="00567754">
              <w:rPr>
                <w:sz w:val="18"/>
                <w:szCs w:val="18"/>
              </w:rPr>
              <w:t xml:space="preserve"> necrotic, poison</w:t>
            </w:r>
          </w:p>
          <w:p w:rsidR="00E11F10" w:rsidRPr="00567754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 w:rsidRPr="00076A64">
              <w:rPr>
                <w:b/>
                <w:sz w:val="18"/>
                <w:szCs w:val="18"/>
              </w:rPr>
              <w:t>Condition Immunities</w:t>
            </w:r>
            <w:r>
              <w:rPr>
                <w:b/>
                <w:sz w:val="18"/>
                <w:szCs w:val="18"/>
              </w:rPr>
              <w:t>:</w:t>
            </w:r>
            <w:r w:rsidRPr="00567754">
              <w:rPr>
                <w:sz w:val="18"/>
                <w:szCs w:val="18"/>
              </w:rPr>
              <w:t xml:space="preserve"> charmed, exhaustion, grappled,</w:t>
            </w: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 w:rsidRPr="00567754">
              <w:rPr>
                <w:sz w:val="18"/>
                <w:szCs w:val="18"/>
              </w:rPr>
              <w:t>paralyzed, petrifie</w:t>
            </w:r>
            <w:r>
              <w:rPr>
                <w:sz w:val="18"/>
                <w:szCs w:val="18"/>
              </w:rPr>
              <w:t>d, poisoned, prone, restrained.</w:t>
            </w: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 w:rsidRPr="00B03DA4">
              <w:rPr>
                <w:b/>
                <w:sz w:val="18"/>
                <w:szCs w:val="18"/>
              </w:rPr>
              <w:t>Ethereal Sight</w:t>
            </w:r>
            <w:r>
              <w:rPr>
                <w:b/>
                <w:sz w:val="18"/>
                <w:szCs w:val="18"/>
              </w:rPr>
              <w:t>:</w:t>
            </w:r>
            <w:r w:rsidRPr="00B03DA4">
              <w:rPr>
                <w:sz w:val="18"/>
                <w:szCs w:val="18"/>
              </w:rPr>
              <w:t xml:space="preserve"> 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 w:rsidRPr="00B03DA4">
              <w:rPr>
                <w:sz w:val="18"/>
                <w:szCs w:val="18"/>
              </w:rPr>
              <w:t xml:space="preserve"> can see 60 feet into the Ethereal</w:t>
            </w:r>
            <w:r>
              <w:rPr>
                <w:sz w:val="18"/>
                <w:szCs w:val="18"/>
              </w:rPr>
              <w:t xml:space="preserve"> </w:t>
            </w:r>
            <w:r w:rsidRPr="00B03DA4">
              <w:rPr>
                <w:sz w:val="18"/>
                <w:szCs w:val="18"/>
              </w:rPr>
              <w:t>Plane when it is on the Material Plane, and vice versa.</w:t>
            </w: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 w:rsidRPr="00B03DA4">
              <w:rPr>
                <w:b/>
                <w:sz w:val="18"/>
                <w:szCs w:val="18"/>
              </w:rPr>
              <w:t>Incorporeal Movement:</w:t>
            </w:r>
            <w:r w:rsidRPr="00B03DA4">
              <w:rPr>
                <w:sz w:val="18"/>
                <w:szCs w:val="18"/>
              </w:rPr>
              <w:t xml:space="preserve"> 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 w:rsidRPr="00B03DA4">
              <w:rPr>
                <w:sz w:val="18"/>
                <w:szCs w:val="18"/>
              </w:rPr>
              <w:t xml:space="preserve"> can move through other</w:t>
            </w:r>
            <w:r>
              <w:rPr>
                <w:sz w:val="18"/>
                <w:szCs w:val="18"/>
              </w:rPr>
              <w:t xml:space="preserve"> </w:t>
            </w:r>
            <w:r w:rsidRPr="00B03DA4">
              <w:rPr>
                <w:sz w:val="18"/>
                <w:szCs w:val="18"/>
              </w:rPr>
              <w:t>creatures and objects as if they were difficult terrain. It takes 5</w:t>
            </w:r>
            <w:r>
              <w:rPr>
                <w:sz w:val="18"/>
                <w:szCs w:val="18"/>
              </w:rPr>
              <w:t xml:space="preserve"> </w:t>
            </w:r>
            <w:r w:rsidRPr="00B03DA4">
              <w:rPr>
                <w:sz w:val="18"/>
                <w:szCs w:val="18"/>
              </w:rPr>
              <w:t>(1d10) force damage if it ends its turn in side an object.</w:t>
            </w: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noProof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3063922" cy="2317331"/>
                  <wp:effectExtent l="0" t="0" r="3175" b="6985"/>
                  <wp:docPr id="1" name="Picture 1" descr="https://s-media-cache-ak0.pinimg.com/originals/ab/5a/55/ab5a55e5c486211eac706be4d1e2e09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-media-cache-ak0.pinimg.com/originals/ab/5a/55/ab5a55e5c486211eac706be4d1e2e09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30" r="6008" b="3828"/>
                          <a:stretch/>
                        </pic:blipFill>
                        <pic:spPr bwMode="auto">
                          <a:xfrm>
                            <a:off x="0" y="0"/>
                            <a:ext cx="3099073" cy="2343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  <w:u w:val="single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  <w:u w:val="single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  <w:u w:val="single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  <w:u w:val="single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  <w:u w:val="single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  <w:u w:val="single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  <w:u w:val="single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  <w:u w:val="single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  <w:u w:val="single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  <w:u w:val="single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  <w:u w:val="single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  <w:u w:val="single"/>
              </w:rPr>
            </w:pPr>
            <w:r w:rsidRPr="007B3E5E">
              <w:rPr>
                <w:b/>
                <w:sz w:val="18"/>
                <w:szCs w:val="18"/>
                <w:u w:val="single"/>
              </w:rPr>
              <w:t>Weapons</w:t>
            </w:r>
            <w:r>
              <w:rPr>
                <w:b/>
                <w:sz w:val="18"/>
                <w:szCs w:val="18"/>
                <w:u w:val="single"/>
              </w:rPr>
              <w:t xml:space="preserve"> and Spells</w:t>
            </w:r>
            <w:r w:rsidRPr="007B3E5E">
              <w:rPr>
                <w:b/>
                <w:sz w:val="18"/>
                <w:szCs w:val="18"/>
                <w:u w:val="single"/>
              </w:rPr>
              <w:t>:</w:t>
            </w: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  <w:u w:val="single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Longsword: </w:t>
            </w:r>
            <w:r w:rsidRPr="00B03DA4">
              <w:rPr>
                <w:sz w:val="18"/>
                <w:szCs w:val="18"/>
              </w:rPr>
              <w:t>Melee Weapon Attack +</w:t>
            </w:r>
            <w:r>
              <w:rPr>
                <w:sz w:val="18"/>
                <w:szCs w:val="18"/>
              </w:rPr>
              <w:t>5</w:t>
            </w:r>
            <w:r w:rsidRPr="00B03DA4">
              <w:rPr>
                <w:sz w:val="18"/>
                <w:szCs w:val="18"/>
              </w:rPr>
              <w:t xml:space="preserve"> to hit, reach 5 </w:t>
            </w:r>
            <w:proofErr w:type="spellStart"/>
            <w:r w:rsidRPr="00B03DA4">
              <w:rPr>
                <w:sz w:val="18"/>
                <w:szCs w:val="18"/>
              </w:rPr>
              <w:t>ft</w:t>
            </w:r>
            <w:proofErr w:type="spellEnd"/>
            <w:r w:rsidRPr="00B03DA4">
              <w:rPr>
                <w:sz w:val="18"/>
                <w:szCs w:val="18"/>
              </w:rPr>
              <w:t>, one</w:t>
            </w:r>
            <w:r>
              <w:rPr>
                <w:sz w:val="18"/>
                <w:szCs w:val="18"/>
              </w:rPr>
              <w:t xml:space="preserve"> target. Hit:(1d8 +2</w:t>
            </w:r>
            <w:r w:rsidRPr="00B03DA4">
              <w:rPr>
                <w:sz w:val="18"/>
                <w:szCs w:val="18"/>
              </w:rPr>
              <w:t>) slashing damage.</w:t>
            </w: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 w:rsidRPr="00B03DA4">
              <w:rPr>
                <w:b/>
                <w:sz w:val="18"/>
                <w:szCs w:val="18"/>
              </w:rPr>
              <w:t xml:space="preserve">Withering </w:t>
            </w:r>
            <w:proofErr w:type="spellStart"/>
            <w:r>
              <w:rPr>
                <w:b/>
                <w:sz w:val="18"/>
                <w:szCs w:val="18"/>
              </w:rPr>
              <w:t>Lifeforce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 w:rsidRPr="00B03DA4">
              <w:rPr>
                <w:b/>
                <w:sz w:val="18"/>
                <w:szCs w:val="18"/>
              </w:rPr>
              <w:t>Touch: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(2 Charges)</w:t>
            </w:r>
            <w:r w:rsidRPr="00B03DA4">
              <w:rPr>
                <w:sz w:val="18"/>
                <w:szCs w:val="18"/>
              </w:rPr>
              <w:t xml:space="preserve"> Melee Weapon Attack: +5 to hit, reach 5 ft.,</w:t>
            </w:r>
            <w:r>
              <w:rPr>
                <w:sz w:val="18"/>
                <w:szCs w:val="18"/>
              </w:rPr>
              <w:t xml:space="preserve"> </w:t>
            </w:r>
            <w:r w:rsidRPr="00B03DA4">
              <w:rPr>
                <w:sz w:val="18"/>
                <w:szCs w:val="18"/>
              </w:rPr>
              <w:t>one target. Hi</w:t>
            </w:r>
            <w:r>
              <w:rPr>
                <w:sz w:val="18"/>
                <w:szCs w:val="18"/>
              </w:rPr>
              <w:t>t: 14 (3d6 + 3) necrotic damage, he may also choose to either reduce a player’s strength and constitution by 2 for 2 hours or</w:t>
            </w:r>
            <w:r w:rsidRPr="00B03DA4"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heal half of the damage dealt rounded up. </w:t>
            </w: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Terrifying Visage:</w:t>
            </w:r>
            <w:r w:rsidRPr="00C61092">
              <w:rPr>
                <w:sz w:val="18"/>
                <w:szCs w:val="18"/>
              </w:rPr>
              <w:t xml:space="preserve"> Each non-undead creature within 60 feet</w:t>
            </w:r>
            <w:r>
              <w:rPr>
                <w:sz w:val="18"/>
                <w:szCs w:val="18"/>
              </w:rPr>
              <w:t xml:space="preserve"> </w:t>
            </w:r>
            <w:r w:rsidRPr="00C61092">
              <w:rPr>
                <w:sz w:val="18"/>
                <w:szCs w:val="18"/>
              </w:rPr>
              <w:t xml:space="preserve">of 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 w:rsidRPr="00C61092">
              <w:rPr>
                <w:sz w:val="18"/>
                <w:szCs w:val="18"/>
              </w:rPr>
              <w:t xml:space="preserve"> that can see it must succeed on a DC 13 Wisdom</w:t>
            </w:r>
            <w:r>
              <w:rPr>
                <w:sz w:val="18"/>
                <w:szCs w:val="18"/>
              </w:rPr>
              <w:t xml:space="preserve"> </w:t>
            </w:r>
            <w:r w:rsidRPr="00C61092">
              <w:rPr>
                <w:sz w:val="18"/>
                <w:szCs w:val="18"/>
              </w:rPr>
              <w:t>saving throw or be frightened for 1 minute</w:t>
            </w:r>
            <w:r>
              <w:rPr>
                <w:sz w:val="18"/>
                <w:szCs w:val="18"/>
              </w:rPr>
              <w:t xml:space="preserve">. This happens automatically at the beginning of 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>
              <w:rPr>
                <w:sz w:val="18"/>
                <w:szCs w:val="18"/>
              </w:rPr>
              <w:t xml:space="preserve"> first turn. The Target can make a DC 13 saving throw at the beginning of each turn to break the effect.</w:t>
            </w: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Consume Soul:</w:t>
            </w:r>
            <w:r>
              <w:rPr>
                <w:sz w:val="18"/>
                <w:szCs w:val="18"/>
              </w:rPr>
              <w:t xml:space="preserve"> R</w:t>
            </w:r>
            <w:r w:rsidRPr="00B03DA4">
              <w:rPr>
                <w:sz w:val="18"/>
                <w:szCs w:val="18"/>
              </w:rPr>
              <w:t xml:space="preserve">each </w:t>
            </w:r>
            <w:r>
              <w:rPr>
                <w:sz w:val="18"/>
                <w:szCs w:val="18"/>
              </w:rPr>
              <w:t>1</w:t>
            </w:r>
            <w:r w:rsidRPr="00B03DA4">
              <w:rPr>
                <w:sz w:val="18"/>
                <w:szCs w:val="18"/>
              </w:rPr>
              <w:t>5 ft.</w:t>
            </w:r>
            <w:r>
              <w:rPr>
                <w:sz w:val="18"/>
                <w:szCs w:val="18"/>
              </w:rPr>
              <w:t xml:space="preserve">, 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>
              <w:rPr>
                <w:sz w:val="18"/>
                <w:szCs w:val="18"/>
              </w:rPr>
              <w:t xml:space="preserve"> targets an undead creature or a creature who is less than one hit die away from 0 hp. The any unwilling target makes a constitution or wisdom save with a DC of 18, or is instantly brought down to 0 HP and cannot gain health until 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>
              <w:rPr>
                <w:sz w:val="18"/>
                <w:szCs w:val="18"/>
              </w:rPr>
              <w:t xml:space="preserve"> dies or releases it willingly. The body still needs to make saving throws and stabilized. 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>
              <w:rPr>
                <w:sz w:val="18"/>
                <w:szCs w:val="18"/>
              </w:rPr>
              <w:t xml:space="preserve"> also roles a hit die from the target creature and receive that much health.</w:t>
            </w: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Val’kyr</w:t>
            </w:r>
            <w:proofErr w:type="spellEnd"/>
            <w:r>
              <w:rPr>
                <w:b/>
                <w:sz w:val="18"/>
                <w:szCs w:val="18"/>
              </w:rPr>
              <w:t xml:space="preserve"> Furry:</w:t>
            </w:r>
            <w:r>
              <w:rPr>
                <w:sz w:val="18"/>
                <w:szCs w:val="18"/>
              </w:rPr>
              <w:t xml:space="preserve"> (3 Charges) Bonus Action, 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>
              <w:rPr>
                <w:sz w:val="18"/>
                <w:szCs w:val="18"/>
              </w:rPr>
              <w:t xml:space="preserve"> burns a charge and my take an extra action this turn.</w:t>
            </w: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</w:rPr>
            </w:pP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Raise the Dead: </w:t>
            </w:r>
            <w:r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>
              <w:rPr>
                <w:sz w:val="18"/>
                <w:szCs w:val="18"/>
              </w:rPr>
              <w:t xml:space="preserve"> targets a humanoid creature that is dead, and brings it back to life. It uses the Skeleton Creature template.</w:t>
            </w:r>
          </w:p>
          <w:p w:rsidR="00E11F10" w:rsidRDefault="00E11F10" w:rsidP="00E11F10">
            <w:pPr>
              <w:spacing w:after="240" w:line="240" w:lineRule="auto"/>
              <w:contextualSpacing/>
              <w:rPr>
                <w:b/>
                <w:sz w:val="18"/>
                <w:szCs w:val="18"/>
              </w:rPr>
            </w:pPr>
          </w:p>
          <w:p w:rsidR="00E11F10" w:rsidRPr="00176845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 w:rsidRPr="00176845">
              <w:rPr>
                <w:b/>
                <w:sz w:val="18"/>
                <w:szCs w:val="18"/>
              </w:rPr>
              <w:t>Possession</w:t>
            </w:r>
            <w:r>
              <w:rPr>
                <w:sz w:val="18"/>
                <w:szCs w:val="18"/>
              </w:rPr>
              <w:t xml:space="preserve"> (3 Charges</w:t>
            </w:r>
            <w:r w:rsidRPr="00176845">
              <w:rPr>
                <w:sz w:val="18"/>
                <w:szCs w:val="18"/>
              </w:rPr>
              <w:t xml:space="preserve">). One humanoid that 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 w:rsidRPr="00176845">
              <w:rPr>
                <w:sz w:val="18"/>
                <w:szCs w:val="18"/>
              </w:rPr>
              <w:t xml:space="preserve"> can see</w:t>
            </w:r>
            <w:r>
              <w:rPr>
                <w:sz w:val="18"/>
                <w:szCs w:val="18"/>
              </w:rPr>
              <w:t xml:space="preserve"> </w:t>
            </w:r>
            <w:r w:rsidRPr="00176845">
              <w:rPr>
                <w:sz w:val="18"/>
                <w:szCs w:val="18"/>
              </w:rPr>
              <w:t>within 5 feet of it must succeed on a DC 13 Charisma saving</w:t>
            </w:r>
            <w:r>
              <w:rPr>
                <w:sz w:val="18"/>
                <w:szCs w:val="18"/>
              </w:rPr>
              <w:t xml:space="preserve"> </w:t>
            </w:r>
            <w:r w:rsidRPr="00176845">
              <w:rPr>
                <w:sz w:val="18"/>
                <w:szCs w:val="18"/>
              </w:rPr>
              <w:t xml:space="preserve">throw or be possessed by 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 w:rsidRPr="00176845">
              <w:rPr>
                <w:sz w:val="18"/>
                <w:szCs w:val="18"/>
              </w:rPr>
              <w:t xml:space="preserve">; 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 w:rsidRPr="00176845">
              <w:rPr>
                <w:sz w:val="18"/>
                <w:szCs w:val="18"/>
              </w:rPr>
              <w:t xml:space="preserve"> then disappears,</w:t>
            </w:r>
            <w:r>
              <w:rPr>
                <w:sz w:val="18"/>
                <w:szCs w:val="18"/>
              </w:rPr>
              <w:t xml:space="preserve"> and the target is inca</w:t>
            </w:r>
            <w:r w:rsidRPr="00176845">
              <w:rPr>
                <w:sz w:val="18"/>
                <w:szCs w:val="18"/>
              </w:rPr>
              <w:t>pacitated and loses control of its body.</w:t>
            </w:r>
            <w:r>
              <w:rPr>
                <w:sz w:val="18"/>
                <w:szCs w:val="18"/>
              </w:rPr>
              <w:t xml:space="preserve"> </w:t>
            </w:r>
            <w:r w:rsidRPr="00176845"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 w:rsidRPr="00176845">
              <w:rPr>
                <w:sz w:val="18"/>
                <w:szCs w:val="18"/>
              </w:rPr>
              <w:t xml:space="preserve"> now controls the body but doesn't deprive the target</w:t>
            </w:r>
            <w:r>
              <w:rPr>
                <w:sz w:val="18"/>
                <w:szCs w:val="18"/>
              </w:rPr>
              <w:t xml:space="preserve"> </w:t>
            </w:r>
            <w:r w:rsidRPr="00176845">
              <w:rPr>
                <w:sz w:val="18"/>
                <w:szCs w:val="18"/>
              </w:rPr>
              <w:t xml:space="preserve">of awareness. 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 w:rsidRPr="00176845">
              <w:rPr>
                <w:sz w:val="18"/>
                <w:szCs w:val="18"/>
              </w:rPr>
              <w:t xml:space="preserve"> can't be targeted by any attack, spell,</w:t>
            </w:r>
            <w:r>
              <w:rPr>
                <w:sz w:val="18"/>
                <w:szCs w:val="18"/>
              </w:rPr>
              <w:t xml:space="preserve"> </w:t>
            </w:r>
            <w:r w:rsidRPr="00176845">
              <w:rPr>
                <w:sz w:val="18"/>
                <w:szCs w:val="18"/>
              </w:rPr>
              <w:t>or other effect, except ones that turn undead, and it retains its</w:t>
            </w:r>
            <w:r>
              <w:rPr>
                <w:sz w:val="18"/>
                <w:szCs w:val="18"/>
              </w:rPr>
              <w:t xml:space="preserve"> </w:t>
            </w:r>
            <w:r w:rsidRPr="00176845">
              <w:rPr>
                <w:sz w:val="18"/>
                <w:szCs w:val="18"/>
              </w:rPr>
              <w:t>alignment, Intelligence, Wisdom, Charisma, and immunity to</w:t>
            </w:r>
            <w:r>
              <w:rPr>
                <w:sz w:val="18"/>
                <w:szCs w:val="18"/>
              </w:rPr>
              <w:t xml:space="preserve"> </w:t>
            </w:r>
            <w:r w:rsidRPr="00176845">
              <w:rPr>
                <w:sz w:val="18"/>
                <w:szCs w:val="18"/>
              </w:rPr>
              <w:t>being charmed and frightened. It otherwise uses the</w:t>
            </w:r>
            <w:r>
              <w:rPr>
                <w:sz w:val="18"/>
                <w:szCs w:val="18"/>
              </w:rPr>
              <w:t xml:space="preserve"> </w:t>
            </w:r>
            <w:r w:rsidRPr="00176845">
              <w:rPr>
                <w:sz w:val="18"/>
                <w:szCs w:val="18"/>
              </w:rPr>
              <w:t>possessed</w:t>
            </w:r>
            <w:r>
              <w:rPr>
                <w:sz w:val="18"/>
                <w:szCs w:val="18"/>
              </w:rPr>
              <w:t xml:space="preserve"> </w:t>
            </w:r>
            <w:r w:rsidRPr="00176845">
              <w:rPr>
                <w:sz w:val="18"/>
                <w:szCs w:val="18"/>
              </w:rPr>
              <w:t>target's statistics, but doesn't gain access to the target's</w:t>
            </w:r>
            <w:r>
              <w:rPr>
                <w:sz w:val="18"/>
                <w:szCs w:val="18"/>
              </w:rPr>
              <w:t xml:space="preserve"> </w:t>
            </w:r>
            <w:r w:rsidRPr="00176845">
              <w:rPr>
                <w:sz w:val="18"/>
                <w:szCs w:val="18"/>
              </w:rPr>
              <w:t>knowledge, class features, or proficiencies.</w:t>
            </w:r>
          </w:p>
          <w:p w:rsidR="00E11F10" w:rsidRPr="00176845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 w:rsidRPr="00176845">
              <w:rPr>
                <w:sz w:val="18"/>
                <w:szCs w:val="18"/>
              </w:rPr>
              <w:t>The possession lasts until the body drops to 0 hit points,</w:t>
            </w:r>
          </w:p>
          <w:p w:rsidR="00E11F10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  <w:r w:rsidRPr="00176845"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 w:rsidRPr="00176845">
              <w:rPr>
                <w:sz w:val="18"/>
                <w:szCs w:val="18"/>
              </w:rPr>
              <w:t xml:space="preserve"> ends it as a bonus action, or 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 w:rsidRPr="00176845">
              <w:rPr>
                <w:sz w:val="18"/>
                <w:szCs w:val="18"/>
              </w:rPr>
              <w:t xml:space="preserve"> is turned or</w:t>
            </w:r>
            <w:r>
              <w:rPr>
                <w:sz w:val="18"/>
                <w:szCs w:val="18"/>
              </w:rPr>
              <w:t xml:space="preserve"> forced out by an effect li</w:t>
            </w:r>
            <w:r w:rsidRPr="00176845">
              <w:rPr>
                <w:sz w:val="18"/>
                <w:szCs w:val="18"/>
              </w:rPr>
              <w:t xml:space="preserve">ke the dispel evil and good spell. </w:t>
            </w:r>
            <w:r>
              <w:rPr>
                <w:sz w:val="18"/>
                <w:szCs w:val="18"/>
              </w:rPr>
              <w:t xml:space="preserve">The also when the target takes damage 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>
              <w:rPr>
                <w:sz w:val="18"/>
                <w:szCs w:val="18"/>
              </w:rPr>
              <w:t xml:space="preserve"> must make a constitution save at 4+(damage done)/2 to stay in the body or be forced out. </w:t>
            </w:r>
            <w:r w:rsidRPr="00176845">
              <w:rPr>
                <w:sz w:val="18"/>
                <w:szCs w:val="18"/>
              </w:rPr>
              <w:t>When</w:t>
            </w:r>
            <w:r>
              <w:rPr>
                <w:sz w:val="18"/>
                <w:szCs w:val="18"/>
              </w:rPr>
              <w:t xml:space="preserve"> </w:t>
            </w:r>
            <w:r w:rsidRPr="00176845">
              <w:rPr>
                <w:sz w:val="18"/>
                <w:szCs w:val="18"/>
              </w:rPr>
              <w:t xml:space="preserve">the possession ends, the </w:t>
            </w:r>
            <w:proofErr w:type="spellStart"/>
            <w:r>
              <w:rPr>
                <w:sz w:val="18"/>
                <w:szCs w:val="18"/>
              </w:rPr>
              <w:t>Val’kyr</w:t>
            </w:r>
            <w:proofErr w:type="spellEnd"/>
            <w:r w:rsidRPr="00176845">
              <w:rPr>
                <w:sz w:val="18"/>
                <w:szCs w:val="18"/>
              </w:rPr>
              <w:t xml:space="preserve"> reappears in an unoccupied</w:t>
            </w:r>
            <w:r>
              <w:rPr>
                <w:sz w:val="18"/>
                <w:szCs w:val="18"/>
              </w:rPr>
              <w:t xml:space="preserve"> </w:t>
            </w:r>
            <w:r w:rsidRPr="00176845">
              <w:rPr>
                <w:sz w:val="18"/>
                <w:szCs w:val="18"/>
              </w:rPr>
              <w:t>space within 5 feet of the body. The target is immune to this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Val’kyr</w:t>
            </w:r>
            <w:r w:rsidRPr="00176845">
              <w:rPr>
                <w:sz w:val="18"/>
                <w:szCs w:val="18"/>
              </w:rPr>
              <w:t>'s</w:t>
            </w:r>
            <w:proofErr w:type="spellEnd"/>
            <w:r w:rsidRPr="00176845">
              <w:rPr>
                <w:sz w:val="18"/>
                <w:szCs w:val="18"/>
              </w:rPr>
              <w:t xml:space="preserve"> Possession for 24 hours after succeeding on the saving</w:t>
            </w:r>
            <w:r>
              <w:rPr>
                <w:sz w:val="18"/>
                <w:szCs w:val="18"/>
              </w:rPr>
              <w:t xml:space="preserve"> </w:t>
            </w:r>
            <w:r w:rsidRPr="00176845">
              <w:rPr>
                <w:sz w:val="18"/>
                <w:szCs w:val="18"/>
              </w:rPr>
              <w:t>throw or after the possession ends.</w:t>
            </w:r>
          </w:p>
          <w:p w:rsidR="00E11F10" w:rsidRPr="00176845" w:rsidRDefault="00E11F10" w:rsidP="00E11F10">
            <w:pPr>
              <w:spacing w:after="240" w:line="240" w:lineRule="auto"/>
              <w:contextualSpacing/>
              <w:rPr>
                <w:sz w:val="18"/>
                <w:szCs w:val="18"/>
              </w:rPr>
            </w:pPr>
          </w:p>
        </w:tc>
      </w:tr>
    </w:tbl>
    <w:p w:rsidR="0001588F" w:rsidRDefault="0080241F"/>
    <w:sectPr w:rsidR="0001588F" w:rsidSect="00E11F1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10"/>
    <w:rsid w:val="00587BB3"/>
    <w:rsid w:val="0080241F"/>
    <w:rsid w:val="00E11F10"/>
    <w:rsid w:val="00FA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F844"/>
  <w15:chartTrackingRefBased/>
  <w15:docId w15:val="{BA7ABDAF-4F6B-4EB8-8B01-E8F7C1B0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F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2017-03-30T01:12:00Z</dcterms:created>
  <dcterms:modified xsi:type="dcterms:W3CDTF">2017-03-30T01:23:00Z</dcterms:modified>
</cp:coreProperties>
</file>