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284" w:rsidRPr="00883A6D" w:rsidRDefault="00CD5AAC" w:rsidP="00CD5AAC">
      <w:pPr>
        <w:rPr>
          <w:rFonts w:asciiTheme="majorHAnsi" w:hAnsiTheme="majorHAnsi" w:cstheme="majorHAnsi"/>
          <w:sz w:val="20"/>
          <w:szCs w:val="20"/>
        </w:rPr>
      </w:pPr>
      <w:r w:rsidRPr="00883A6D">
        <w:rPr>
          <w:rFonts w:asciiTheme="majorHAnsi" w:hAnsiTheme="majorHAnsi" w:cstheme="majorHAnsi"/>
          <w:sz w:val="20"/>
          <w:szCs w:val="20"/>
        </w:rPr>
        <w:t>Gordon Sun</w:t>
      </w:r>
    </w:p>
    <w:p w:rsidR="00CD5AAC" w:rsidRPr="00D90321" w:rsidRDefault="00CD5AAC" w:rsidP="00CD5AAC">
      <w:pPr>
        <w:rPr>
          <w:rFonts w:asciiTheme="majorHAnsi" w:hAnsiTheme="majorHAnsi" w:cstheme="majorHAnsi"/>
          <w:b/>
          <w:sz w:val="20"/>
          <w:szCs w:val="20"/>
        </w:rPr>
      </w:pPr>
      <w:r w:rsidRPr="00D90321">
        <w:rPr>
          <w:rFonts w:asciiTheme="majorHAnsi" w:hAnsiTheme="majorHAnsi" w:cstheme="majorHAnsi"/>
          <w:b/>
          <w:sz w:val="20"/>
          <w:szCs w:val="20"/>
        </w:rPr>
        <w:t>Project 2: Enzyme Kinetics, Reproduce all of Figure 2 from “</w:t>
      </w:r>
      <w:proofErr w:type="spellStart"/>
      <w:r w:rsidRPr="00D90321">
        <w:rPr>
          <w:rFonts w:asciiTheme="majorHAnsi" w:hAnsiTheme="majorHAnsi" w:cstheme="majorHAnsi"/>
          <w:b/>
          <w:bCs/>
          <w:sz w:val="20"/>
          <w:szCs w:val="20"/>
        </w:rPr>
        <w:t>Quasiequilibrium</w:t>
      </w:r>
      <w:proofErr w:type="spellEnd"/>
      <w:r w:rsidRPr="00D90321">
        <w:rPr>
          <w:rFonts w:asciiTheme="majorHAnsi" w:hAnsiTheme="majorHAnsi" w:cstheme="majorHAnsi"/>
          <w:b/>
          <w:bCs/>
          <w:sz w:val="20"/>
          <w:szCs w:val="20"/>
        </w:rPr>
        <w:t xml:space="preserve"> approximation of fast reaction kinetics in stochastic biochemical </w:t>
      </w:r>
      <w:r w:rsidRPr="00D90321">
        <w:rPr>
          <w:rFonts w:asciiTheme="majorHAnsi" w:hAnsiTheme="majorHAnsi" w:cstheme="majorHAnsi"/>
          <w:b/>
          <w:sz w:val="20"/>
          <w:szCs w:val="20"/>
        </w:rPr>
        <w:t>Systems”</w:t>
      </w:r>
    </w:p>
    <w:p w:rsidR="00CD5AAC" w:rsidRPr="00883A6D" w:rsidRDefault="00CD5AAC" w:rsidP="00CD5AAC">
      <w:pPr>
        <w:rPr>
          <w:rFonts w:asciiTheme="majorHAnsi" w:hAnsiTheme="majorHAnsi" w:cstheme="majorHAnsi"/>
          <w:sz w:val="20"/>
          <w:szCs w:val="20"/>
        </w:rPr>
      </w:pPr>
      <w:r w:rsidRPr="00883A6D">
        <w:rPr>
          <w:rFonts w:asciiTheme="majorHAnsi" w:hAnsiTheme="majorHAnsi" w:cstheme="majorHAnsi"/>
          <w:sz w:val="20"/>
          <w:szCs w:val="20"/>
        </w:rPr>
        <w:t>The objective for this project was to implement a Monte Carlo simulation of a common enzyme catalyzed reaction using the Gillespie algorithm. This system is characterized by the following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5570"/>
      </w:tblGrid>
      <w:tr w:rsidR="00883A6D" w:rsidRPr="00883A6D" w:rsidTr="00883A6D">
        <w:tc>
          <w:tcPr>
            <w:tcW w:w="3780" w:type="dxa"/>
          </w:tcPr>
          <w:p w:rsidR="00883A6D" w:rsidRPr="00883A6D" w:rsidRDefault="00883A6D" w:rsidP="00883A6D">
            <w:pPr>
              <w:rPr>
                <w:rFonts w:asciiTheme="majorHAnsi" w:eastAsiaTheme="minorEastAsia" w:hAnsiTheme="majorHAnsi" w:cstheme="majorHAnsi"/>
                <w:bCs/>
                <w:sz w:val="20"/>
                <w:szCs w:val="20"/>
              </w:rPr>
            </w:pPr>
            <w:r w:rsidRPr="00883A6D">
              <w:rPr>
                <w:rFonts w:asciiTheme="majorHAnsi" w:hAnsiTheme="majorHAnsi" w:cstheme="majorHAnsi"/>
                <w:sz w:val="20"/>
                <w:szCs w:val="20"/>
              </w:rPr>
              <w:t>Reaction 1:</w:t>
            </w:r>
            <w:r w:rsidRPr="00883A6D">
              <w:rPr>
                <w:rFonts w:asciiTheme="majorHAnsi" w:hAnsiTheme="majorHAnsi" w:cstheme="majorHAnsi"/>
                <w:sz w:val="20"/>
                <w:szCs w:val="20"/>
              </w:rPr>
              <w:tab/>
            </w:r>
            <w:r w:rsidRPr="00883A6D">
              <w:rPr>
                <w:rFonts w:asciiTheme="majorHAnsi" w:hAnsiTheme="majorHAnsi" w:cstheme="majorHAnsi"/>
                <w:sz w:val="20"/>
                <w:szCs w:val="20"/>
              </w:rPr>
              <w:tab/>
            </w:r>
            <m:oMath>
              <m:r>
                <w:rPr>
                  <w:rFonts w:ascii="Cambria Math" w:hAnsi="Cambria Math" w:cstheme="majorHAnsi"/>
                  <w:sz w:val="20"/>
                  <w:szCs w:val="20"/>
                </w:rPr>
                <m:t>E+S</m:t>
              </m:r>
              <m:box>
                <m:boxPr>
                  <m:opEmu m:val="1"/>
                  <m:ctrlPr>
                    <w:rPr>
                      <w:rFonts w:ascii="Cambria Math" w:hAnsi="Cambria Math" w:cstheme="majorHAnsi"/>
                      <w:bCs/>
                      <w:i/>
                      <w:sz w:val="20"/>
                      <w:szCs w:val="20"/>
                    </w:rPr>
                  </m:ctrlPr>
                </m:boxPr>
                <m:e>
                  <m:groupChr>
                    <m:groupChrPr>
                      <m:chr m:val="→"/>
                      <m:vertJc m:val="bot"/>
                      <m:ctrlPr>
                        <w:rPr>
                          <w:rFonts w:ascii="Cambria Math" w:hAnsi="Cambria Math" w:cstheme="majorHAnsi"/>
                          <w:bCs/>
                          <w:i/>
                          <w:sz w:val="20"/>
                          <w:szCs w:val="20"/>
                        </w:rPr>
                      </m:ctrlPr>
                    </m:groupChrPr>
                    <m:e>
                      <m:sSub>
                        <m:sSubPr>
                          <m:ctrlPr>
                            <w:rPr>
                              <w:rFonts w:ascii="Cambria Math" w:hAnsi="Cambria Math" w:cstheme="majorHAnsi"/>
                              <w:bCs/>
                              <w:i/>
                              <w:sz w:val="20"/>
                              <w:szCs w:val="20"/>
                            </w:rPr>
                          </m:ctrlPr>
                        </m:sSubPr>
                        <m:e>
                          <m:r>
                            <w:rPr>
                              <w:rFonts w:ascii="Cambria Math" w:hAnsi="Cambria Math" w:cstheme="majorHAnsi"/>
                              <w:sz w:val="20"/>
                              <w:szCs w:val="20"/>
                            </w:rPr>
                            <m:t>c</m:t>
                          </m:r>
                        </m:e>
                        <m:sub>
                          <m:r>
                            <w:rPr>
                              <w:rFonts w:ascii="Cambria Math" w:hAnsi="Cambria Math" w:cstheme="majorHAnsi"/>
                              <w:sz w:val="20"/>
                              <w:szCs w:val="20"/>
                            </w:rPr>
                            <m:t>2</m:t>
                          </m:r>
                        </m:sub>
                      </m:sSub>
                    </m:e>
                  </m:groupChr>
                </m:e>
              </m:box>
              <m:r>
                <w:rPr>
                  <w:rFonts w:ascii="Cambria Math" w:hAnsi="Cambria Math" w:cstheme="majorHAnsi"/>
                  <w:sz w:val="20"/>
                  <w:szCs w:val="20"/>
                </w:rPr>
                <m:t>E⋅S</m:t>
              </m:r>
            </m:oMath>
          </w:p>
          <w:p w:rsidR="00883A6D" w:rsidRPr="00883A6D" w:rsidRDefault="00883A6D" w:rsidP="00883A6D">
            <w:pPr>
              <w:rPr>
                <w:rFonts w:asciiTheme="majorHAnsi" w:eastAsiaTheme="minorEastAsia" w:hAnsiTheme="majorHAnsi" w:cstheme="majorHAnsi"/>
                <w:bCs/>
                <w:sz w:val="20"/>
                <w:szCs w:val="20"/>
              </w:rPr>
            </w:pPr>
            <w:r w:rsidRPr="00883A6D">
              <w:rPr>
                <w:rFonts w:asciiTheme="majorHAnsi" w:hAnsiTheme="majorHAnsi" w:cstheme="majorHAnsi"/>
                <w:sz w:val="20"/>
                <w:szCs w:val="20"/>
              </w:rPr>
              <w:t>Reaction 2:</w:t>
            </w:r>
            <w:r w:rsidRPr="00883A6D">
              <w:rPr>
                <w:rFonts w:asciiTheme="majorHAnsi" w:hAnsiTheme="majorHAnsi" w:cstheme="majorHAnsi"/>
                <w:sz w:val="20"/>
                <w:szCs w:val="20"/>
              </w:rPr>
              <w:tab/>
            </w:r>
            <w:r w:rsidRPr="00883A6D">
              <w:rPr>
                <w:rFonts w:asciiTheme="majorHAnsi" w:hAnsiTheme="majorHAnsi" w:cstheme="majorHAnsi"/>
                <w:sz w:val="20"/>
                <w:szCs w:val="20"/>
              </w:rPr>
              <w:tab/>
            </w:r>
            <m:oMath>
              <m:r>
                <w:rPr>
                  <w:rFonts w:ascii="Cambria Math" w:eastAsiaTheme="minorEastAsia" w:hAnsi="Cambria Math" w:cstheme="majorHAnsi"/>
                  <w:sz w:val="20"/>
                  <w:szCs w:val="20"/>
                </w:rPr>
                <m:t>E⋅S</m:t>
              </m:r>
              <m:box>
                <m:boxPr>
                  <m:opEmu m:val="1"/>
                  <m:ctrlPr>
                    <w:rPr>
                      <w:rFonts w:ascii="Cambria Math" w:hAnsi="Cambria Math" w:cstheme="majorHAnsi"/>
                      <w:bCs/>
                      <w:i/>
                      <w:sz w:val="20"/>
                      <w:szCs w:val="20"/>
                    </w:rPr>
                  </m:ctrlPr>
                </m:boxPr>
                <m:e>
                  <m:groupChr>
                    <m:groupChrPr>
                      <m:chr m:val="→"/>
                      <m:vertJc m:val="bot"/>
                      <m:ctrlPr>
                        <w:rPr>
                          <w:rFonts w:ascii="Cambria Math" w:hAnsi="Cambria Math" w:cstheme="majorHAnsi"/>
                          <w:bCs/>
                          <w:i/>
                          <w:sz w:val="20"/>
                          <w:szCs w:val="20"/>
                        </w:rPr>
                      </m:ctrlPr>
                    </m:groupChrPr>
                    <m:e>
                      <m:sSub>
                        <m:sSubPr>
                          <m:ctrlPr>
                            <w:rPr>
                              <w:rFonts w:ascii="Cambria Math" w:hAnsi="Cambria Math" w:cstheme="majorHAnsi"/>
                              <w:bCs/>
                              <w:i/>
                              <w:sz w:val="20"/>
                              <w:szCs w:val="20"/>
                            </w:rPr>
                          </m:ctrlPr>
                        </m:sSubPr>
                        <m:e>
                          <m:r>
                            <w:rPr>
                              <w:rFonts w:ascii="Cambria Math" w:hAnsi="Cambria Math" w:cstheme="majorHAnsi"/>
                              <w:sz w:val="20"/>
                              <w:szCs w:val="20"/>
                            </w:rPr>
                            <m:t>c</m:t>
                          </m:r>
                        </m:e>
                        <m:sub>
                          <m:r>
                            <w:rPr>
                              <w:rFonts w:ascii="Cambria Math" w:hAnsi="Cambria Math" w:cstheme="majorHAnsi"/>
                              <w:sz w:val="20"/>
                              <w:szCs w:val="20"/>
                            </w:rPr>
                            <m:t>3</m:t>
                          </m:r>
                        </m:sub>
                      </m:sSub>
                    </m:e>
                  </m:groupChr>
                </m:e>
              </m:box>
              <m:r>
                <w:rPr>
                  <w:rFonts w:ascii="Cambria Math" w:eastAsiaTheme="minorEastAsia" w:hAnsi="Cambria Math" w:cstheme="majorHAnsi"/>
                  <w:sz w:val="20"/>
                  <w:szCs w:val="20"/>
                </w:rPr>
                <m:t>E+S</m:t>
              </m:r>
            </m:oMath>
          </w:p>
          <w:p w:rsidR="00883A6D" w:rsidRPr="00883A6D" w:rsidRDefault="00883A6D" w:rsidP="00CD5AAC">
            <w:pPr>
              <w:rPr>
                <w:rFonts w:asciiTheme="majorHAnsi" w:eastAsiaTheme="minorEastAsia" w:hAnsiTheme="majorHAnsi" w:cstheme="majorHAnsi"/>
                <w:bCs/>
                <w:sz w:val="20"/>
                <w:szCs w:val="20"/>
              </w:rPr>
            </w:pPr>
            <w:r w:rsidRPr="00883A6D">
              <w:rPr>
                <w:rFonts w:asciiTheme="majorHAnsi" w:hAnsiTheme="majorHAnsi" w:cstheme="majorHAnsi"/>
                <w:sz w:val="20"/>
                <w:szCs w:val="20"/>
              </w:rPr>
              <w:t>Reaction 3:</w:t>
            </w:r>
            <w:r w:rsidRPr="00883A6D">
              <w:rPr>
                <w:rFonts w:asciiTheme="majorHAnsi" w:hAnsiTheme="majorHAnsi" w:cstheme="majorHAnsi"/>
                <w:sz w:val="20"/>
                <w:szCs w:val="20"/>
              </w:rPr>
              <w:tab/>
            </w:r>
            <w:r w:rsidRPr="00883A6D">
              <w:rPr>
                <w:rFonts w:asciiTheme="majorHAnsi" w:hAnsiTheme="majorHAnsi" w:cstheme="majorHAnsi"/>
                <w:sz w:val="20"/>
                <w:szCs w:val="20"/>
              </w:rPr>
              <w:tab/>
            </w:r>
            <m:oMath>
              <m:r>
                <w:rPr>
                  <w:rFonts w:ascii="Cambria Math" w:eastAsiaTheme="minorEastAsia" w:hAnsi="Cambria Math" w:cstheme="majorHAnsi"/>
                  <w:sz w:val="20"/>
                  <w:szCs w:val="20"/>
                </w:rPr>
                <m:t>E⋅S</m:t>
              </m:r>
              <m:box>
                <m:boxPr>
                  <m:opEmu m:val="1"/>
                  <m:ctrlPr>
                    <w:rPr>
                      <w:rFonts w:ascii="Cambria Math" w:hAnsi="Cambria Math" w:cstheme="majorHAnsi"/>
                      <w:bCs/>
                      <w:i/>
                      <w:sz w:val="20"/>
                      <w:szCs w:val="20"/>
                    </w:rPr>
                  </m:ctrlPr>
                </m:boxPr>
                <m:e>
                  <m:groupChr>
                    <m:groupChrPr>
                      <m:chr m:val="→"/>
                      <m:vertJc m:val="bot"/>
                      <m:ctrlPr>
                        <w:rPr>
                          <w:rFonts w:ascii="Cambria Math" w:hAnsi="Cambria Math" w:cstheme="majorHAnsi"/>
                          <w:bCs/>
                          <w:i/>
                          <w:sz w:val="20"/>
                          <w:szCs w:val="20"/>
                        </w:rPr>
                      </m:ctrlPr>
                    </m:groupChrPr>
                    <m:e>
                      <m:sSub>
                        <m:sSubPr>
                          <m:ctrlPr>
                            <w:rPr>
                              <w:rFonts w:ascii="Cambria Math" w:hAnsi="Cambria Math" w:cstheme="majorHAnsi"/>
                              <w:bCs/>
                              <w:i/>
                              <w:sz w:val="20"/>
                              <w:szCs w:val="20"/>
                            </w:rPr>
                          </m:ctrlPr>
                        </m:sSubPr>
                        <m:e>
                          <m:r>
                            <w:rPr>
                              <w:rFonts w:ascii="Cambria Math" w:hAnsi="Cambria Math" w:cstheme="majorHAnsi"/>
                              <w:sz w:val="20"/>
                              <w:szCs w:val="20"/>
                            </w:rPr>
                            <m:t>c</m:t>
                          </m:r>
                        </m:e>
                        <m:sub>
                          <m:r>
                            <w:rPr>
                              <w:rFonts w:ascii="Cambria Math" w:hAnsi="Cambria Math" w:cstheme="majorHAnsi"/>
                              <w:sz w:val="20"/>
                              <w:szCs w:val="20"/>
                            </w:rPr>
                            <m:t>1</m:t>
                          </m:r>
                        </m:sub>
                      </m:sSub>
                    </m:e>
                  </m:groupChr>
                </m:e>
              </m:box>
              <m:r>
                <w:rPr>
                  <w:rFonts w:ascii="Cambria Math" w:eastAsiaTheme="minorEastAsia" w:hAnsi="Cambria Math" w:cstheme="majorHAnsi"/>
                  <w:sz w:val="20"/>
                  <w:szCs w:val="20"/>
                </w:rPr>
                <m:t>E+P</m:t>
              </m:r>
            </m:oMath>
          </w:p>
        </w:tc>
        <w:tc>
          <w:tcPr>
            <w:tcW w:w="5570" w:type="dxa"/>
          </w:tcPr>
          <w:p w:rsidR="00883A6D" w:rsidRPr="00883A6D" w:rsidRDefault="00883A6D" w:rsidP="00CD5AAC">
            <w:pPr>
              <w:rPr>
                <w:rFonts w:asciiTheme="majorHAnsi" w:eastAsiaTheme="minorEastAsia" w:hAnsiTheme="majorHAnsi" w:cstheme="majorHAnsi"/>
                <w:sz w:val="20"/>
                <w:szCs w:val="20"/>
              </w:rPr>
            </w:pPr>
            <w:r w:rsidRPr="00883A6D">
              <w:rPr>
                <w:rFonts w:asciiTheme="majorHAnsi" w:eastAsiaTheme="minorEastAsia" w:hAnsiTheme="majorHAnsi" w:cstheme="majorHAnsi"/>
                <w:sz w:val="20"/>
                <w:szCs w:val="20"/>
              </w:rPr>
              <w:t>Where reactions 1 and 2 represent the fast reactions in the system, due to rapid coupling of enzyme and substrate, while reaction 3 represents the slow reaction in the system.</w:t>
            </w:r>
          </w:p>
        </w:tc>
      </w:tr>
    </w:tbl>
    <w:p w:rsidR="00883A6D" w:rsidRDefault="00CD5AAC" w:rsidP="00CD5AAC">
      <w:pPr>
        <w:rPr>
          <w:rFonts w:asciiTheme="majorHAnsi" w:hAnsiTheme="majorHAnsi" w:cstheme="majorHAnsi"/>
          <w:sz w:val="20"/>
          <w:szCs w:val="20"/>
        </w:rPr>
      </w:pPr>
      <w:r w:rsidRPr="00883A6D">
        <w:rPr>
          <w:rFonts w:asciiTheme="majorHAnsi" w:hAnsiTheme="majorHAnsi" w:cstheme="majorHAnsi"/>
          <w:sz w:val="20"/>
          <w:szCs w:val="20"/>
        </w:rPr>
        <w:t>To model the system, Monte Carlo simulation of 5k runs is obtained through application of the Gillespie algorithm on the chemical master equation.</w:t>
      </w:r>
      <w:r w:rsidR="00883A6D" w:rsidRPr="00883A6D">
        <w:rPr>
          <w:rFonts w:asciiTheme="majorHAnsi" w:hAnsiTheme="majorHAnsi" w:cstheme="majorHAnsi"/>
          <w:sz w:val="20"/>
          <w:szCs w:val="20"/>
        </w:rPr>
        <w:t xml:space="preserve"> A</w:t>
      </w:r>
      <w:r w:rsidRPr="00883A6D">
        <w:rPr>
          <w:rFonts w:asciiTheme="majorHAnsi" w:hAnsiTheme="majorHAnsi" w:cstheme="majorHAnsi"/>
          <w:sz w:val="20"/>
          <w:szCs w:val="20"/>
        </w:rPr>
        <w:t xml:space="preserve">n exact and approximate solution </w:t>
      </w:r>
      <w:r w:rsidR="00883A6D" w:rsidRPr="00883A6D">
        <w:rPr>
          <w:rFonts w:asciiTheme="majorHAnsi" w:hAnsiTheme="majorHAnsi" w:cstheme="majorHAnsi"/>
          <w:sz w:val="20"/>
          <w:szCs w:val="20"/>
        </w:rPr>
        <w:t>is obtained for the system, with the exact solution modeling the propensity functions of all three reactions, while the latter models only the slow reaction (3), assuming that fluctuations in the fast reactions are negligible with regards to product production.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6"/>
        <w:gridCol w:w="3684"/>
      </w:tblGrid>
      <w:tr w:rsidR="00D90321" w:rsidTr="00D90321">
        <w:tc>
          <w:tcPr>
            <w:tcW w:w="5395" w:type="dxa"/>
          </w:tcPr>
          <w:p w:rsidR="00883A6D" w:rsidRDefault="00883A6D" w:rsidP="00CD5AAC">
            <w:pPr>
              <w:rPr>
                <w:rFonts w:asciiTheme="majorHAnsi" w:hAnsiTheme="majorHAnsi" w:cstheme="majorHAnsi"/>
                <w:sz w:val="20"/>
                <w:szCs w:val="20"/>
              </w:rPr>
            </w:pPr>
            <w:r>
              <w:rPr>
                <w:rFonts w:asciiTheme="majorHAnsi" w:hAnsiTheme="majorHAnsi" w:cstheme="majorHAnsi"/>
                <w:noProof/>
                <w:sz w:val="20"/>
                <w:szCs w:val="20"/>
              </w:rPr>
              <w:drawing>
                <wp:inline distT="0" distB="0" distL="0" distR="0">
                  <wp:extent cx="4381805" cy="4344122"/>
                  <wp:effectExtent l="0" t="0" r="0" b="0"/>
                  <wp:docPr id="3" name="Picture 3" descr="C:\Users\Gordon Sun\AppData\Local\Microsoft\Windows\INetCache\Content.Word\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rdon Sun\AppData\Local\Microsoft\Windows\INetCache\Content.Word\Picture2.png"/>
                          <pic:cNvPicPr>
                            <a:picLocks noChangeAspect="1" noChangeArrowheads="1"/>
                          </pic:cNvPicPr>
                        </pic:nvPicPr>
                        <pic:blipFill rotWithShape="1">
                          <a:blip r:embed="rId4">
                            <a:extLst>
                              <a:ext uri="{28A0092B-C50C-407E-A947-70E740481C1C}">
                                <a14:useLocalDpi xmlns:a14="http://schemas.microsoft.com/office/drawing/2010/main" val="0"/>
                              </a:ext>
                            </a:extLst>
                          </a:blip>
                          <a:srcRect l="1886" t="4266" r="7898" b="5821"/>
                          <a:stretch/>
                        </pic:blipFill>
                        <pic:spPr bwMode="auto">
                          <a:xfrm>
                            <a:off x="0" y="0"/>
                            <a:ext cx="4396704" cy="435889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95" w:type="dxa"/>
          </w:tcPr>
          <w:p w:rsidR="00883A6D" w:rsidRDefault="00883A6D" w:rsidP="00883A6D">
            <w:pPr>
              <w:rPr>
                <w:rFonts w:asciiTheme="majorHAnsi" w:hAnsiTheme="majorHAnsi" w:cstheme="majorHAnsi"/>
                <w:sz w:val="20"/>
                <w:szCs w:val="20"/>
              </w:rPr>
            </w:pPr>
            <w:r>
              <w:rPr>
                <w:rFonts w:asciiTheme="majorHAnsi" w:hAnsiTheme="majorHAnsi" w:cstheme="majorHAnsi"/>
                <w:sz w:val="20"/>
                <w:szCs w:val="20"/>
              </w:rPr>
              <w:t>End</w:t>
            </w:r>
            <w:r w:rsidR="00BA71C8">
              <w:rPr>
                <w:rFonts w:asciiTheme="majorHAnsi" w:hAnsiTheme="majorHAnsi" w:cstheme="majorHAnsi"/>
                <w:sz w:val="20"/>
                <w:szCs w:val="20"/>
              </w:rPr>
              <w:t xml:space="preserve"> proportion of product (PMF of DA process) at end of times (A) t =40s, (B) t=10s, and (C) t=10s.</w:t>
            </w:r>
          </w:p>
          <w:p w:rsidR="0045793A" w:rsidRDefault="0045793A" w:rsidP="00883A6D">
            <w:pPr>
              <w:rPr>
                <w:rFonts w:asciiTheme="majorHAnsi" w:hAnsiTheme="majorHAnsi" w:cstheme="majorHAnsi"/>
                <w:sz w:val="20"/>
                <w:szCs w:val="20"/>
              </w:rPr>
            </w:pPr>
          </w:p>
          <w:p w:rsidR="00BA71C8" w:rsidRDefault="00BA71C8" w:rsidP="00883A6D">
            <w:pPr>
              <w:rPr>
                <w:rFonts w:asciiTheme="majorHAnsi" w:hAnsiTheme="majorHAnsi" w:cstheme="majorHAnsi"/>
                <w:sz w:val="20"/>
                <w:szCs w:val="20"/>
              </w:rPr>
            </w:pPr>
            <w:r>
              <w:rPr>
                <w:rFonts w:asciiTheme="majorHAnsi" w:hAnsiTheme="majorHAnsi" w:cstheme="majorHAnsi"/>
                <w:sz w:val="20"/>
                <w:szCs w:val="20"/>
              </w:rPr>
              <w:t>Exact PMF (blue), Approximate PMF (orange).</w:t>
            </w:r>
          </w:p>
          <w:p w:rsidR="0045793A" w:rsidRDefault="0045793A" w:rsidP="00883A6D">
            <w:pPr>
              <w:rPr>
                <w:rFonts w:asciiTheme="majorHAnsi" w:hAnsiTheme="majorHAnsi" w:cstheme="majorHAnsi"/>
                <w:sz w:val="20"/>
                <w:szCs w:val="20"/>
              </w:rPr>
            </w:pPr>
          </w:p>
          <w:p w:rsidR="00BA71C8" w:rsidRDefault="00BA71C8" w:rsidP="00883A6D">
            <w:pPr>
              <w:rPr>
                <w:rFonts w:asciiTheme="majorHAnsi" w:hAnsiTheme="majorHAnsi" w:cstheme="majorHAnsi"/>
                <w:sz w:val="20"/>
                <w:szCs w:val="20"/>
              </w:rPr>
            </w:pPr>
            <w:r>
              <w:rPr>
                <w:rFonts w:asciiTheme="majorHAnsi" w:hAnsiTheme="majorHAnsi" w:cstheme="majorHAnsi"/>
                <w:sz w:val="20"/>
                <w:szCs w:val="20"/>
              </w:rPr>
              <w:t>Quantity of enzyme (e) and substrate (s) available at time of simulation is indicated in title.</w:t>
            </w:r>
          </w:p>
          <w:p w:rsidR="0045793A" w:rsidRDefault="0045793A" w:rsidP="00883A6D">
            <w:pPr>
              <w:rPr>
                <w:rFonts w:asciiTheme="majorHAnsi" w:hAnsiTheme="majorHAnsi" w:cstheme="majorHAnsi"/>
                <w:sz w:val="20"/>
                <w:szCs w:val="20"/>
              </w:rPr>
            </w:pPr>
          </w:p>
          <w:p w:rsidR="00BA71C8" w:rsidRDefault="00BA71C8" w:rsidP="00BA71C8">
            <w:pPr>
              <w:rPr>
                <w:rFonts w:asciiTheme="majorHAnsi" w:hAnsiTheme="majorHAnsi" w:cstheme="majorHAnsi"/>
                <w:sz w:val="20"/>
                <w:szCs w:val="20"/>
              </w:rPr>
            </w:pPr>
            <w:r>
              <w:rPr>
                <w:rFonts w:asciiTheme="majorHAnsi" w:hAnsiTheme="majorHAnsi" w:cstheme="majorHAnsi"/>
                <w:sz w:val="20"/>
                <w:szCs w:val="20"/>
              </w:rPr>
              <w:t>5000 simulations were run per plot.</w:t>
            </w:r>
          </w:p>
          <w:p w:rsidR="00BA71C8" w:rsidRDefault="00BA71C8" w:rsidP="00BA71C8">
            <w:pPr>
              <w:rPr>
                <w:rFonts w:asciiTheme="majorHAnsi" w:hAnsiTheme="majorHAnsi" w:cstheme="majorHAnsi"/>
                <w:sz w:val="20"/>
                <w:szCs w:val="20"/>
              </w:rPr>
            </w:pPr>
          </w:p>
        </w:tc>
      </w:tr>
    </w:tbl>
    <w:p w:rsidR="00883A6D" w:rsidRPr="00883A6D" w:rsidRDefault="00BA71C8" w:rsidP="00CD5AAC">
      <w:pPr>
        <w:rPr>
          <w:rFonts w:asciiTheme="majorHAnsi" w:hAnsiTheme="majorHAnsi" w:cstheme="majorHAnsi"/>
          <w:sz w:val="20"/>
          <w:szCs w:val="20"/>
        </w:rPr>
      </w:pPr>
      <w:r>
        <w:rPr>
          <w:rFonts w:asciiTheme="majorHAnsi" w:hAnsiTheme="majorHAnsi" w:cstheme="majorHAnsi"/>
          <w:sz w:val="20"/>
          <w:szCs w:val="20"/>
        </w:rPr>
        <w:t>Simulations for (</w:t>
      </w:r>
      <w:proofErr w:type="spellStart"/>
      <w:proofErr w:type="gramStart"/>
      <w:r>
        <w:rPr>
          <w:rFonts w:asciiTheme="majorHAnsi" w:hAnsiTheme="majorHAnsi" w:cstheme="majorHAnsi"/>
          <w:sz w:val="20"/>
          <w:szCs w:val="20"/>
        </w:rPr>
        <w:t>e,s</w:t>
      </w:r>
      <w:proofErr w:type="gramEnd"/>
      <w:r>
        <w:rPr>
          <w:rFonts w:asciiTheme="majorHAnsi" w:hAnsiTheme="majorHAnsi" w:cstheme="majorHAnsi"/>
          <w:sz w:val="20"/>
          <w:szCs w:val="20"/>
        </w:rPr>
        <w:t>,t</w:t>
      </w:r>
      <w:proofErr w:type="spellEnd"/>
      <w:r>
        <w:rPr>
          <w:rFonts w:asciiTheme="majorHAnsi" w:hAnsiTheme="majorHAnsi" w:cstheme="majorHAnsi"/>
          <w:sz w:val="20"/>
          <w:szCs w:val="20"/>
        </w:rPr>
        <w:t>) = (10,5,10) frequently timed out early, owing to full expenditure of substrate. These results were terminated early, with the final result (</w:t>
      </w:r>
      <w:proofErr w:type="spellStart"/>
      <w:proofErr w:type="gramStart"/>
      <w:r>
        <w:rPr>
          <w:rFonts w:asciiTheme="majorHAnsi" w:hAnsiTheme="majorHAnsi" w:cstheme="majorHAnsi"/>
          <w:sz w:val="20"/>
          <w:szCs w:val="20"/>
        </w:rPr>
        <w:t>e,s</w:t>
      </w:r>
      <w:proofErr w:type="gramEnd"/>
      <w:r>
        <w:rPr>
          <w:rFonts w:asciiTheme="majorHAnsi" w:hAnsiTheme="majorHAnsi" w:cstheme="majorHAnsi"/>
          <w:sz w:val="20"/>
          <w:szCs w:val="20"/>
        </w:rPr>
        <w:t>,p</w:t>
      </w:r>
      <w:proofErr w:type="spellEnd"/>
      <w:r>
        <w:rPr>
          <w:rFonts w:asciiTheme="majorHAnsi" w:hAnsiTheme="majorHAnsi" w:cstheme="majorHAnsi"/>
          <w:sz w:val="20"/>
          <w:szCs w:val="20"/>
        </w:rPr>
        <w:t>) = (10,0,5) accepted as the final outcome. Approximate solution shifts distribution towards the right favoring more product, with the shift more pronounced at low initial counts of enzyme and sub</w:t>
      </w:r>
      <w:bookmarkStart w:id="0" w:name="_GoBack"/>
      <w:bookmarkEnd w:id="0"/>
      <w:r>
        <w:rPr>
          <w:rFonts w:asciiTheme="majorHAnsi" w:hAnsiTheme="majorHAnsi" w:cstheme="majorHAnsi"/>
          <w:sz w:val="20"/>
          <w:szCs w:val="20"/>
        </w:rPr>
        <w:t>strate.  For exact PMF, median for simulations represented in figures A, B, and C were 39, 63, and 3 molecules of P respectively, while for the approximate PMF, median was 41, 64,</w:t>
      </w:r>
      <w:r w:rsidR="00815DB5">
        <w:rPr>
          <w:rFonts w:asciiTheme="majorHAnsi" w:hAnsiTheme="majorHAnsi" w:cstheme="majorHAnsi"/>
          <w:sz w:val="20"/>
          <w:szCs w:val="20"/>
        </w:rPr>
        <w:t xml:space="preserve"> and</w:t>
      </w:r>
      <w:r>
        <w:rPr>
          <w:rFonts w:asciiTheme="majorHAnsi" w:hAnsiTheme="majorHAnsi" w:cstheme="majorHAnsi"/>
          <w:sz w:val="20"/>
          <w:szCs w:val="20"/>
        </w:rPr>
        <w:t xml:space="preserve"> 4.  Standard deviation for exact PMF for figures A,</w:t>
      </w:r>
      <w:r w:rsidR="003341C7">
        <w:rPr>
          <w:rFonts w:asciiTheme="majorHAnsi" w:hAnsiTheme="majorHAnsi" w:cstheme="majorHAnsi"/>
          <w:sz w:val="20"/>
          <w:szCs w:val="20"/>
        </w:rPr>
        <w:t xml:space="preserve"> </w:t>
      </w:r>
      <w:r>
        <w:rPr>
          <w:rFonts w:asciiTheme="majorHAnsi" w:hAnsiTheme="majorHAnsi" w:cstheme="majorHAnsi"/>
          <w:sz w:val="20"/>
          <w:szCs w:val="20"/>
        </w:rPr>
        <w:t>B,</w:t>
      </w:r>
      <w:r w:rsidR="003341C7">
        <w:rPr>
          <w:rFonts w:asciiTheme="majorHAnsi" w:hAnsiTheme="majorHAnsi" w:cstheme="majorHAnsi"/>
          <w:sz w:val="20"/>
          <w:szCs w:val="20"/>
        </w:rPr>
        <w:t xml:space="preserve"> </w:t>
      </w:r>
      <w:r>
        <w:rPr>
          <w:rFonts w:asciiTheme="majorHAnsi" w:hAnsiTheme="majorHAnsi" w:cstheme="majorHAnsi"/>
          <w:sz w:val="20"/>
          <w:szCs w:val="20"/>
        </w:rPr>
        <w:t xml:space="preserve">C respectively were </w:t>
      </w:r>
      <w:r w:rsidR="003341C7">
        <w:rPr>
          <w:rFonts w:asciiTheme="majorHAnsi" w:hAnsiTheme="majorHAnsi" w:cstheme="majorHAnsi"/>
          <w:sz w:val="20"/>
          <w:szCs w:val="20"/>
        </w:rPr>
        <w:t>6.10, 4.88,</w:t>
      </w:r>
      <w:r w:rsidR="00815DB5">
        <w:rPr>
          <w:rFonts w:asciiTheme="majorHAnsi" w:hAnsiTheme="majorHAnsi" w:cstheme="majorHAnsi"/>
          <w:sz w:val="20"/>
          <w:szCs w:val="20"/>
        </w:rPr>
        <w:t xml:space="preserve"> and</w:t>
      </w:r>
      <w:r w:rsidR="003341C7">
        <w:rPr>
          <w:rFonts w:asciiTheme="majorHAnsi" w:hAnsiTheme="majorHAnsi" w:cstheme="majorHAnsi"/>
          <w:sz w:val="20"/>
          <w:szCs w:val="20"/>
        </w:rPr>
        <w:t xml:space="preserve"> 1.14, while approximate PMF standard deviations were </w:t>
      </w:r>
      <w:r>
        <w:rPr>
          <w:rFonts w:asciiTheme="majorHAnsi" w:hAnsiTheme="majorHAnsi" w:cstheme="majorHAnsi"/>
          <w:sz w:val="20"/>
          <w:szCs w:val="20"/>
        </w:rPr>
        <w:t>6.23, 4.80,</w:t>
      </w:r>
      <w:r w:rsidR="00815DB5">
        <w:rPr>
          <w:rFonts w:asciiTheme="majorHAnsi" w:hAnsiTheme="majorHAnsi" w:cstheme="majorHAnsi"/>
          <w:sz w:val="20"/>
          <w:szCs w:val="20"/>
        </w:rPr>
        <w:t xml:space="preserve"> and</w:t>
      </w:r>
      <w:r>
        <w:rPr>
          <w:rFonts w:asciiTheme="majorHAnsi" w:hAnsiTheme="majorHAnsi" w:cstheme="majorHAnsi"/>
          <w:sz w:val="20"/>
          <w:szCs w:val="20"/>
        </w:rPr>
        <w:t xml:space="preserve"> 1.10</w:t>
      </w:r>
      <w:r w:rsidR="003341C7">
        <w:rPr>
          <w:rFonts w:asciiTheme="majorHAnsi" w:hAnsiTheme="majorHAnsi" w:cstheme="majorHAnsi"/>
          <w:sz w:val="20"/>
          <w:szCs w:val="20"/>
        </w:rPr>
        <w:t>.  Dispersion in each distribution for exact and approximate PMFs is relatively similar, with PMFs following a relatively Gaussian distribution</w:t>
      </w:r>
      <w:r w:rsidR="005D23D5">
        <w:rPr>
          <w:rFonts w:asciiTheme="majorHAnsi" w:hAnsiTheme="majorHAnsi" w:cstheme="majorHAnsi"/>
          <w:sz w:val="20"/>
          <w:szCs w:val="20"/>
        </w:rPr>
        <w:t>. These result strengthen the validity of the approximation for this system, as the exact and approximate results exhibit similar characteristics.</w:t>
      </w:r>
    </w:p>
    <w:sectPr w:rsidR="00883A6D" w:rsidRPr="00883A6D" w:rsidSect="00883A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AAC"/>
    <w:rsid w:val="003341C7"/>
    <w:rsid w:val="0045793A"/>
    <w:rsid w:val="00551621"/>
    <w:rsid w:val="005D23D5"/>
    <w:rsid w:val="00815DB5"/>
    <w:rsid w:val="00883A6D"/>
    <w:rsid w:val="00BA71C8"/>
    <w:rsid w:val="00C20211"/>
    <w:rsid w:val="00CD5AAC"/>
    <w:rsid w:val="00D90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19D31"/>
  <w15:chartTrackingRefBased/>
  <w15:docId w15:val="{C5ECFD63-FE2E-4740-B7C3-648C9B49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AAC"/>
    <w:rPr>
      <w:color w:val="808080"/>
    </w:rPr>
  </w:style>
  <w:style w:type="table" w:styleId="TableGrid">
    <w:name w:val="Table Grid"/>
    <w:basedOn w:val="TableNormal"/>
    <w:uiPriority w:val="39"/>
    <w:rsid w:val="00CD5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366</Words>
  <Characters>2004</Characters>
  <Application>Microsoft Office Word</Application>
  <DocSecurity>0</DocSecurity>
  <Lines>38</Lines>
  <Paragraphs>15</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Sun</dc:creator>
  <cp:keywords/>
  <dc:description/>
  <cp:lastModifiedBy>Gordon Sun</cp:lastModifiedBy>
  <cp:revision>5</cp:revision>
  <dcterms:created xsi:type="dcterms:W3CDTF">2017-12-13T14:21:00Z</dcterms:created>
  <dcterms:modified xsi:type="dcterms:W3CDTF">2017-12-13T18:31:00Z</dcterms:modified>
</cp:coreProperties>
</file>