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Review (Review SparkX) — 5 Minute Executive Overview</w:t>
      </w:r>
    </w:p>
    <w:p>
      <w:pPr>
        <w:pStyle w:val="Heading1"/>
      </w:pPr>
      <w:r>
        <w:t>What is Code Review?</w:t>
      </w:r>
    </w:p>
    <w:p>
      <w:pPr>
        <w:pStyle w:val="FirstParagraph"/>
      </w:pPr>
      <w:r>
        <w:t>Code Review (Review SparkX) is an AI-powered platform that:</w:t>
      </w:r>
    </w:p>
    <w:p>
      <w:pPr>
        <w:pStyle w:val="BodyText"/>
      </w:pPr>
      <w:r>
        <w:t>✅ Analyzes pull requests and commits automatically ✅ Scores code quality across 4 dimensions ✅ Identifies best practice violations ✅ Suggests actionable improvements ✅ Posts review summaries directly to GitHub PRs</w:t>
      </w:r>
    </w:p>
    <w:p>
      <w:pPr>
        <w:pStyle w:val="BodyText"/>
      </w:pPr>
      <w:r>
        <w:t>In simple words:</w:t>
      </w:r>
    </w:p>
    <w:p>
      <w:pPr>
        <w:pStyle w:val="BlockText"/>
      </w:pPr>
      <w:r>
        <w:t>Review SparkX acts like an AI Senior Engineer that reads every line of your PR and gives detailed, consistent feedback in seconds.</w:t>
      </w:r>
    </w:p>
    <w:p>
      <w:pPr>
        <w:pStyle w:val="Heading1"/>
      </w:pPr>
      <w:r>
        <w:t>The 6 Most Important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Web Dashboard</w:t>
            </w:r>
          </w:p>
        </w:tc>
        <w:tc>
          <w:tcPr>
            <w:tcW w:type="dxa" w:w="4320"/>
          </w:tcPr>
          <w:p>
            <w:r>
              <w:t>Input PRs/commits, view results, manage reports</w:t>
            </w:r>
          </w:p>
        </w:tc>
      </w:tr>
      <w:tr>
        <w:tc>
          <w:tcPr>
            <w:tcW w:type="dxa" w:w="4320"/>
          </w:tcPr>
          <w:p>
            <w:r>
              <w:t>Backend API</w:t>
            </w:r>
          </w:p>
        </w:tc>
        <w:tc>
          <w:tcPr>
            <w:tcW w:type="dxa" w:w="4320"/>
          </w:tcPr>
          <w:p>
            <w:r>
              <w:t>8 API endpoints for review workflow</w:t>
            </w:r>
          </w:p>
        </w:tc>
      </w:tr>
      <w:tr>
        <w:tc>
          <w:tcPr>
            <w:tcW w:type="dxa" w:w="4320"/>
          </w:tcPr>
          <w:p>
            <w:r>
              <w:t>SparkX Review Service</w:t>
            </w:r>
          </w:p>
        </w:tc>
        <w:tc>
          <w:tcPr>
            <w:tcW w:type="dxa" w:w="4320"/>
          </w:tcPr>
          <w:p>
            <w:r>
              <w:t>Core engine: fetches code, calls LLM, parses results</w:t>
            </w:r>
          </w:p>
        </w:tc>
      </w:tr>
      <w:tr>
        <w:tc>
          <w:tcPr>
            <w:tcW w:type="dxa" w:w="4320"/>
          </w:tcPr>
          <w:p>
            <w:r>
              <w:t>LLM Integration</w:t>
            </w:r>
          </w:p>
        </w:tc>
        <w:tc>
          <w:tcPr>
            <w:tcW w:type="dxa" w:w="4320"/>
          </w:tcPr>
          <w:p>
            <w:r>
              <w:t>Claude/GPT analyzes code and produces structured reviews</w:t>
            </w:r>
          </w:p>
        </w:tc>
      </w:tr>
      <w:tr>
        <w:tc>
          <w:tcPr>
            <w:tcW w:type="dxa" w:w="4320"/>
          </w:tcPr>
          <w:p>
            <w:r>
              <w:t>GitHub Integration</w:t>
            </w:r>
          </w:p>
        </w:tc>
        <w:tc>
          <w:tcPr>
            <w:tcW w:type="dxa" w:w="4320"/>
          </w:tcPr>
          <w:p>
            <w:r>
              <w:t>Fetches PR diffs and posts review comments via Octokit</w:t>
            </w:r>
          </w:p>
        </w:tc>
      </w:tr>
      <w:tr>
        <w:tc>
          <w:tcPr>
            <w:tcW w:type="dxa" w:w="4320"/>
          </w:tcPr>
          <w:p>
            <w:r>
              <w:t>MySQL Database</w:t>
            </w:r>
          </w:p>
        </w:tc>
        <w:tc>
          <w:tcPr>
            <w:tcW w:type="dxa" w:w="4320"/>
          </w:tcPr>
          <w:p>
            <w:r>
              <w:t>Tracks review history, scores, and usage metrics</w:t>
            </w:r>
          </w:p>
        </w:tc>
      </w:tr>
    </w:tbl>
    <w:p>
      <w:pPr>
        <w:pStyle w:val="Heading1"/>
      </w:pPr>
      <w:r>
        <w:t>How Code Review Works</w:t>
      </w:r>
    </w:p>
    <w:p>
      <w:pPr>
        <w:pStyle w:val="Heading2"/>
      </w:pPr>
      <w:r>
        <w:t>Step 1 — Developer Submits a PR or Commit</w:t>
      </w:r>
    </w:p>
    <w:p>
      <w:pPr>
        <w:pStyle w:val="FirstParagraph"/>
      </w:pPr>
      <w:r>
        <w:t>The user enters a PR number or commit SHA on the dashboard. They can select the LLM model and add custom review instructions.</w:t>
      </w:r>
    </w:p>
    <w:p>
      <w:pPr>
        <w:pStyle w:val="Heading2"/>
      </w:pPr>
      <w:r>
        <w:t>Step 2 — System Fetches the Code</w:t>
      </w:r>
    </w:p>
    <w:p>
      <w:pPr>
        <w:pStyle w:val="FirstParagraph"/>
      </w:pPr>
      <w:r>
        <w:t>The SparkX Review Service uses the GitHub API (Octokit) to fetch the full PR diff — file changes, additions, deletions, and metadata.</w:t>
      </w:r>
    </w:p>
    <w:p>
      <w:pPr>
        <w:pStyle w:val="SourceCode"/>
      </w:pPr>
      <w:r>
        <w:t>PR Number → GitHub API → File Diffs + Metadata</w:t>
      </w:r>
    </w:p>
    <w:p>
      <w:pPr>
        <w:pStyle w:val="Heading2"/>
      </w:pPr>
      <w:r>
        <w:t>Step 3 — AI Analyzes the Code</w:t>
      </w:r>
    </w:p>
    <w:p>
      <w:pPr>
        <w:pStyle w:val="FirstParagraph"/>
      </w:pPr>
      <w:r>
        <w:t>The service assembles a comprehensive prompt with:</w:t>
      </w:r>
    </w:p>
    <w:p>
      <w:pPr>
        <w:pStyle w:val="Compact"/>
      </w:pPr>
      <w:r>
        <w:t>the PR diff (changed files)</w:t>
      </w:r>
    </w:p>
    <w:p>
      <w:pPr>
        <w:pStyle w:val="Compact"/>
      </w:pPr>
      <w:r>
        <w:t>current repository state (local files for context)</w:t>
      </w:r>
    </w:p>
    <w:p>
      <w:pPr>
        <w:pStyle w:val="Compact"/>
      </w:pPr>
      <w:r>
        <w:t>custom review instructions (if provided)</w:t>
      </w:r>
    </w:p>
    <w:p>
      <w:pPr>
        <w:pStyle w:val="FirstParagraph"/>
      </w:pPr>
      <w:r>
        <w:t>This is sent to Claude (or GPT-4) for analysis.</w:t>
      </w:r>
    </w:p>
    <w:p>
      <w:pPr>
        <w:pStyle w:val="SourceCode"/>
      </w:pPr>
      <w:r>
        <w:t>Code Diff + Context → LLM → Structured Review</w:t>
      </w:r>
    </w:p>
    <w:p>
      <w:pPr>
        <w:pStyle w:val="Heading2"/>
      </w:pPr>
      <w:r>
        <w:t>Step 4 — Four-Dimensional Scoring</w:t>
      </w:r>
    </w:p>
    <w:p>
      <w:pPr>
        <w:pStyle w:val="FirstParagraph"/>
      </w:pPr>
      <w:r>
        <w:t>The AI returns a structured review with scores across 4 dimensions: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Measures</w:t>
            </w:r>
          </w:p>
        </w:tc>
      </w:tr>
      <w:tr>
        <w:tc>
          <w:tcPr>
            <w:tcW w:type="dxa" w:w="4320"/>
          </w:tcPr>
          <w:p>
            <w:r>
              <w:t>Code Quality</w:t>
            </w:r>
          </w:p>
        </w:tc>
        <w:tc>
          <w:tcPr>
            <w:tcW w:type="dxa" w:w="4320"/>
          </w:tcPr>
          <w:p>
            <w:r>
              <w:t>Readability, complexity, error handling, naming</w:t>
            </w:r>
          </w:p>
        </w:tc>
      </w:tr>
      <w:tr>
        <w:tc>
          <w:tcPr>
            <w:tcW w:type="dxa" w:w="4320"/>
          </w:tcPr>
          <w:p>
            <w:r>
              <w:t>Best Practices</w:t>
            </w:r>
          </w:p>
        </w:tc>
        <w:tc>
          <w:tcPr>
            <w:tcW w:type="dxa" w:w="4320"/>
          </w:tcPr>
          <w:p>
            <w:r>
              <w:t>Design patterns, security, SOLID principles</w:t>
            </w:r>
          </w:p>
        </w:tc>
      </w:tr>
      <w:tr>
        <w:tc>
          <w:tcPr>
            <w:tcW w:type="dxa" w:w="4320"/>
          </w:tcPr>
          <w:p>
            <w:r>
              <w:t>Maintainability</w:t>
            </w:r>
          </w:p>
        </w:tc>
        <w:tc>
          <w:tcPr>
            <w:tcW w:type="dxa" w:w="4320"/>
          </w:tcPr>
          <w:p>
            <w:r>
              <w:t>Modularity, documentation, testability, coupling</w:t>
            </w:r>
          </w:p>
        </w:tc>
      </w:tr>
      <w:tr>
        <w:tc>
          <w:tcPr>
            <w:tcW w:type="dxa" w:w="4320"/>
          </w:tcPr>
          <w:p>
            <w:r>
              <w:t>Impact Analysis</w:t>
            </w:r>
          </w:p>
        </w:tc>
        <w:tc>
          <w:tcPr>
            <w:tcW w:type="dxa" w:w="4320"/>
          </w:tcPr>
          <w:p>
            <w:r>
              <w:t>Regression risk, breaking changes, performance impact</w:t>
            </w:r>
          </w:p>
        </w:tc>
      </w:tr>
    </w:tbl>
    <w:p>
      <w:pPr>
        <w:pStyle w:val="FirstParagraph"/>
      </w:pPr>
      <w:r>
        <w:t>Each dimension gets a score out of 10, plus specific findings and suggestions.</w:t>
      </w:r>
    </w:p>
    <w:p>
      <w:pPr>
        <w:pStyle w:val="Heading2"/>
      </w:pPr>
      <w:r>
        <w:t>Step 5 — Review is Delivered</w:t>
      </w:r>
    </w:p>
    <w:p>
      <w:pPr>
        <w:pStyle w:val="FirstParagraph"/>
      </w:pPr>
      <w:r>
        <w:t>The review can be:</w:t>
      </w:r>
    </w:p>
    <w:p>
      <w:pPr>
        <w:pStyle w:val="Compact"/>
      </w:pPr>
      <w:r>
        <w:t>viewed on the dashboard with detailed breakdown</w:t>
      </w:r>
    </w:p>
    <w:p>
      <w:pPr>
        <w:pStyle w:val="Compact"/>
      </w:pPr>
      <w:r>
        <w:t>saved as a JSON report for future reference</w:t>
      </w:r>
    </w:p>
    <w:p>
      <w:pPr>
        <w:pStyle w:val="Compact"/>
      </w:pPr>
      <w:r>
        <w:t>posted directly to the GitHub PR as a comment</w:t>
      </w:r>
    </w:p>
    <w:p>
      <w:pPr>
        <w:pStyle w:val="Compact"/>
      </w:pPr>
      <w:r>
        <w:t>tracked in the MySQL database for analytics</w:t>
      </w:r>
    </w:p>
    <w:p>
      <w:pPr>
        <w:pStyle w:val="Heading1"/>
      </w:pPr>
      <w:r>
        <w:t>The Review Engine</w:t>
      </w:r>
    </w:p>
    <w:p>
      <w:pPr>
        <w:pStyle w:val="Heading2"/>
      </w:pPr>
      <w:r>
        <w:t>SparkxReviewService</w:t>
      </w:r>
    </w:p>
    <w:p>
      <w:pPr>
        <w:pStyle w:val="FirstParagraph"/>
      </w:pPr>
      <w:r>
        <w:t>The core orchestration service (1,473 lines) that handles the entire review pipeline:</w:t>
      </w:r>
    </w:p>
    <w:p>
      <w:pPr>
        <w:pStyle w:val="BodyText"/>
      </w:pPr>
      <w:r>
        <w:t>Responsibilities:</w:t>
      </w:r>
    </w:p>
    <w:p>
      <w:pPr>
        <w:pStyle w:val="Compact"/>
      </w:pPr>
      <w:r>
        <w:t>fetch PR/commit data from GitHub API with pagination</w:t>
      </w:r>
    </w:p>
    <w:p>
      <w:pPr>
        <w:pStyle w:val="Compact"/>
      </w:pPr>
      <w:r>
        <w:t>read local repository files for additional context</w:t>
      </w:r>
    </w:p>
    <w:p>
      <w:pPr>
        <w:pStyle w:val="Compact"/>
      </w:pPr>
      <w:r>
        <w:t>construct optimized prompts for LLM analysis</w:t>
      </w:r>
    </w:p>
    <w:p>
      <w:pPr>
        <w:pStyle w:val="Compact"/>
      </w:pPr>
      <w:r>
        <w:t>parse and validate LLM responses (with error recovery)</w:t>
      </w:r>
    </w:p>
    <w:p>
      <w:pPr>
        <w:pStyle w:val="Compact"/>
      </w:pPr>
      <w:r>
        <w:t>save reports and post to GitHub</w:t>
      </w:r>
    </w:p>
    <w:p>
      <w:pPr>
        <w:pStyle w:val="Heading2"/>
      </w:pPr>
      <w:r>
        <w:t>Multi-Model Support</w:t>
      </w:r>
    </w:p>
    <w:p>
      <w:pPr>
        <w:pStyle w:val="FirstParagraph"/>
      </w:pPr>
      <w:r>
        <w:t>The platform supports multiple LLM models:</w:t>
      </w:r>
    </w:p>
    <w:p>
      <w:pPr>
        <w:pStyle w:val="Compact"/>
      </w:pPr>
      <w:r>
        <w:t>Claude Opus / Sonnet / Haiku (Anthropic)</w:t>
      </w:r>
    </w:p>
    <w:p>
      <w:pPr>
        <w:pStyle w:val="Compact"/>
      </w:pPr>
      <w:r>
        <w:t>GPT-4 and compatible endpoints</w:t>
      </w:r>
    </w:p>
    <w:p>
      <w:pPr>
        <w:pStyle w:val="Compact"/>
      </w:pPr>
      <w:r>
        <w:t>Custom LLM endpoints (OpenAI-compatible API)</w:t>
      </w:r>
    </w:p>
    <w:p>
      <w:pPr>
        <w:pStyle w:val="FirstParagraph"/>
      </w:pPr>
      <w:r>
        <w:t>Users can switch models per review based on complexity and cost.</w:t>
      </w:r>
    </w:p>
    <w:p>
      <w:pPr>
        <w:pStyle w:val="Heading1"/>
      </w:pPr>
      <w:r>
        <w:t>Simplified Workflow</w:t>
      </w:r>
    </w:p>
    <w:p>
      <w:pPr>
        <w:pStyle w:val="SourceCode"/>
      </w:pPr>
      <w:r>
        <w:t>Start</w:t>
        <w:br/>
        <w:t xml:space="preserve">  ↓</w:t>
        <w:br/>
        <w:t>Enter PR # or Commit SHA</w:t>
        <w:br/>
        <w:t xml:space="preserve">  ↓</w:t>
        <w:br/>
        <w:t>Fetch Diff from GitHub</w:t>
        <w:br/>
        <w:t xml:space="preserve">  ↓</w:t>
        <w:br/>
        <w:t>Send to LLM for Analysis</w:t>
        <w:br/>
        <w:t xml:space="preserve">  ↓</w:t>
        <w:br/>
        <w:t>Receive Structured Review</w:t>
        <w:br/>
        <w:t xml:space="preserve">  ↓</w:t>
        <w:br/>
        <w:t xml:space="preserve"> ┌───────┴────────┐</w:t>
        <w:br/>
        <w:t xml:space="preserve"> ↓                ↓</w:t>
        <w:br/>
        <w:t>View on       Post to</w:t>
        <w:br/>
        <w:t>Dashboard     GitHub PR</w:t>
        <w:br/>
        <w:t xml:space="preserve"> ↓                ↓</w:t>
        <w:br/>
        <w:t>Save Report   Track in DB</w:t>
      </w:r>
    </w:p>
    <w:p>
      <w:pPr>
        <w:pStyle w:val="Heading1"/>
      </w:pPr>
      <w:r>
        <w:t>Report Management</w:t>
      </w:r>
    </w:p>
    <w:p>
      <w:pPr>
        <w:pStyle w:val="FirstParagraph"/>
      </w:pPr>
      <w:r>
        <w:t>Every review is saved as a persistent JSON report containing:</w:t>
      </w:r>
    </w:p>
    <w:p>
      <w:pPr>
        <w:pStyle w:val="BodyText"/>
      </w:pPr>
      <w:r>
        <w:t>✅ metadata (title, author, files changed) ✅ scores (4 dimensions) ✅ findings and suggestions ✅ detailed analysis ✅ custom instructions used</w:t>
      </w:r>
    </w:p>
    <w:p>
      <w:pPr>
        <w:pStyle w:val="FirstParagraph"/>
      </w:pPr>
      <w:r>
        <w:t>Reports can be searched and filtered by username from the Reports page.</w:t>
      </w:r>
    </w:p>
    <w:p>
      <w:pPr>
        <w:pStyle w:val="Heading1"/>
      </w:pPr>
      <w:r>
        <w:t>Business Value</w:t>
      </w:r>
    </w:p>
    <w:p>
      <w:pPr>
        <w:pStyle w:val="Heading2"/>
      </w:pPr>
      <w:r>
        <w:t>Consistent Reviews</w:t>
      </w:r>
    </w:p>
    <w:p>
      <w:pPr>
        <w:pStyle w:val="FirstParagraph"/>
      </w:pPr>
      <w:r>
        <w:t>Every PR gets the same thorough, unbiased analysis — no reviewer fatigue.</w:t>
      </w:r>
    </w:p>
    <w:p>
      <w:pPr>
        <w:pStyle w:val="Heading2"/>
      </w:pPr>
      <w:r>
        <w:t>Faster Feedback</w:t>
      </w:r>
    </w:p>
    <w:p>
      <w:pPr>
        <w:pStyle w:val="FirstParagraph"/>
      </w:pPr>
      <w:r>
        <w:t>Reviews complete in seconds instead of hours of waiting for human reviewers.</w:t>
      </w:r>
    </w:p>
    <w:p>
      <w:pPr>
        <w:pStyle w:val="Heading2"/>
      </w:pPr>
      <w:r>
        <w:t>Knowledge Capture</w:t>
      </w:r>
    </w:p>
    <w:p>
      <w:pPr>
        <w:pStyle w:val="FirstParagraph"/>
      </w:pPr>
      <w:r>
        <w:t>Custom instructions encode team standards — the AI applies them every time.</w:t>
      </w:r>
    </w:p>
    <w:p>
      <w:pPr>
        <w:pStyle w:val="Heading2"/>
      </w:pPr>
      <w:r>
        <w:t>Quality Metrics</w:t>
      </w:r>
    </w:p>
    <w:p>
      <w:pPr>
        <w:pStyle w:val="FirstParagraph"/>
      </w:pPr>
      <w:r>
        <w:t>Track code quality trends across teams with historical review data.</w:t>
      </w:r>
    </w:p>
    <w:p>
      <w:pPr>
        <w:pStyle w:val="Heading1"/>
      </w:pPr>
      <w: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Next.js 15 + React 19</w:t>
            </w:r>
          </w:p>
        </w:tc>
      </w:tr>
      <w:tr>
        <w:tc>
          <w:tcPr>
            <w:tcW w:type="dxa" w:w="4320"/>
          </w:tcPr>
          <w:p>
            <w:r>
              <w:t>UI Components</w:t>
            </w:r>
          </w:p>
        </w:tc>
        <w:tc>
          <w:tcPr>
            <w:tcW w:type="dxa" w:w="4320"/>
          </w:tcPr>
          <w:p>
            <w:r>
              <w:t>Ant Design 5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Claude LLM (raw HTTP / OpenAI-compatible)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Octokit REST API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Node.js (App Router API Routes)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MySQL (mysql2)</w:t>
            </w:r>
          </w:p>
        </w:tc>
      </w:tr>
      <w:tr>
        <w:tc>
          <w:tcPr>
            <w:tcW w:type="dxa" w:w="4320"/>
          </w:tcPr>
          <w:p>
            <w:r>
              <w:t>Reports</w:t>
            </w:r>
          </w:p>
        </w:tc>
        <w:tc>
          <w:tcPr>
            <w:tcW w:type="dxa" w:w="4320"/>
          </w:tcPr>
          <w:p>
            <w:r>
              <w:t>JSON file storage</w:t>
            </w:r>
          </w:p>
        </w:tc>
      </w:tr>
    </w:tbl>
    <w:p>
      <w:pPr>
        <w:pStyle w:val="Heading1"/>
      </w:pPr>
      <w:r>
        <w:t>One-Line Summary</w:t>
      </w:r>
    </w:p>
    <w:p>
      <w:pPr>
        <w:pStyle w:val="BlockText"/>
      </w:pPr>
      <w:r>
        <w:t>Review SparkX is an AI-powered code review platform that automatically analyzes pull requests across 4 quality dimensions, delivers actionable feedback in seconds, and posts structured reviews directly to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476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72727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272727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F4761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F476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F476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595959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272727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272727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</w:style>
  <w:style w:type="paragraph" w:customStyle="1" w:styleId="Compact">
    <w:name w:val="Compact"/>
    <w:pPr>
      <w:spacing w:before="36" w:after="36"/>
    </w:pPr>
  </w:style>
  <w:style w:type="paragraph" w:customStyle="1" w:styleId="Author">
    <w:name w:val="Author"/>
  </w:style>
  <w:style w:type="paragraph" w:customStyle="1" w:styleId="Date">
    <w:name w:val="Date"/>
  </w:style>
  <w:style w:type="paragraph" w:customStyle="1" w:styleId="AbstractTitle">
    <w:name w:val="Abstract Title"/>
    <w:pPr>
      <w:spacing w:before="300" w:after="0"/>
    </w:pPr>
    <w:rPr>
      <w:b/>
      <w:sz w:val="20"/>
    </w:rPr>
  </w:style>
  <w:style w:type="paragraph" w:customStyle="1" w:styleId="Abstract">
    <w:name w:val="Abstract"/>
    <w:pPr>
      <w:spacing w:before="100" w:after="300"/>
    </w:pPr>
    <w:rPr>
      <w:sz w:val="20"/>
    </w:rPr>
  </w:style>
  <w:style w:type="paragraph" w:customStyle="1" w:styleId="Bibliography">
    <w:name w:val="Bibliography"/>
  </w:style>
  <w:style w:type="paragraph" w:customStyle="1" w:styleId="BlockText">
    <w:name w:val="Block Text"/>
    <w:pPr>
      <w:spacing w:before="100" w:after="100"/>
    </w:pPr>
  </w:style>
  <w:style w:type="paragraph" w:customStyle="1" w:styleId="footnotetext">
    <w:name w:val="footnote text"/>
  </w:style>
  <w:style w:type="paragraph" w:customStyle="1" w:styleId="FootnoteBlockText">
    <w:name w:val="Footnote Block Text"/>
    <w:pPr>
      <w:spacing w:before="100" w:after="100"/>
    </w:pPr>
  </w:style>
  <w:style w:type="table" w:customStyle="1" w:styleId="Table">
    <w:name w:val="Table"/>
  </w:style>
  <w:style w:type="paragraph" w:customStyle="1" w:styleId="DefinitionTerm">
    <w:name w:val="Definition Term"/>
    <w:pPr>
      <w:spacing w:after="0"/>
    </w:pPr>
    <w:rPr>
      <w:b/>
    </w:rPr>
  </w:style>
  <w:style w:type="paragraph" w:customStyle="1" w:styleId="Definition">
    <w:name w:val="Definition"/>
  </w:style>
  <w:style w:type="paragraph" w:customStyle="1" w:styleId="TableCaption">
    <w:name w:val="Table Caption"/>
  </w:style>
  <w:style w:type="paragraph" w:customStyle="1" w:styleId="ImageCaption">
    <w:name w:val="Image Caption"/>
  </w:style>
  <w:style w:type="paragraph" w:customStyle="1" w:styleId="Figure">
    <w:name w:val="Figure"/>
  </w:style>
  <w:style w:type="paragraph" w:customStyle="1" w:styleId="CaptionedFigure">
    <w:name w:val="Captioned Figure"/>
  </w:style>
  <w:style w:type="character" w:customStyle="1" w:styleId="CaptionChar">
    <w:name w:val="Caption Char"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SectionNumber">
    <w:name w:val="Section Number"/>
  </w:style>
  <w:style w:type="character" w:customStyle="1" w:styleId="footnotereference">
    <w:name w:val="footnote reference"/>
  </w:style>
  <w:style w:type="character" w:customStyle="1" w:styleId="Hyperlink">
    <w:name w:val="Hyperlink"/>
    <w:rPr>
      <w:color w:val="156082"/>
    </w:rPr>
  </w:style>
  <w:style w:type="paragraph" w:customStyle="1" w:styleId="SourceCode">
    <w:name w:val="Source Code"/>
  </w:style>
  <w:style w:type="character" w:customStyle="1" w:styleId="KeywordTok">
    <w:name w:val="KeywordTok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rPr>
      <w:rFonts w:ascii="Consolas" w:hAnsi="Consolas"/>
      <w:color w:val="902000"/>
      <w:sz w:val="22"/>
    </w:rPr>
  </w:style>
  <w:style w:type="character" w:customStyle="1" w:styleId="DecValTok">
    <w:name w:val="DecValTok"/>
    <w:rPr>
      <w:rFonts w:ascii="Consolas" w:hAnsi="Consolas"/>
      <w:color w:val="40A070"/>
      <w:sz w:val="22"/>
    </w:rPr>
  </w:style>
  <w:style w:type="character" w:customStyle="1" w:styleId="BaseNTok">
    <w:name w:val="BaseNTok"/>
    <w:rPr>
      <w:rFonts w:ascii="Consolas" w:hAnsi="Consolas"/>
      <w:color w:val="40A070"/>
      <w:sz w:val="22"/>
    </w:rPr>
  </w:style>
  <w:style w:type="character" w:customStyle="1" w:styleId="FloatTok">
    <w:name w:val="FloatTok"/>
    <w:rPr>
      <w:rFonts w:ascii="Consolas" w:hAnsi="Consolas"/>
      <w:color w:val="40A070"/>
      <w:sz w:val="22"/>
    </w:rPr>
  </w:style>
  <w:style w:type="character" w:customStyle="1" w:styleId="ConstantTok">
    <w:name w:val="ConstantTok"/>
    <w:rPr>
      <w:rFonts w:ascii="Consolas" w:hAnsi="Consolas"/>
      <w:color w:val="880000"/>
      <w:sz w:val="22"/>
    </w:rPr>
  </w:style>
  <w:style w:type="character" w:customStyle="1" w:styleId="CharTok">
    <w:name w:val="CharTok"/>
    <w:rPr>
      <w:rFonts w:ascii="Consolas" w:hAnsi="Consolas"/>
      <w:color w:val="4070A0"/>
      <w:sz w:val="22"/>
    </w:rPr>
  </w:style>
  <w:style w:type="character" w:customStyle="1" w:styleId="SpecialCharTok">
    <w:name w:val="SpecialCharTok"/>
    <w:rPr>
      <w:rFonts w:ascii="Consolas" w:hAnsi="Consolas"/>
      <w:color w:val="4070A0"/>
      <w:sz w:val="22"/>
    </w:rPr>
  </w:style>
  <w:style w:type="character" w:customStyle="1" w:styleId="StringTok">
    <w:name w:val="StringTok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rPr>
      <w:rFonts w:ascii="Consolas" w:hAnsi="Consolas"/>
      <w:color w:val="4070A0"/>
      <w:sz w:val="22"/>
    </w:rPr>
  </w:style>
  <w:style w:type="character" w:customStyle="1" w:styleId="SpecialStringTok">
    <w:name w:val="SpecialStringTok"/>
    <w:rPr>
      <w:rFonts w:ascii="Consolas" w:hAnsi="Consolas"/>
      <w:color w:val="BB6688"/>
      <w:sz w:val="22"/>
    </w:rPr>
  </w:style>
  <w:style w:type="character" w:customStyle="1" w:styleId="ImportTok">
    <w:name w:val="ImportTok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rPr>
      <w:rFonts w:ascii="Consolas" w:hAnsi="Consolas"/>
      <w:color w:val="007020"/>
      <w:sz w:val="22"/>
    </w:rPr>
  </w:style>
  <w:style w:type="character" w:customStyle="1" w:styleId="FunctionTok">
    <w:name w:val="FunctionTok"/>
    <w:rPr>
      <w:rFonts w:ascii="Consolas" w:hAnsi="Consolas"/>
      <w:color w:val="06287E"/>
      <w:sz w:val="22"/>
    </w:rPr>
  </w:style>
  <w:style w:type="character" w:customStyle="1" w:styleId="VariableTok">
    <w:name w:val="VariableTok"/>
    <w:rPr>
      <w:rFonts w:ascii="Consolas" w:hAnsi="Consolas"/>
      <w:color w:val="19177C"/>
      <w:sz w:val="22"/>
    </w:rPr>
  </w:style>
  <w:style w:type="character" w:customStyle="1" w:styleId="ControlFlowTok">
    <w:name w:val="ControlFlowTok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rPr>
      <w:rFonts w:ascii="Consolas" w:hAnsi="Consolas"/>
      <w:color w:val="666666"/>
      <w:sz w:val="22"/>
    </w:rPr>
  </w:style>
  <w:style w:type="character" w:customStyle="1" w:styleId="BuiltInTok">
    <w:name w:val="BuiltInTok"/>
    <w:rPr>
      <w:rFonts w:ascii="Consolas" w:hAnsi="Consolas"/>
      <w:color w:val="008000"/>
      <w:sz w:val="22"/>
    </w:rPr>
  </w:style>
  <w:style w:type="character" w:customStyle="1" w:styleId="ExtensionTok">
    <w:name w:val="ExtensionTok"/>
    <w:rPr>
      <w:rFonts w:ascii="Consolas" w:hAnsi="Consolas"/>
      <w:sz w:val="22"/>
    </w:rPr>
  </w:style>
  <w:style w:type="character" w:customStyle="1" w:styleId="PreprocessorTok">
    <w:name w:val="PreprocessorTok"/>
    <w:rPr>
      <w:rFonts w:ascii="Consolas" w:hAnsi="Consolas"/>
      <w:color w:val="BC7A00"/>
      <w:sz w:val="22"/>
    </w:rPr>
  </w:style>
  <w:style w:type="character" w:customStyle="1" w:styleId="AttributeTok">
    <w:name w:val="AttributeTok"/>
    <w:rPr>
      <w:rFonts w:ascii="Consolas" w:hAnsi="Consolas"/>
      <w:color w:val="7D9029"/>
      <w:sz w:val="22"/>
    </w:rPr>
  </w:style>
  <w:style w:type="character" w:customStyle="1" w:styleId="RegionMarkerTok">
    <w:name w:val="RegionMarkerTok"/>
    <w:rPr>
      <w:rFonts w:ascii="Consolas" w:hAnsi="Consolas"/>
      <w:sz w:val="22"/>
    </w:rPr>
  </w:style>
  <w:style w:type="character" w:customStyle="1" w:styleId="InformationTok">
    <w:name w:val="InformationTok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rPr>
      <w:rFonts w:ascii="Consolas" w:hAnsi="Consolas"/>
      <w:b/>
      <w:color w:val="FF0000"/>
      <w:sz w:val="22"/>
    </w:rPr>
  </w:style>
  <w:style w:type="character" w:customStyle="1" w:styleId="ErrorTok">
    <w:name w:val="ErrorTok"/>
    <w:rPr>
      <w:rFonts w:ascii="Consolas" w:hAnsi="Consolas"/>
      <w:b/>
      <w:color w:val="FF0000"/>
      <w:sz w:val="22"/>
    </w:rPr>
  </w:style>
  <w:style w:type="character" w:customStyle="1" w:styleId="NormalTok">
    <w:name w:val="NormalTok"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