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36"/>
        </w:rPr>
        <w:t>ANDHRA PRADESH TRANSMISSION CORPORATION</w:t>
      </w:r>
    </w:p>
    <w:p>
      <w:pPr>
        <w:jc w:val="center"/>
      </w:pPr>
      <w:r>
        <w:rPr>
          <w:color w:val="1F4E79"/>
          <w:sz w:val="28"/>
        </w:rPr>
        <w:t>(AP TRANSCO)</w:t>
      </w:r>
    </w:p>
    <w:p/>
    <w:p>
      <w:pPr>
        <w:jc w:val="center"/>
      </w:pPr>
      <w:r>
        <w:rPr>
          <w:b/>
          <w:color w:val="333333"/>
          <w:sz w:val="44"/>
        </w:rPr>
        <w:t>Transformer Fleet Health Assessment Report</w:t>
      </w:r>
    </w:p>
    <w:p>
      <w:pPr>
        <w:jc w:val="center"/>
      </w:pPr>
      <w:r>
        <w:rPr>
          <w:color w:val="666666"/>
          <w:sz w:val="24"/>
        </w:rPr>
        <w:t>Dissolved Gas Analysis (DGA) Based Condition Assessment</w:t>
      </w:r>
    </w:p>
    <w:p>
      <w:pPr>
        <w:jc w:val="center"/>
      </w:pPr>
      <w:r>
        <w:rPr>
          <w:color w:val="666666"/>
          <w:sz w:val="24"/>
        </w:rPr>
        <w:t>Using Machine Learning &amp; IEEE/IEC Standards</w:t>
      </w:r>
    </w:p>
    <w:p/>
    <w:p/>
    <w:p/>
    <w:p/>
    <w:p>
      <w:pPr>
        <w:jc w:val="center"/>
      </w:pPr>
      <w:r>
        <w:rPr>
          <w:color w:val="666666"/>
          <w:sz w:val="22"/>
        </w:rPr>
        <w:t>Report Date: 28 March 2026</w:t>
      </w:r>
    </w:p>
    <w:p>
      <w:pPr>
        <w:jc w:val="center"/>
      </w:pPr>
      <w:r>
        <w:rPr>
          <w:color w:val="666666"/>
          <w:sz w:val="22"/>
        </w:rPr>
        <w:t>Data Period: 2020-01-02 to 2026-03-20</w:t>
      </w:r>
    </w:p>
    <w:p/>
    <w:p/>
    <w:p/>
    <w:p/>
    <w:p/>
    <w:p/>
    <w:p>
      <w:pPr>
        <w:jc w:val="center"/>
      </w:pPr>
      <w:r>
        <w:rPr>
          <w:b/>
          <w:color w:val="C00000"/>
        </w:rPr>
        <w:t>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the results of a comprehensive machine learning-based condition assessment of AP Transco’s power transformer fleet. The analysis covers 1,260 transformers across 357 substations, based on 11,932 oil test samples.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1,104 transformers (88%) in Excellent health (CHI 80–100)</w:t>
      </w:r>
    </w:p>
    <w:p>
      <w:pPr>
        <w:pStyle w:val="ListBullet"/>
      </w:pPr>
      <w:r>
        <w:t>34 transformers require attention (Poor or Critical health)</w:t>
      </w:r>
    </w:p>
    <w:p>
      <w:pPr>
        <w:pStyle w:val="ListBullet"/>
      </w:pPr>
      <w:r>
        <w:t>Average fleet Composite Health Index: 90.8 / 100</w:t>
      </w:r>
    </w:p>
    <w:p>
      <w:pPr>
        <w:pStyle w:val="ListBullet"/>
      </w:pPr>
      <w:r>
        <w:t>Fault classification model: 99.6% accuracy across 8 fault types</w:t>
      </w:r>
    </w:p>
    <w:p>
      <w:pPr>
        <w:pStyle w:val="ListBullet"/>
      </w:pPr>
      <w:r>
        <w:t>30 substations contain at least one Poor transformer</w:t>
      </w:r>
    </w:p>
    <w:p>
      <w:pPr>
        <w:pStyle w:val="ListBullet"/>
      </w:pPr>
      <w:r>
        <w:t>Primary risk factor: Elevated moisture content in transformer oil</w:t>
      </w:r>
    </w:p>
    <w:p>
      <w:pPr>
        <w:pStyle w:val="Heading2"/>
      </w:pPr>
      <w:r>
        <w:t>Fleet Risk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Risk Level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Percentage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Required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2E7D32"/>
                <w:sz w:val="16"/>
              </w:rPr>
              <w:t>Excellent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1104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87.6%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No action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565C0"/>
                <w:sz w:val="16"/>
              </w:rPr>
              <w:t>Good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6.1%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Continue monitoring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E65100"/>
                <w:sz w:val="16"/>
              </w:rPr>
              <w:t>Fair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3.4%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Increase test frequency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2.7%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Plan maintenance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B71C1C"/>
                <w:sz w:val="16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0.0%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Immediate action</w:t>
            </w:r>
          </w:p>
        </w:tc>
      </w:tr>
    </w:tbl>
    <w:p>
      <w:r>
        <w:br w:type="page"/>
      </w:r>
    </w:p>
    <w:p>
      <w:pPr>
        <w:pStyle w:val="Heading1"/>
      </w:pPr>
      <w:r>
        <w:t>2. Fault Type Distribution</w:t>
      </w:r>
    </w:p>
    <w:p>
      <w:r>
        <w:t>Each transformer’s latest DGA sample is classified into one of 8 fault types per IEC 60599:2022.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Fault Code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Key Gases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Normal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No Fault Detected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961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Below IEEE Status 1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T1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Thermal &lt; 300°C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165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CH4, C2H6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T3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Thermal &gt; 700°C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C2H4, CH4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D2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High-energy Discharge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H2, C2H2, C2H4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D1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Low-energy Discharge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H2, C2H2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PD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Partial Discharge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H2, CH4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T2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Thermal 300–700°C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CH4, C2H4, C2H6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DT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Discharge + Thermal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6"/>
              </w:rPr>
              <w:t>C2H2, C2H4, CH4</w:t>
            </w:r>
          </w:p>
        </w:tc>
      </w:tr>
    </w:tbl>
    <w:p>
      <w:r>
        <w:br w:type="page"/>
      </w:r>
    </w:p>
    <w:p>
      <w:pPr>
        <w:pStyle w:val="Heading1"/>
      </w:pPr>
      <w:r>
        <w:t>3. Transformers Requiring Attention</w:t>
      </w:r>
    </w:p>
    <w:p>
      <w:r>
        <w:t>The following 34 transformers are rated Poor or Critical. The ‘Reason for Risk Rating’ column explains which parameter exceeds IEEE/IEC thresholds.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</w:tcPr>
          <w:p/>
        </w:tc>
        <w:tc>
          <w:tcPr>
            <w:tcW w:type="dxa" w:w="2592"/>
          </w:tcPr>
          <w:p/>
        </w:tc>
        <w:tc>
          <w:tcPr>
            <w:tcW w:type="dxa" w:w="1008"/>
          </w:tcPr>
          <w:p/>
        </w:tc>
        <w:tc>
          <w:tcPr>
            <w:tcW w:type="dxa" w:w="576"/>
          </w:tcPr>
          <w:p/>
        </w:tc>
        <w:tc>
          <w:tcPr>
            <w:tcW w:type="dxa" w:w="576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Equipment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Substation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Make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kV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CHI</w:t>
            </w:r>
          </w:p>
        </w:tc>
        <w:tc>
          <w:tcPr>
            <w:tcW w:type="dxa" w:w="72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Reason for Risk Rating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10016250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HINDUPUR-220/132/33KV-SUBSTATION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WHEPL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63.4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10069471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HINDUPUR-220/132/33KV-SUBSTATION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WHE PVT LTD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62.2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10026174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BANAGANAPALLI-132/33KV-SUBSTATION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CTR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42.4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10047757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GUDUR-132/33KV-SUBSTATION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HyderabadInstrumentTransformer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31.7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10089409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KALAPAKA[VIZAG]-400/220KV-SUBSTATIO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EASUN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30.5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10026131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BANAGANAPALLI-132/33KV-SUBSTATION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PETE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33.6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10040288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MACHILIPATNAM 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HIT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58.6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10071077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AIIMS-132/33/11KV-SUBSTATION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VIJAY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36.6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10070903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PRATHIPADU-220/132KV-SUBSTATION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BBL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220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54.47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10070322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GOOTY[RS]-220/132/33KV-SUBSTATION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CGL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220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43.6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10107298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TALARICHERUVU-400/220KV-SUBSTATION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T&amp;R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37.8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10019904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PORUMAMILLA-132/33KV-SUBSTATION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PETE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38.2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10017028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TENALI-132/33KV-SUBSTATION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85.1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10000013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ANANDAPURAM-132/33KV-SUBSTATION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WHEP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51.9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10037243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GANGAVARAM-220/132/33KV-SUBSTATION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HIT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48.0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10110779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KALAPAKA[VIZAG]-400/220KV-SUBSTATIO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BHEL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32.1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10009615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PAYAKARAOPETA-132/33KV-SUBSTATION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HPE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177.2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10037402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GUDIVADA-220/132/33KV-SUBSTATION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PETE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50.6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10012542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VIZAG SPECIAL ECONOMIC ZONE-132/33K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PETE TRANSFORMER PVT LTD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31.5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10034944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BAPATLA-132/33KV-SUBSTATION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KEL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37.1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10000446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AVANIGADDA-132/33KV-SUBSTATION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HIT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36.5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10035593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CHILAKALURIPET-132/33KV-SUBSTATION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NEI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42.2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10068700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MUDIGEDU-132/33KV-SUBSTATION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Andrewyule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75.9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10079832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SALUR-132/33KV-SUBSTATION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HIT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34.5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10115591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BOBBILI-132/33KV-SUBSTATION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HIT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39.7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10033843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REPALLE-132/33KV-SUBSTATION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IML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39.0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10033125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KARAMPUDI-132/33KV-SUBSTATION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BHEL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36.0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10079379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BRANDIX(ACHUTAPURAM)-220/132/33KV-S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220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32.9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10032550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TIRUPATI-132/33KV-SUBSTATION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TELK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33.4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10041788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NARSIPATNAM-132/33KV-SUBSTATION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HINTH T/F PRIVATE LIMITED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30.8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10069198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PRATHIPADU-132/33KV-SUBSTATION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EMCO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41.7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10026171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BANAGANAPALLI-132/33KV-SUBSTATION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INDOTECH TRANSFORMERS LIMITED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25.0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35.3 ppm (limit: 30 ppm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10020074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RAYACHOTY-132/33KV-SS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AMOD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35.0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148.0 ppm (limit: 30 ppm per IEC 60422); Tan Delta = 0.79 (limit: 1.0 per IEC 60422)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10069285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PATHAPATNAM-132/33KV-SUBSTATION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NGEF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16"/>
              </w:rPr>
              <w:t>35.0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C00000"/>
                <w:sz w:val="14"/>
              </w:rPr>
              <w:t>Moisture = 36.3 ppm (limit: 30 ppm per IEC 60422); Acidity = 0.2 mgKOH/g (limit: 0.2 per IEC 60422)</w:t>
            </w:r>
          </w:p>
        </w:tc>
      </w:tr>
    </w:tbl>
    <w:p>
      <w:r>
        <w:br w:type="page"/>
      </w:r>
    </w:p>
    <w:p>
      <w:pPr>
        <w:pStyle w:val="Heading1"/>
      </w:pPr>
      <w:r>
        <w:t>4. Substations with Poor Transformers</w:t>
      </w:r>
    </w:p>
    <w:p>
      <w:r>
        <w:t>30 substations contain at least one transformer rated Poor.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Substation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kV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Units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Avg CHI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Worst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Last Tested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ANANDAPURAM-132/33KV-SUBSTATION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80.3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2026-03-05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AIIMS-132/33/11KV-SUBSTATION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58.3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2025-09-18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AVANIGADDA-132/33KV-SUBSTATION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75.0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2025-12-29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BOBBILI-132/33KV-SUBSTATION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68.3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2025-10-15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BANAGANAPALLI-132/33KV-SUBSTATION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51.0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2026-02-25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BAPATLA-132/33KV-SUBSTATION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73.7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2026-02-11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CHILAKALURIPET-132/33KV-SUBSTATION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78.8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2026-02-26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GUDUR-132/33KV-SUBSTATION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82.3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2026-03-15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KARAMPUDI-132/33KV-SUBSTATION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68.1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2026-02-01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MACHILIPATNAM 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80.2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2026-02-12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MUDIGEDU-132/33KV-SUBSTATION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67.0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2025-11-09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NARSIPATNAM-132/33KV-SUBSTATION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67.3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2026-02-22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PAYAKARAOPETA-132/33KV-SUBSTATION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77.5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2025-12-06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PORUMAMILLA-132/33KV-SUBSTATION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63.5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2025-09-08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PRATHIPADU-132/33KV-SUBSTATION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68.3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2026-02-07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PATHAPATNAM-132/33KV-SUBSTATION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58.1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2025-07-30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RAYACHOTY-132/33KV-SS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78.3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2025-12-18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REPALLE-132/33KV-SUBSTATION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73.1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2025-12-23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SALUR-132/33KV-SUBSTATION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69.6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2025-11-28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TENALI-132/33KV-SUBSTATION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82.0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2026-01-21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TIRUPATI-132/33KV-SUBSTATION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37.5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2026-01-22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VIZAG SPECIAL ECONOMIC ZONE-132/33KV-SS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71.2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2025-11-14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BRANDIX(ACHUTAPURAM)-220/132/33KV-SS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79.2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2026-02-19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GUDIVADA-220/132/33KV-SUBSTATION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85.1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2025-12-08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GOOTY[RS]-220/132/33KV-SUBSTATION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83.2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2025-09-10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GANGAVARAM-220/132/33KV-SUBSTATION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85.2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2025-10-21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HINDUPUR-220/132/33KV-SUBSTATION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79.4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2025-12-29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PRATHIPADU-220/132KV-SUBSTATION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220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78.3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2026-03-20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KALAPAKA[VIZAG]-400/220KV-SUBSTATION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82.0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2026-02-06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TALARICHERUVU-400/220KV-SUBSTATION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74.3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b/>
                <w:color w:val="C00000"/>
                <w:sz w:val="16"/>
              </w:rPr>
              <w:t>Poor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2025-08-25</w:t>
            </w:r>
          </w:p>
        </w:tc>
      </w:tr>
    </w:tbl>
    <w:p>
      <w:r>
        <w:br w:type="page"/>
      </w:r>
    </w:p>
    <w:p>
      <w:pPr>
        <w:pStyle w:val="Heading1"/>
      </w:pPr>
      <w:r>
        <w:t>5. Manufacturer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Manufacturer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Units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Avg CHI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Fault Rate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Poor/Crit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BBL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96.0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12.5%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TOSHIBA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95.9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36.8%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T&amp;R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92.3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23.8%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BHEL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91.0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18.4%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EMCO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86.7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19.7%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NGEF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85.9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26.6%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ECE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96.6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12.7%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APEX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86.3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40.4%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High fault rate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TELK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92.5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22.4%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BHARAT BIJILI LIMITED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92.2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15.6%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ECE INDUSTRIES LTD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98.7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2.4%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CROMPTON GREAVES LTD(CGL)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93.1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40.7%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High fault rate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CGL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87.0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21.1%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INDOTECH TRANSFORMERS LIMITED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89.8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15.8%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ANDREWYULE &amp; COMPANY LTD.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90.9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35.3%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ALSTOM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94.7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18.8%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Unknown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85.3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12.5%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ETE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83.8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61.5%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High fault rate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TRIL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96.6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30.8%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TBEA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99.7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16.7%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AVAL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96.8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58.3%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High fault rate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VIJAY ELECTRICALS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90.9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33.3%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TR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96.8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36.4%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INDOTECH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89.5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10.0%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</w:tbl>
    <w:p>
      <w:r>
        <w:br w:type="page"/>
      </w:r>
    </w:p>
    <w:p>
      <w:pPr>
        <w:pStyle w:val="Heading1"/>
      </w:pPr>
      <w:r>
        <w:t>6. Machine Learning Model Performance</w:t>
      </w:r>
    </w:p>
    <w:p>
      <w:pPr>
        <w:pStyle w:val="Heading2"/>
      </w:pPr>
      <w:r>
        <w:t>Model 1: Fault Classification</w:t>
      </w:r>
    </w:p>
    <w:p>
      <w:r>
        <w:t>Accuracy: 99.6% | Weighted F1: 99.6% | Macro F1: 97.9%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Fault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F1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Normal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578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PD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97.4%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98.7%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D1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97.3%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98.6%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98.0%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73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D2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98.7%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97.4%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98.0%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77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T1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99.6%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99.6%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99.6%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255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T2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80.0%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88.9%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T3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115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DT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</w:tr>
    </w:tbl>
    <w:p>
      <w:pPr>
        <w:pStyle w:val="Heading2"/>
      </w:pPr>
      <w:r>
        <w:t>Model 2: Health Index Regression</w:t>
      </w:r>
    </w:p>
    <w:p>
      <w:r>
        <w:t>R²: 0.9923 | RMSE: 1.36 | MAE: 0.48 | Risk Accuracy: 98.3%</w:t>
      </w:r>
    </w:p>
    <w:p>
      <w:pPr>
        <w:pStyle w:val="Heading2"/>
      </w:pPr>
      <w:r>
        <w:t>Model 3: Failure Prediction</w:t>
      </w:r>
    </w:p>
    <w:p>
      <w:r>
        <w:t>Accuracy: 93.4% | AUC-ROC: 0.860 | AUC-PR: 0.486</w:t>
      </w:r>
    </w:p>
    <w:p>
      <w:r>
        <w:br w:type="page"/>
      </w:r>
    </w:p>
    <w:p>
      <w:pPr>
        <w:pStyle w:val="Heading1"/>
      </w:pPr>
      <w:r>
        <w:t>7. Methodology &amp; Standards</w:t>
      </w:r>
    </w:p>
    <w:p>
      <w:pPr>
        <w:pStyle w:val="Heading2"/>
      </w:pPr>
      <w:r>
        <w:t>Standards Applied</w:t>
      </w:r>
    </w:p>
    <w:p>
      <w:pPr>
        <w:pStyle w:val="ListBullet"/>
      </w:pPr>
      <w:r>
        <w:t>IEEE C57.104-2019 — Gas concentration thresholds (Status 1/2/3), rate limits, Rogers ratios, Key Gas method</w:t>
      </w:r>
    </w:p>
    <w:p>
      <w:pPr>
        <w:pStyle w:val="ListBullet"/>
      </w:pPr>
      <w:r>
        <w:t>IEC 60599:2022 — Fault taxonomy (PD/D1/D2/T1/T2/T3/DT), Duval Triangle, IEC ratio method</w:t>
      </w:r>
    </w:p>
    <w:p>
      <w:pPr>
        <w:pStyle w:val="ListBullet"/>
      </w:pPr>
      <w:r>
        <w:t>CIGRE TB 771 (2019) — Duval Pentagon 5-gas centroid classification</w:t>
      </w:r>
    </w:p>
    <w:p>
      <w:pPr>
        <w:pStyle w:val="ListBullet"/>
      </w:pPr>
      <w:r>
        <w:t>IEC 60422:2013 — Oil quality thresholds (BDV, moisture, acidity, tan delta)</w:t>
      </w:r>
    </w:p>
    <w:p>
      <w:pPr>
        <w:pStyle w:val="Heading2"/>
      </w:pPr>
      <w:r>
        <w:t>Health Index Formula</w:t>
      </w:r>
    </w:p>
    <w:p>
      <w:r>
        <w:t>CHI = 50% × DGAF + 15% × BDV + 15% × Moisture + 10% × Acidity + 10% × Tan Delta</w:t>
      </w:r>
    </w:p>
    <w:p>
      <w:pPr>
        <w:pStyle w:val="Heading2"/>
      </w:pPr>
      <w:r>
        <w:t>Data Integrity</w:t>
      </w:r>
    </w:p>
    <w:p>
      <w:pPr>
        <w:pStyle w:val="ListBullet"/>
      </w:pPr>
      <w:r>
        <w:t>All gas values from actual last sample date per transformer (not aggregated)</w:t>
      </w:r>
    </w:p>
    <w:p>
      <w:pPr>
        <w:pStyle w:val="ListBullet"/>
      </w:pPr>
      <w:r>
        <w:t>Fault labels generated by 5-method weighted consensus voting</w:t>
      </w:r>
    </w:p>
    <w:p>
      <w:pPr>
        <w:pStyle w:val="ListBullet"/>
      </w:pPr>
      <w:r>
        <w:t>Temporal train/test split for failure prediction (no data leakage)</w:t>
      </w:r>
    </w:p>
    <w:p>
      <w:pPr>
        <w:pStyle w:val="ListBullet"/>
      </w:pPr>
      <w:r>
        <w:t>Gas data completeness varies: Key Gas 83%, Duval methods 10–15%</w:t>
      </w:r>
    </w:p>
    <w:p>
      <w:pPr>
        <w:pStyle w:val="ListBullet"/>
      </w:pPr>
      <w:r>
        <w:t>Oil BDV data sparse (1.5%) — CHI redistributes weight proportionally</w:t>
      </w:r>
    </w:p>
    <w:p>
      <w:pPr>
        <w:pStyle w:val="Heading2"/>
      </w:pPr>
      <w:r>
        <w:t>Research References</w:t>
      </w:r>
    </w:p>
    <w:p>
      <w:r>
        <w:t>[1] ML-based multi-method DGA interpretation — PMC/ScienceDirect, 2024</w:t>
      </w:r>
    </w:p>
    <w:p>
      <w:r>
        <w:t>[2] Fault Classification via DGA and ML: Systematic Review — MDPI Applied Sciences, 2025</w:t>
      </w:r>
    </w:p>
    <w:p>
      <w:r>
        <w:t>[3] Evaluation of Duval Pentagon — Springer Electrical Engineering, 2025</w:t>
      </w:r>
    </w:p>
    <w:p>
      <w:r>
        <w:t>[4] Review of Transformer Health Index — MDPI Electronics, 2023</w:t>
      </w:r>
    </w:p>
    <w:p>
      <w:r>
        <w:t>[5] Modified DGA Scoring with Rate Values — MDPI Energies, 2024</w:t>
      </w:r>
    </w:p>
    <w:p>
      <w:r>
        <w:t>[6] SHAP + LGBM for DGA Fault Diagnosis — Energy Informatics, 2025</w:t>
      </w:r>
    </w:p>
    <w:p>
      <w:r>
        <w:t>[7] SMOTE + GBDT Hybrid for DGA — Arabian J. Sci. Eng., 2025</w:t>
      </w:r>
    </w:p>
    <w:p/>
    <w:p>
      <w:pPr>
        <w:jc w:val="center"/>
      </w:pPr>
      <w:r>
        <w:rPr>
          <w:i/>
          <w:color w:val="666666"/>
        </w:rPr>
        <w:t>— End of Report —</w:t>
      </w:r>
    </w:p>
    <w:p>
      <w:pPr>
        <w:jc w:val="center"/>
      </w:pPr>
      <w:r>
        <w:rPr>
          <w:color w:val="666666"/>
          <w:sz w:val="16"/>
        </w:rPr>
        <w:t>Generated: 28 March 2026 | AP Transco DGA Dashboard — Phase A Local Analysis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