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B3A5C"/>
          <w:sz w:val="64"/>
        </w:rPr>
        <w:t>{{ report_title }}</w:t>
      </w:r>
    </w:p>
    <w:p>
      <w:pPr>
        <w:jc w:val="center"/>
      </w:pPr>
      <w:r>
        <w:rPr>
          <w:rFonts w:ascii="Calibri" w:hAnsi="Calibri"/>
          <w:color w:val="666666"/>
          <w:sz w:val="32"/>
        </w:rPr>
        <w:t>Prepared for {{ client_name }}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5040"/>
      </w:tblGrid>
      <w:tr>
        <w:tc>
          <w:tcPr>
            <w:tcW w:type="dxa" w:w="4514"/>
            <w:shd w:fill="F2F2F2"/>
          </w:tcPr>
          <w:p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/>
                <w:sz w:val="20"/>
              </w:rPr>
              <w:t>{{ report_date }}</w:t>
            </w:r>
          </w:p>
        </w:tc>
      </w:tr>
      <w:tr>
        <w:tc>
          <w:tcPr>
            <w:tcW w:type="dxa" w:w="4514"/>
            <w:shd w:fill="F2F2F2"/>
          </w:tcPr>
          <w:p>
            <w:r/>
            <w:r>
              <w:rPr>
                <w:rFonts w:ascii="Calibri" w:hAnsi="Calibri"/>
                <w:b/>
                <w:sz w:val="20"/>
              </w:rPr>
              <w:t>Client Contact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/>
                <w:sz w:val="20"/>
              </w:rPr>
              <w:t>{{ client_contact }}</w:t>
            </w:r>
          </w:p>
        </w:tc>
      </w:tr>
      <w:tr>
        <w:tc>
          <w:tcPr>
            <w:tcW w:type="dxa" w:w="4514"/>
            <w:shd w:fill="F2F2F2"/>
          </w:tcPr>
          <w:p>
            <w:r/>
            <w:r>
              <w:rPr>
                <w:rFonts w:ascii="Calibri" w:hAnsi="Calibri"/>
                <w:b/>
                <w:sz w:val="20"/>
              </w:rPr>
              <w:t>Auditor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/>
                <w:sz w:val="20"/>
              </w:rPr>
              <w:t>{{ auditor_name }}</w:t>
            </w:r>
          </w:p>
        </w:tc>
      </w:tr>
      <w:tr>
        <w:tc>
          <w:tcPr>
            <w:tcW w:type="dxa" w:w="4514"/>
            <w:shd w:fill="F2F2F2"/>
          </w:tcPr>
          <w:p>
            <w:r/>
            <w:r>
              <w:rPr>
                <w:rFonts w:ascii="Calibri" w:hAnsi="Calibri"/>
                <w:b/>
                <w:sz w:val="20"/>
              </w:rPr>
              <w:t>Company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/>
                <w:sz w:val="20"/>
              </w:rPr>
              <w:t>{{ auditor_company }}</w:t>
            </w:r>
          </w:p>
        </w:tc>
      </w:tr>
      <w:tr>
        <w:tc>
          <w:tcPr>
            <w:tcW w:type="dxa" w:w="4514"/>
            <w:shd w:fill="F2F2F2"/>
          </w:tcPr>
          <w:p>
            <w:r/>
            <w:r>
              <w:rPr>
                <w:rFonts w:ascii="Calibri" w:hAnsi="Calibri"/>
                <w:b/>
                <w:sz w:val="20"/>
              </w:rPr>
              <w:t>Confidentiality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/>
                <w:sz w:val="20"/>
              </w:rPr>
              <w:t>{{ confidentiality }}</w:t>
            </w:r>
          </w:p>
        </w:tc>
      </w:tr>
      <w:tr>
        <w:tc>
          <w:tcPr>
            <w:tcW w:type="dxa" w:w="4514"/>
            <w:shd w:fill="F2F2F2"/>
          </w:tcPr>
          <w:p>
            <w:r/>
            <w:r>
              <w:rPr>
                <w:rFonts w:ascii="Calibri" w:hAnsi="Calibri"/>
                <w:b/>
                <w:sz w:val="20"/>
              </w:rPr>
              <w:t>Document Version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999999"/>
          <w:sz w:val="20"/>
        </w:rPr>
        <w:t>Right-click and select 'Update Field' to generate the table of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1. Executive Summary</w:t>
      </w:r>
    </w:p>
    <w:p>
      <w:r>
        <w:t>This report presents the findings of a firewall security audit conducted for {{ client_name }} on {{ report_date }}. The audit analysed {{ total_rules }} firewall rules across {{ device_group_count }} device group(s) ({{ device_groups }}).</w:t>
      </w:r>
    </w:p>
    <w:p/>
    <w:p>
      <w:pPr>
        <w:pStyle w:val="Heading2"/>
      </w:pPr>
      <w:r>
        <w:rPr>
          <w:rFonts w:ascii="Calibri" w:hAnsi="Calibri"/>
          <w:color w:val="1B3A5C"/>
        </w:rPr>
        <w:t>1.1 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F2F2F2"/>
          </w:tcPr>
          <w:p>
            <w:r/>
            <w:r>
              <w:rPr>
                <w:rFonts w:ascii="Calibri" w:hAnsi="Calibri"/>
                <w:b/>
                <w:sz w:val="18"/>
              </w:rPr>
              <w:t>Total Rules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total_rules }}</w:t>
            </w:r>
          </w:p>
        </w:tc>
        <w:tc>
          <w:tcPr>
            <w:tcW w:type="dxa" w:w="2257"/>
            <w:shd w:fill="F2F2F2"/>
          </w:tcPr>
          <w:p>
            <w:r/>
            <w:r>
              <w:rPr>
                <w:rFonts w:ascii="Calibri" w:hAnsi="Calibri"/>
                <w:b/>
                <w:sz w:val="18"/>
              </w:rPr>
              <w:t>Compliance Rate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compliance_rate }}</w:t>
            </w:r>
          </w:p>
        </w:tc>
      </w:tr>
      <w:tr>
        <w:tc>
          <w:tcPr>
            <w:tcW w:type="dxa" w:w="2257"/>
            <w:shd w:fill="F2F2F2"/>
          </w:tcPr>
          <w:p>
            <w:r/>
            <w:r>
              <w:rPr>
                <w:rFonts w:ascii="Calibri" w:hAnsi="Calibri"/>
                <w:b/>
                <w:sz w:val="18"/>
              </w:rPr>
              <w:t>Rules with Issues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rules_with_issues }}</w:t>
            </w:r>
          </w:p>
        </w:tc>
        <w:tc>
          <w:tcPr>
            <w:tcW w:type="dxa" w:w="2257"/>
            <w:shd w:fill="F2F2F2"/>
          </w:tcPr>
          <w:p>
            <w:r/>
            <w:r>
              <w:rPr>
                <w:rFonts w:ascii="Calibri" w:hAnsi="Calibri"/>
                <w:b/>
                <w:sz w:val="18"/>
              </w:rPr>
              <w:t>Risk Score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risk_score }}</w:t>
            </w:r>
          </w:p>
        </w:tc>
      </w:tr>
      <w:tr>
        <w:tc>
          <w:tcPr>
            <w:tcW w:type="dxa" w:w="2257"/>
            <w:shd w:fill="F2F2F2"/>
          </w:tcPr>
          <w:p>
            <w:r/>
            <w:r>
              <w:rPr>
                <w:rFonts w:ascii="Calibri" w:hAnsi="Calibri"/>
                <w:b/>
                <w:sz w:val="18"/>
              </w:rPr>
              <w:t>Total Findings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total_findings }}</w:t>
            </w:r>
          </w:p>
        </w:tc>
        <w:tc>
          <w:tcPr>
            <w:tcW w:type="dxa" w:w="2257"/>
            <w:shd w:fill="F2F2F2"/>
          </w:tcPr>
          <w:p>
            <w:r/>
            <w:r>
              <w:rPr>
                <w:rFonts w:ascii="Calibri" w:hAnsi="Calibri"/>
                <w:b/>
                <w:sz w:val="18"/>
              </w:rPr>
              <w:t>Risk Grade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risk_grade }}</w:t>
            </w:r>
          </w:p>
        </w:tc>
      </w:tr>
      <w:tr>
        <w:tc>
          <w:tcPr>
            <w:tcW w:type="dxa" w:w="2257"/>
            <w:shd w:fill="F2F2F2"/>
          </w:tcPr>
          <w:p>
            <w:r/>
            <w:r>
              <w:rPr>
                <w:rFonts w:ascii="Calibri" w:hAnsi="Calibri"/>
                <w:b/>
                <w:sz w:val="18"/>
              </w:rPr>
              <w:t>Shadowed Rules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shadowed_rule_count }}</w:t>
            </w:r>
          </w:p>
        </w:tc>
        <w:tc>
          <w:tcPr>
            <w:tcW w:type="dxa" w:w="2257"/>
            <w:shd w:fill="F2F2F2"/>
          </w:tcPr>
          <w:p>
            <w:r/>
            <w:r>
              <w:rPr>
                <w:rFonts w:ascii="Calibri" w:hAnsi="Calibri"/>
                <w:b/>
                <w:sz w:val="18"/>
              </w:rPr>
              <w:t>Best Practices Score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best_practices_overall_score }}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1.2 Findings by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160"/>
      </w:tblGrid>
      <w:tr>
        <w:tc>
          <w:tcPr>
            <w:tcW w:type="dxa" w:w="4514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514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/>
                <w:b/>
                <w:color w:val="C00000"/>
                <w:sz w:val="18"/>
              </w:rPr>
              <w:t>Critical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/>
                <w:sz w:val="18"/>
              </w:rPr>
              <w:t>{{ critical_count }}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/>
                <w:b/>
                <w:color w:val="E36C09"/>
                <w:sz w:val="18"/>
              </w:rPr>
              <w:t>High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/>
                <w:sz w:val="18"/>
              </w:rPr>
              <w:t>{{ high_count }}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/>
                <w:b/>
                <w:color w:val="E6B800"/>
                <w:sz w:val="18"/>
              </w:rPr>
              <w:t>Medium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/>
                <w:sz w:val="18"/>
              </w:rPr>
              <w:t>{{ medium_count }}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/>
                <w:b/>
                <w:color w:val="4472C4"/>
                <w:sz w:val="18"/>
              </w:rPr>
              <w:t>Low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/>
                <w:sz w:val="18"/>
              </w:rPr>
              <w:t>{{ low_count }}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/>
                <w:b/>
                <w:color w:val="1B3A5C"/>
                <w:sz w:val="18"/>
              </w:rPr>
              <w:t>Total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/>
                <w:sz w:val="18"/>
              </w:rPr>
              <w:t>{{ total_findings }}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2. Risk Assessment</w:t>
      </w:r>
    </w:p>
    <w:p>
      <w:r>
        <w:t>The overall risk grade for this environment is {{ risk_grade }} with a risk score of {{ risk_score }}. The assessment identified {{ critical_issues }} critical issues and {{ high_risk_rules }} high-risk rules requiring immediate attention.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F2F2F2"/>
          </w:tcPr>
          <w:p>
            <w:r/>
            <w:r>
              <w:rPr>
                <w:rFonts w:ascii="Calibri" w:hAnsi="Calibri"/>
                <w:b/>
                <w:sz w:val="18"/>
              </w:rPr>
              <w:t>Best Practices Score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/>
                <w:sz w:val="18"/>
              </w:rPr>
              <w:t>{{ best_practices_score }}</w:t>
            </w:r>
          </w:p>
        </w:tc>
      </w:tr>
      <w:tr>
        <w:tc>
          <w:tcPr>
            <w:tcW w:type="dxa" w:w="4514"/>
            <w:shd w:fill="F2F2F2"/>
          </w:tcPr>
          <w:p>
            <w:r/>
            <w:r>
              <w:rPr>
                <w:rFonts w:ascii="Calibri" w:hAnsi="Calibri"/>
                <w:b/>
                <w:sz w:val="18"/>
              </w:rPr>
              <w:t>Segmentation Score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/>
                <w:sz w:val="18"/>
              </w:rPr>
              <w:t>{{ segmentation_score }}</w:t>
            </w:r>
          </w:p>
        </w:tc>
      </w:tr>
      <w:tr>
        <w:tc>
          <w:tcPr>
            <w:tcW w:type="dxa" w:w="4514"/>
            <w:shd w:fill="F2F2F2"/>
          </w:tcPr>
          <w:p>
            <w:r/>
            <w:r>
              <w:rPr>
                <w:rFonts w:ascii="Calibri" w:hAnsi="Calibri"/>
                <w:b/>
                <w:sz w:val="18"/>
              </w:rPr>
              <w:t>Lateral Movement Paths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/>
                <w:sz w:val="18"/>
              </w:rPr>
              <w:t>{{ lateral_movement_paths }}</w:t>
            </w:r>
          </w:p>
        </w:tc>
      </w:tr>
      <w:tr>
        <w:tc>
          <w:tcPr>
            <w:tcW w:type="dxa" w:w="4514"/>
            <w:shd w:fill="F2F2F2"/>
          </w:tcPr>
          <w:p>
            <w:r/>
            <w:r>
              <w:rPr>
                <w:rFonts w:ascii="Calibri" w:hAnsi="Calibri"/>
                <w:b/>
                <w:sz w:val="18"/>
              </w:rPr>
              <w:t>Shadowed Rules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/>
                <w:sz w:val="18"/>
              </w:rPr>
              <w:t>{{ shadowed_rule_count }}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3. Compliance Summary</w:t>
      </w:r>
    </w:p>
    <w:p>
      <w:r>
        <w:t>The following table summarises compliance status against applicable frameworks. This section is populated when compliance data is available in the Rampart export.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1505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Score (%)</w:t>
            </w:r>
          </w:p>
        </w:tc>
        <w:tc>
          <w:tcPr>
            <w:tcW w:type="dxa" w:w="1505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05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505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1505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505"/>
          </w:tcPr>
          <w:p>
            <w:r>
              <w:t>{{#compliance}}</w:t>
            </w:r>
          </w:p>
        </w:tc>
        <w:tc>
          <w:tcPr>
            <w:tcW w:type="dxa" w:w="1505"/>
          </w:tcPr>
          <w:p>
            <w:r/>
          </w:p>
        </w:tc>
        <w:tc>
          <w:tcPr>
            <w:tcW w:type="dxa" w:w="1505"/>
          </w:tcPr>
          <w:p>
            <w:r/>
          </w:p>
        </w:tc>
        <w:tc>
          <w:tcPr>
            <w:tcW w:type="dxa" w:w="1505"/>
          </w:tcPr>
          <w:p>
            <w:r/>
          </w:p>
        </w:tc>
        <w:tc>
          <w:tcPr>
            <w:tcW w:type="dxa" w:w="1505"/>
          </w:tcPr>
          <w:p>
            <w:r/>
          </w:p>
        </w:tc>
        <w:tc>
          <w:tcPr>
            <w:tcW w:type="dxa" w:w="1505"/>
          </w:tcPr>
          <w:p>
            <w:r/>
          </w:p>
        </w:tc>
      </w:tr>
      <w:tr>
        <w:tc>
          <w:tcPr>
            <w:tcW w:type="dxa" w:w="1505"/>
          </w:tcPr>
          <w:p>
            <w:r/>
            <w:r>
              <w:rPr>
                <w:rFonts w:ascii="Calibri" w:hAnsi="Calibri"/>
                <w:sz w:val="18"/>
              </w:rPr>
              <w:t>{{ framework }}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/>
                <w:sz w:val="18"/>
              </w:rPr>
              <w:t>{{ percentage }}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/>
                <w:sz w:val="18"/>
              </w:rPr>
              <w:t>{{ status }}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/>
                <w:sz w:val="18"/>
              </w:rPr>
              <w:t>{{ passed }}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/>
                <w:sz w:val="18"/>
              </w:rPr>
              <w:t>{{ failed }}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/>
                <w:sz w:val="18"/>
              </w:rPr>
              <w:t>{{ total }}</w:t>
            </w:r>
          </w:p>
        </w:tc>
      </w:tr>
      <w:tr>
        <w:tc>
          <w:tcPr>
            <w:tcW w:type="dxa" w:w="1505"/>
          </w:tcPr>
          <w:p>
            <w:r>
              <w:t>{{/compliance}}</w:t>
            </w:r>
          </w:p>
        </w:tc>
        <w:tc>
          <w:tcPr>
            <w:tcW w:type="dxa" w:w="1505"/>
          </w:tcPr>
          <w:p>
            <w:r/>
          </w:p>
        </w:tc>
        <w:tc>
          <w:tcPr>
            <w:tcW w:type="dxa" w:w="1505"/>
          </w:tcPr>
          <w:p>
            <w:r/>
          </w:p>
        </w:tc>
        <w:tc>
          <w:tcPr>
            <w:tcW w:type="dxa" w:w="1505"/>
          </w:tcPr>
          <w:p>
            <w:r/>
          </w:p>
        </w:tc>
        <w:tc>
          <w:tcPr>
            <w:tcW w:type="dxa" w:w="1505"/>
          </w:tcPr>
          <w:p>
            <w:r/>
          </w:p>
        </w:tc>
        <w:tc>
          <w:tcPr>
            <w:tcW w:type="dxa" w:w="1505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4. Detailed Findings</w:t>
      </w:r>
    </w:p>
    <w:p>
      <w:r>
        <w:t>This section presents all findings identified during the analysis, organised by severity.</w:t>
      </w:r>
    </w:p>
    <w:p/>
    <w:p>
      <w:pPr>
        <w:pStyle w:val="Heading2"/>
      </w:pPr>
      <w:r>
        <w:rPr>
          <w:rFonts w:ascii="Calibri" w:hAnsi="Calibri"/>
          <w:color w:val="1B3A5C"/>
        </w:rPr>
        <w:t>4.1 Critical Findings</w:t>
      </w:r>
    </w:p>
    <w:p>
      <w:r>
        <w:t>{{ critical_count }} critical finding(s) were identified.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Device Group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Remediation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1290"/>
          </w:tcPr>
          <w:p>
            <w:r>
              <w:t>{{#critical_findings}}</w:t>
            </w:r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rule_name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device_group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severity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type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description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remediation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risk_score }}</w:t>
            </w:r>
          </w:p>
        </w:tc>
      </w:tr>
      <w:tr>
        <w:tc>
          <w:tcPr>
            <w:tcW w:type="dxa" w:w="1290"/>
          </w:tcPr>
          <w:p>
            <w:r>
              <w:t>{{/critical_findings}}</w:t>
            </w:r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4.2 High Findings</w:t>
      </w:r>
    </w:p>
    <w:p>
      <w:r>
        <w:t>{{ high_count }} high-severity finding(s) were identified.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Device Group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Remediation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1290"/>
          </w:tcPr>
          <w:p>
            <w:r>
              <w:t>{{#high_findings}}</w:t>
            </w:r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rule_name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device_group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severity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type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description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remediation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risk_score }}</w:t>
            </w:r>
          </w:p>
        </w:tc>
      </w:tr>
      <w:tr>
        <w:tc>
          <w:tcPr>
            <w:tcW w:type="dxa" w:w="1290"/>
          </w:tcPr>
          <w:p>
            <w:r>
              <w:t>{{/high_findings}}</w:t>
            </w:r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4.3 All Findings</w:t>
      </w:r>
    </w:p>
    <w:p>
      <w:r>
        <w:t>{{ total_findings }} finding(s) were identified in total.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Device Group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Remediation</w:t>
            </w:r>
          </w:p>
        </w:tc>
        <w:tc>
          <w:tcPr>
            <w:tcW w:type="dxa" w:w="129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1290"/>
          </w:tcPr>
          <w:p>
            <w:r>
              <w:t>{{#findings}}</w:t>
            </w:r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rule_name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device_group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severity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type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description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remediation }}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/>
                <w:sz w:val="18"/>
              </w:rPr>
              <w:t>{{ risk_score }}</w:t>
            </w:r>
          </w:p>
        </w:tc>
      </w:tr>
      <w:tr>
        <w:tc>
          <w:tcPr>
            <w:tcW w:type="dxa" w:w="1290"/>
          </w:tcPr>
          <w:p>
            <w:r>
              <w:t>{{/findings}}</w:t>
            </w:r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  <w:tc>
          <w:tcPr>
            <w:tcW w:type="dxa" w:w="129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5. Shadowed Rules</w:t>
      </w:r>
    </w:p>
    <w:p>
      <w:r>
        <w:t>{{ shadowed_rules_total }} shadowed rule(s) were detected. Shadowed rules are never matched because a broader rule higher in the policy takes precedence.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1505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Shadowed By</w:t>
            </w:r>
          </w:p>
        </w:tc>
        <w:tc>
          <w:tcPr>
            <w:tcW w:type="dxa" w:w="1505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Device Group</w:t>
            </w:r>
          </w:p>
        </w:tc>
        <w:tc>
          <w:tcPr>
            <w:tcW w:type="dxa" w:w="1505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05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05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Remediation</w:t>
            </w:r>
          </w:p>
        </w:tc>
      </w:tr>
      <w:tr>
        <w:tc>
          <w:tcPr>
            <w:tcW w:type="dxa" w:w="1505"/>
          </w:tcPr>
          <w:p>
            <w:r>
              <w:t>{{#shadowed_rules}}</w:t>
            </w:r>
          </w:p>
        </w:tc>
        <w:tc>
          <w:tcPr>
            <w:tcW w:type="dxa" w:w="1505"/>
          </w:tcPr>
          <w:p>
            <w:r/>
          </w:p>
        </w:tc>
        <w:tc>
          <w:tcPr>
            <w:tcW w:type="dxa" w:w="1505"/>
          </w:tcPr>
          <w:p>
            <w:r/>
          </w:p>
        </w:tc>
        <w:tc>
          <w:tcPr>
            <w:tcW w:type="dxa" w:w="1505"/>
          </w:tcPr>
          <w:p>
            <w:r/>
          </w:p>
        </w:tc>
        <w:tc>
          <w:tcPr>
            <w:tcW w:type="dxa" w:w="1505"/>
          </w:tcPr>
          <w:p>
            <w:r/>
          </w:p>
        </w:tc>
        <w:tc>
          <w:tcPr>
            <w:tcW w:type="dxa" w:w="1505"/>
          </w:tcPr>
          <w:p>
            <w:r/>
          </w:p>
        </w:tc>
      </w:tr>
      <w:tr>
        <w:tc>
          <w:tcPr>
            <w:tcW w:type="dxa" w:w="1505"/>
          </w:tcPr>
          <w:p>
            <w:r/>
            <w:r>
              <w:rPr>
                <w:rFonts w:ascii="Calibri" w:hAnsi="Calibri"/>
                <w:sz w:val="18"/>
              </w:rPr>
              <w:t>{{ rule_name }}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/>
                <w:sz w:val="18"/>
              </w:rPr>
              <w:t>{{ shadowed_by }}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/>
                <w:sz w:val="18"/>
              </w:rPr>
              <w:t>{{ device_group }}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/>
                <w:sz w:val="18"/>
              </w:rPr>
              <w:t>{{ severity }}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/>
                <w:sz w:val="18"/>
              </w:rPr>
              <w:t>{{ description }}</w:t>
            </w:r>
          </w:p>
        </w:tc>
        <w:tc>
          <w:tcPr>
            <w:tcW w:type="dxa" w:w="1505"/>
          </w:tcPr>
          <w:p>
            <w:r/>
            <w:r>
              <w:rPr>
                <w:rFonts w:ascii="Calibri" w:hAnsi="Calibri"/>
                <w:sz w:val="18"/>
              </w:rPr>
              <w:t>{{ remediation }}</w:t>
            </w:r>
          </w:p>
        </w:tc>
      </w:tr>
      <w:tr>
        <w:tc>
          <w:tcPr>
            <w:tcW w:type="dxa" w:w="1505"/>
          </w:tcPr>
          <w:p>
            <w:r>
              <w:t>{{/shadowed_rules}}</w:t>
            </w:r>
          </w:p>
        </w:tc>
        <w:tc>
          <w:tcPr>
            <w:tcW w:type="dxa" w:w="1505"/>
          </w:tcPr>
          <w:p>
            <w:r/>
          </w:p>
        </w:tc>
        <w:tc>
          <w:tcPr>
            <w:tcW w:type="dxa" w:w="1505"/>
          </w:tcPr>
          <w:p>
            <w:r/>
          </w:p>
        </w:tc>
        <w:tc>
          <w:tcPr>
            <w:tcW w:type="dxa" w:w="1505"/>
          </w:tcPr>
          <w:p>
            <w:r/>
          </w:p>
        </w:tc>
        <w:tc>
          <w:tcPr>
            <w:tcW w:type="dxa" w:w="1505"/>
          </w:tcPr>
          <w:p>
            <w:r/>
          </w:p>
        </w:tc>
        <w:tc>
          <w:tcPr>
            <w:tcW w:type="dxa" w:w="1505"/>
          </w:tcPr>
          <w:p>
            <w:r/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6. Duplicate Objects</w:t>
      </w:r>
    </w:p>
    <w:p>
      <w:r>
        <w:t>The analysis identified {{ duplicate_address_count }} duplicate address object(s) and {{ duplicate_service_count }} duplicate service object(s).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0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80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80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Objects</w:t>
            </w:r>
          </w:p>
        </w:tc>
        <w:tc>
          <w:tcPr>
            <w:tcW w:type="dxa" w:w="180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Remediation</w:t>
            </w:r>
          </w:p>
        </w:tc>
      </w:tr>
      <w:tr>
        <w:tc>
          <w:tcPr>
            <w:tcW w:type="dxa" w:w="1806"/>
          </w:tcPr>
          <w:p>
            <w:r>
              <w:t>{{#duplicate_addresses}}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/>
                <w:sz w:val="18"/>
              </w:rPr>
              <w:t>{{ type }}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/>
                <w:sz w:val="18"/>
              </w:rPr>
              <w:t>{{ value }}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/>
                <w:sz w:val="18"/>
              </w:rPr>
              <w:t>{{ count }}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/>
                <w:sz w:val="18"/>
              </w:rPr>
              <w:t>{{ objects }}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/>
                <w:sz w:val="18"/>
              </w:rPr>
              <w:t>{{ remediation }}</w:t>
            </w:r>
          </w:p>
        </w:tc>
      </w:tr>
      <w:tr>
        <w:tc>
          <w:tcPr>
            <w:tcW w:type="dxa" w:w="1806"/>
          </w:tcPr>
          <w:p>
            <w:r>
              <w:t>{{/duplicate_addresses}}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7. Network Segmentation</w:t>
      </w:r>
    </w:p>
    <w:p>
      <w:r>
        <w:t>Segmentation grade: {{ seg_grade }} (score: {{ seg_score }}). The analysis evaluated {{ seg_zone_count }} zone(s) with {{ seg_allowed_pairs }} allowed pair(s) and {{ seg_blocked_pairs }} blocked pair(s).</w:t>
      </w:r>
    </w:p>
    <w:p/>
    <w:p>
      <w:pPr>
        <w:pStyle w:val="Heading2"/>
      </w:pPr>
      <w:r>
        <w:rPr>
          <w:rFonts w:ascii="Calibri" w:hAnsi="Calibri"/>
          <w:color w:val="1B3A5C"/>
        </w:rPr>
        <w:t>7.1 Weak Segments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Source Zone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Destination Zone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Openness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Remediation</w:t>
            </w:r>
          </w:p>
        </w:tc>
      </w:tr>
      <w:tr>
        <w:tc>
          <w:tcPr>
            <w:tcW w:type="dxa" w:w="2257"/>
          </w:tcPr>
          <w:p>
            <w:r>
              <w:t>{{#weak_segments}}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source_zone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dest_zone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openness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remediation }}</w:t>
            </w:r>
          </w:p>
        </w:tc>
      </w:tr>
      <w:tr>
        <w:tc>
          <w:tcPr>
            <w:tcW w:type="dxa" w:w="2257"/>
          </w:tcPr>
          <w:p>
            <w:r>
              <w:t>{{/weak_segments}}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7.2 Lateral Movement</w:t>
      </w:r>
    </w:p>
    <w:p>
      <w:r>
        <w:t>{{ lateral_movement_count }} rule(s) contribute to lateral movement risk.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180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80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Source Zones</w:t>
            </w:r>
          </w:p>
        </w:tc>
        <w:tc>
          <w:tcPr>
            <w:tcW w:type="dxa" w:w="180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Destination Zones</w:t>
            </w:r>
          </w:p>
        </w:tc>
        <w:tc>
          <w:tcPr>
            <w:tcW w:type="dxa" w:w="1806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 Factors</w:t>
            </w:r>
          </w:p>
        </w:tc>
      </w:tr>
      <w:tr>
        <w:tc>
          <w:tcPr>
            <w:tcW w:type="dxa" w:w="1806"/>
          </w:tcPr>
          <w:p>
            <w:r>
              <w:t>{{#lateral_movement}}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/>
            <w:r>
              <w:rPr>
                <w:rFonts w:ascii="Calibri" w:hAnsi="Calibri"/>
                <w:sz w:val="18"/>
              </w:rPr>
              <w:t>{{ rule_name }}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/>
                <w:sz w:val="18"/>
              </w:rPr>
              <w:t>{{ severity }}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/>
                <w:sz w:val="18"/>
              </w:rPr>
              <w:t>{{ source_zones }}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/>
                <w:sz w:val="18"/>
              </w:rPr>
              <w:t>{{ dest_zones }}</w:t>
            </w:r>
          </w:p>
        </w:tc>
        <w:tc>
          <w:tcPr>
            <w:tcW w:type="dxa" w:w="1806"/>
          </w:tcPr>
          <w:p>
            <w:r/>
            <w:r>
              <w:rPr>
                <w:rFonts w:ascii="Calibri" w:hAnsi="Calibri"/>
                <w:sz w:val="18"/>
              </w:rPr>
              <w:t>{{ risk_factors }}</w:t>
            </w:r>
          </w:p>
        </w:tc>
      </w:tr>
      <w:tr>
        <w:tc>
          <w:tcPr>
            <w:tcW w:type="dxa" w:w="1806"/>
          </w:tcPr>
          <w:p>
            <w:r>
              <w:t>{{/lateral_movement}}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8. Additional Analysis</w:t>
      </w:r>
    </w:p>
    <w:p>
      <w:pPr>
        <w:pStyle w:val="Heading2"/>
      </w:pPr>
      <w:r>
        <w:rPr>
          <w:rFonts w:ascii="Calibri" w:hAnsi="Calibri"/>
          <w:color w:val="1B3A5C"/>
        </w:rPr>
        <w:t>8.1 Cleartext Protocols</w:t>
      </w:r>
    </w:p>
    <w:p>
      <w:r>
        <w:t>{{ cleartext_rule_count }} rule(s) permit cleartext protocols.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Secure Alternative</w:t>
            </w:r>
          </w:p>
        </w:tc>
      </w:tr>
      <w:tr>
        <w:tc>
          <w:tcPr>
            <w:tcW w:type="dxa" w:w="2257"/>
          </w:tcPr>
          <w:p>
            <w:r>
              <w:t>{{#cleartext_rules}}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rule_name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protocol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severity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secure_alternative }}</w:t>
            </w:r>
          </w:p>
        </w:tc>
      </w:tr>
      <w:tr>
        <w:tc>
          <w:tcPr>
            <w:tcW w:type="dxa" w:w="2257"/>
          </w:tcPr>
          <w:p>
            <w:r>
              <w:t>{{/cleartext_rules}}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8.2 Stale Rules</w:t>
      </w:r>
    </w:p>
    <w:p>
      <w:r>
        <w:t>{{ stale_rule_count }} stale rule(s) were identified.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Indicators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Disabled</w:t>
            </w:r>
          </w:p>
        </w:tc>
      </w:tr>
      <w:tr>
        <w:tc>
          <w:tcPr>
            <w:tcW w:type="dxa" w:w="2257"/>
          </w:tcPr>
          <w:p>
            <w:r>
              <w:t>{{#stale_rules}}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rule_name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severity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indicators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disabled }}</w:t>
            </w:r>
          </w:p>
        </w:tc>
      </w:tr>
      <w:tr>
        <w:tc>
          <w:tcPr>
            <w:tcW w:type="dxa" w:w="2257"/>
          </w:tcPr>
          <w:p>
            <w:r>
              <w:t>{{/stale_rules}}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8.3 Egress Risks</w:t>
      </w:r>
    </w:p>
    <w:p>
      <w:r>
        <w:t>{{ egress_risk_count }} rule(s) present egress risk.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 Factors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Remediation</w:t>
            </w:r>
          </w:p>
        </w:tc>
      </w:tr>
      <w:tr>
        <w:tc>
          <w:tcPr>
            <w:tcW w:type="dxa" w:w="2257"/>
          </w:tcPr>
          <w:p>
            <w:r>
              <w:t>{{#egress_findings}}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rule_name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severity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risk_factors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remediation }}</w:t>
            </w:r>
          </w:p>
        </w:tc>
      </w:tr>
      <w:tr>
        <w:tc>
          <w:tcPr>
            <w:tcW w:type="dxa" w:w="2257"/>
          </w:tcPr>
          <w:p>
            <w:r>
              <w:t>{{/egress_findings}}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8.4 Decryption Gaps</w:t>
      </w:r>
    </w:p>
    <w:p>
      <w:r>
        <w:t>{{ decryption_gap_count }} decryption gap(s) were identified.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Remediation</w:t>
            </w:r>
          </w:p>
        </w:tc>
      </w:tr>
      <w:tr>
        <w:tc>
          <w:tcPr>
            <w:tcW w:type="dxa" w:w="2257"/>
          </w:tcPr>
          <w:p>
            <w:r>
              <w:t>{{#decryption_gaps}}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rule_name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severity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reason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remediation }}</w:t>
            </w:r>
          </w:p>
        </w:tc>
      </w:tr>
      <w:tr>
        <w:tc>
          <w:tcPr>
            <w:tcW w:type="dxa" w:w="2257"/>
          </w:tcPr>
          <w:p>
            <w:r>
              <w:t>{{/decryption_gaps}}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8.5 Geo-IP Findings</w:t>
      </w:r>
    </w:p>
    <w:p>
      <w:r>
        <w:t>{{ geo_ip_unrestricted_count }} rule(s) lack geo-IP restrictions.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257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Remediation</w:t>
            </w:r>
          </w:p>
        </w:tc>
      </w:tr>
      <w:tr>
        <w:tc>
          <w:tcPr>
            <w:tcW w:type="dxa" w:w="2257"/>
          </w:tcPr>
          <w:p>
            <w:r>
              <w:t>{{#geo_ip_findings}}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rule_name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severity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type }}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/>
                <w:sz w:val="18"/>
              </w:rPr>
              <w:t>{{ remediation }}</w:t>
            </w:r>
          </w:p>
        </w:tc>
      </w:tr>
      <w:tr>
        <w:tc>
          <w:tcPr>
            <w:tcW w:type="dxa" w:w="2257"/>
          </w:tcPr>
          <w:p>
            <w:r>
              <w:t>{{/geo_ip_findings}}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8.6 Rule Expiry</w:t>
      </w:r>
    </w:p>
    <w:p>
      <w:r>
        <w:t>{{ rule_expiry_count }} rule(s) have expiry concerns.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301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010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010"/>
          </w:tcPr>
          <w:p>
            <w:r>
              <w:t>{{#rule_expiry}}</w:t>
            </w:r>
          </w:p>
        </w:tc>
        <w:tc>
          <w:tcPr>
            <w:tcW w:type="dxa" w:w="3010"/>
          </w:tcPr>
          <w:p>
            <w:r/>
          </w:p>
        </w:tc>
        <w:tc>
          <w:tcPr>
            <w:tcW w:type="dxa" w:w="3010"/>
          </w:tcPr>
          <w:p>
            <w:r/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/>
                <w:sz w:val="18"/>
              </w:rPr>
              <w:t>{{ rule_name }}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/>
                <w:sz w:val="18"/>
              </w:rPr>
              <w:t>{{ type }}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/>
                <w:sz w:val="18"/>
              </w:rPr>
              <w:t>{{ detail }}</w:t>
            </w:r>
          </w:p>
        </w:tc>
      </w:tr>
      <w:tr>
        <w:tc>
          <w:tcPr>
            <w:tcW w:type="dxa" w:w="3010"/>
          </w:tcPr>
          <w:p>
            <w:r>
              <w:t>{{/rule_expiry}}</w:t>
            </w:r>
          </w:p>
        </w:tc>
        <w:tc>
          <w:tcPr>
            <w:tcW w:type="dxa" w:w="3010"/>
          </w:tcPr>
          <w:p>
            <w:r/>
          </w:p>
        </w:tc>
        <w:tc>
          <w:tcPr>
            <w:tcW w:type="dxa" w:w="301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9. Recommendations</w:t>
      </w:r>
    </w:p>
    <w:p>
      <w:r>
        <w:t>Based on the findings of this audit, the following actions are recommended:</w:t>
      </w:r>
    </w:p>
    <w:p/>
    <w:p>
      <w:pPr>
        <w:pStyle w:val="ListBullet"/>
      </w:pPr>
      <w:r>
        <w:rPr>
          <w:rFonts w:ascii="Calibri" w:hAnsi="Calibri"/>
          <w:sz w:val="22"/>
        </w:rPr>
        <w:t>Address all {{ critical_count }} critical finding(s) immediately.</w:t>
      </w:r>
    </w:p>
    <w:p>
      <w:pPr>
        <w:pStyle w:val="ListBullet"/>
      </w:pPr>
      <w:r>
        <w:rPr>
          <w:rFonts w:ascii="Calibri" w:hAnsi="Calibri"/>
          <w:sz w:val="22"/>
        </w:rPr>
        <w:t>Review and remediate {{ high_count }} high-severity finding(s).</w:t>
      </w:r>
    </w:p>
    <w:p>
      <w:pPr>
        <w:pStyle w:val="ListBullet"/>
      </w:pPr>
      <w:r>
        <w:rPr>
          <w:rFonts w:ascii="Calibri" w:hAnsi="Calibri"/>
          <w:sz w:val="22"/>
        </w:rPr>
        <w:t>Remove or consolidate {{ shadowed_rule_count }} shadowed rule(s) to simplify the policy.</w:t>
      </w:r>
    </w:p>
    <w:p>
      <w:pPr>
        <w:pStyle w:val="ListBullet"/>
      </w:pPr>
      <w:r>
        <w:rPr>
          <w:rFonts w:ascii="Calibri" w:hAnsi="Calibri"/>
          <w:sz w:val="22"/>
        </w:rPr>
        <w:t>Eliminate {{ duplicate_address_count }} duplicate address object(s) and {{ duplicate_service_count }} duplicate service object(s).</w:t>
      </w:r>
    </w:p>
    <w:p>
      <w:pPr>
        <w:pStyle w:val="ListBullet"/>
      </w:pPr>
      <w:r>
        <w:rPr>
          <w:rFonts w:ascii="Calibri" w:hAnsi="Calibri"/>
          <w:sz w:val="22"/>
        </w:rPr>
        <w:t>Review {{ stale_rule_count }} stale rule(s) for decommissioning.</w:t>
      </w:r>
    </w:p>
    <w:p>
      <w:pPr>
        <w:pStyle w:val="ListBullet"/>
      </w:pPr>
      <w:r>
        <w:rPr>
          <w:rFonts w:ascii="Calibri" w:hAnsi="Calibri"/>
          <w:sz w:val="22"/>
        </w:rPr>
        <w:t>Replace cleartext protocols in {{ cleartext_rule_count }} rule(s) with encrypted alternatives.</w:t>
      </w:r>
    </w:p>
    <w:p>
      <w:pPr>
        <w:pStyle w:val="ListBullet"/>
      </w:pPr>
      <w:r>
        <w:rPr>
          <w:rFonts w:ascii="Calibri" w:hAnsi="Calibri"/>
          <w:sz w:val="22"/>
        </w:rPr>
        <w:t>Improve network segmentation to reduce lateral movement paths (currently {{ lateral_movement_paths }}).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Appendix A: Methodology</w:t>
      </w:r>
    </w:p>
    <w:p>
      <w:r>
        <w:t>This audit was performed using Rampart, an automated firewall policy analysis platform. The configuration of type '{{ config_type }}' was analysed on {{ analysis_timestamp }}.</w:t>
      </w:r>
    </w:p>
    <w:p/>
    <w:p>
      <w:pPr>
        <w:pStyle w:val="Heading1"/>
      </w:pPr>
      <w:r>
        <w:rPr>
          <w:rFonts w:ascii="Calibri" w:hAnsi="Calibri"/>
          <w:color w:val="1B3A5C"/>
        </w:rPr>
        <w:t>Appendix B: Best Practices</w:t>
      </w:r>
    </w:p>
    <w:p>
      <w:r>
        <w:t>Best practices assessment score: {{ best_practices_overall_score }} (grade: {{ best_practices_grade }}). A total of {{ best_practices_available }} best practice checks were evaluated.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6"/>
      </w:rPr>
      <w:t>{{ report_title }}  |  {{ client_name }}  |  {{ report_date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99999"/>
        <w:sz w:val="16"/>
      </w:rPr>
      <w:t>{{ auditor_company }}  |  {{ confidentiality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