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Noto Sans CJK JP" w:hAnsi="Noto Sans CJK JP" w:eastAsia="Noto Sans CJK JP"/>
          <w:b/>
          <w:i w:val="0"/>
          <w:sz w:val="40"/>
        </w:rPr>
        <w:t>LUMINA-30 Boundary Check BAS</w:t>
      </w:r>
    </w:p>
    <w:p>
      <w:pPr>
        <w:spacing w:before="0" w:after="160" w:line="259" w:lineRule="auto"/>
        <w:jc w:val="center"/>
      </w:pPr>
      <w:r>
        <w:rPr>
          <w:rFonts w:ascii="Noto Sans CJK JP" w:hAnsi="Noto Sans CJK JP" w:eastAsia="Noto Sans CJK JP"/>
          <w:b w:val="0"/>
          <w:i w:val="0"/>
          <w:sz w:val="23"/>
        </w:rPr>
        <w:t>LUMINA-30 Boundary Address System (L30-BAS) | Separate-form operational sheet | v1.0</w:t>
      </w:r>
    </w:p>
    <w:p>
      <w:pPr>
        <w:spacing w:before="60" w:after="60" w:line="259" w:lineRule="auto"/>
        <w:ind w:left="360" w:right="360"/>
        <w:jc w:val="left"/>
      </w:pPr>
      <w:r>
        <w:rPr>
          <w:rFonts w:ascii="Noto Sans CJK JP" w:hAnsi="Noto Sans CJK JP" w:eastAsia="Noto Sans CJK JP"/>
          <w:b w:val="0"/>
          <w:i w:val="0"/>
          <w:sz w:val="18"/>
        </w:rPr>
        <w:t>L30-BAS codes are reference aids. Writing L30-BAS codes is optional.</w:t>
      </w:r>
    </w:p>
    <w:p>
      <w:pPr>
        <w:spacing w:before="60" w:after="60" w:line="259" w:lineRule="auto"/>
        <w:ind w:left="360" w:right="360"/>
        <w:jc w:val="left"/>
      </w:pPr>
      <w:r>
        <w:rPr>
          <w:rFonts w:ascii="Noto Sans CJK JP" w:hAnsi="Noto Sans CJK JP" w:eastAsia="Noto Sans CJK JP"/>
          <w:b w:val="0"/>
          <w:i w:val="0"/>
          <w:sz w:val="18"/>
        </w:rPr>
        <w:t>A boundary review may be performed by answering the boundary questions without writing the codes.</w:t>
      </w:r>
    </w:p>
    <w:p>
      <w:pPr>
        <w:spacing w:before="120" w:after="100"/>
        <w:shd w:fill="D9EAF7"/>
      </w:pPr>
      <w:r>
        <w:rPr>
          <w:rFonts w:ascii="Noto Sans CJK JP" w:hAnsi="Noto Sans CJK JP" w:eastAsia="Noto Sans CJK JP"/>
          <w:b/>
          <w:sz w:val="26"/>
        </w:rPr>
        <w:t>Purpose</w:t>
      </w:r>
    </w:p>
    <w:p>
      <w:pPr>
        <w:spacing w:before="0" w:after="120" w:line="259" w:lineRule="auto"/>
      </w:pPr>
      <w:r>
        <w:rPr>
          <w:rFonts w:ascii="Noto Sans CJK JP" w:hAnsi="Noto Sans CJK JP" w:eastAsia="Noto Sans CJK JP"/>
          <w:b w:val="0"/>
          <w:i w:val="0"/>
          <w:sz w:val="24"/>
        </w:rPr>
        <w:t>Use this sheet to make a minimal LUMINA-30 boundary check without requiring GitHub during operation. GitHub remains the canonical source for terminology, address codes, updates, and citation.</w:t>
      </w:r>
    </w:p>
    <w:p>
      <w:pPr>
        <w:spacing w:before="120" w:after="100"/>
        <w:shd w:fill="D9EAF7"/>
      </w:pPr>
      <w:r>
        <w:rPr>
          <w:rFonts w:ascii="Noto Sans CJK JP" w:hAnsi="Noto Sans CJK JP" w:eastAsia="Noto Sans CJK JP"/>
          <w:b/>
          <w:sz w:val="26"/>
        </w:rPr>
        <w:t>Use order</w:t>
      </w:r>
    </w:p>
    <w:p>
      <w:pPr>
        <w:spacing w:before="0" w:after="160" w:line="259" w:lineRule="auto"/>
      </w:pPr>
      <w:r>
        <w:rPr>
          <w:rFonts w:ascii="Noto Sans CJK JP" w:hAnsi="Noto Sans CJK JP" w:eastAsia="Noto Sans CJK JP"/>
          <w:b w:val="0"/>
          <w:i w:val="0"/>
          <w:sz w:val="24"/>
        </w:rPr>
        <w:t>1. Record review context, severity, impact scope, and responsible scope.  2. Answer L30-BX-01 to L30-BX-04.  3. Select one L30-CI result using the rule on page 3.  4. Record L30-OUT-01 summary finding.</w:t>
      </w:r>
    </w:p>
    <w:p>
      <w:pPr>
        <w:spacing w:before="120" w:after="100"/>
        <w:shd w:fill="D9EAF7"/>
      </w:pPr>
      <w:r>
        <w:rPr>
          <w:rFonts w:ascii="Noto Sans CJK JP" w:hAnsi="Noto Sans CJK JP" w:eastAsia="Noto Sans CJK JP"/>
          <w:b/>
          <w:sz w:val="26"/>
        </w:rPr>
        <w:t>Review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181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Review ID</w:t>
            </w:r>
          </w:p>
        </w:tc>
        <w:tc>
          <w:tcPr>
            <w:tcW w:type="dxa" w:w="3288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  <w:tc>
          <w:tcPr>
            <w:tcW w:type="dxa" w:w="198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Date / Time</w:t>
            </w:r>
          </w:p>
        </w:tc>
        <w:tc>
          <w:tcPr>
            <w:tcW w:type="dxa" w:w="3231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</w:tr>
      <w:tr>
        <w:tc>
          <w:tcPr>
            <w:tcW w:type="dxa" w:w="181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Reviewed system</w:t>
            </w:r>
          </w:p>
        </w:tc>
        <w:tc>
          <w:tcPr>
            <w:tcW w:type="dxa" w:w="3288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  <w:tc>
          <w:tcPr>
            <w:tcW w:type="dxa" w:w="198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Reviewer</w:t>
            </w:r>
          </w:p>
        </w:tc>
        <w:tc>
          <w:tcPr>
            <w:tcW w:type="dxa" w:w="3231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</w:tr>
      <w:tr>
        <w:tc>
          <w:tcPr>
            <w:tcW w:type="dxa" w:w="181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Organization</w:t>
            </w:r>
          </w:p>
        </w:tc>
        <w:tc>
          <w:tcPr>
            <w:tcW w:type="dxa" w:w="3288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  <w:tc>
          <w:tcPr>
            <w:tcW w:type="dxa" w:w="198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BAS version / source</w:t>
            </w:r>
          </w:p>
        </w:tc>
        <w:tc>
          <w:tcPr>
            <w:tcW w:type="dxa" w:w="3231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</w:tr>
      <w:tr>
        <w:tc>
          <w:tcPr>
            <w:tcW w:type="dxa" w:w="181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Primary user</w:t>
            </w:r>
          </w:p>
        </w:tc>
        <w:tc>
          <w:tcPr>
            <w:tcW w:type="dxa" w:w="3288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  <w:tc>
          <w:tcPr>
            <w:tcW w:type="dxa" w:w="198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Incident type</w:t>
            </w:r>
          </w:p>
        </w:tc>
        <w:tc>
          <w:tcPr>
            <w:tcW w:type="dxa" w:w="3231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</w:tr>
      <w:tr>
        <w:tc>
          <w:tcPr>
            <w:tcW w:type="dxa" w:w="181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Severity</w:t>
            </w:r>
          </w:p>
        </w:tc>
        <w:tc>
          <w:tcPr>
            <w:tcW w:type="dxa" w:w="3288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  <w:tc>
          <w:tcPr>
            <w:tcW w:type="dxa" w:w="198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Impact scope</w:t>
            </w:r>
          </w:p>
        </w:tc>
        <w:tc>
          <w:tcPr>
            <w:tcW w:type="dxa" w:w="3231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</w:tr>
      <w:tr>
        <w:tc>
          <w:tcPr>
            <w:tcW w:type="dxa" w:w="181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Responsible scope</w:t>
            </w:r>
          </w:p>
        </w:tc>
        <w:tc>
          <w:tcPr>
            <w:tcW w:type="dxa" w:w="3288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  <w:tc>
          <w:tcPr>
            <w:tcW w:type="dxa" w:w="1984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Review scope</w:t>
            </w:r>
          </w:p>
        </w:tc>
        <w:tc>
          <w:tcPr>
            <w:tcW w:type="dxa" w:w="3231"/>
            <w:vAlign w:val="center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 xml:space="preserve">                    </w:t>
            </w:r>
          </w:p>
        </w:tc>
      </w:tr>
    </w:tbl>
    <w:p>
      <w:r>
        <w:br w:type="page"/>
      </w:r>
    </w:p>
    <w:p>
      <w:pPr>
        <w:spacing w:before="120" w:after="100"/>
        <w:shd w:fill="D9EAF7"/>
      </w:pPr>
      <w:r>
        <w:rPr>
          <w:rFonts w:ascii="Noto Sans CJK JP" w:hAnsi="Noto Sans CJK JP" w:eastAsia="Noto Sans CJK JP"/>
          <w:b/>
          <w:sz w:val="28"/>
        </w:rPr>
        <w:t>Boundary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1360"/>
            <w:vAlign w:val="top"/>
            <w:shd w:fill="D9EAF7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Code</w:t>
            </w:r>
          </w:p>
        </w:tc>
        <w:tc>
          <w:tcPr>
            <w:tcW w:type="dxa" w:w="2835"/>
            <w:vAlign w:val="top"/>
            <w:shd w:fill="D9EAF7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Check question</w:t>
            </w:r>
          </w:p>
        </w:tc>
        <w:tc>
          <w:tcPr>
            <w:tcW w:type="dxa" w:w="4365"/>
            <w:vAlign w:val="top"/>
            <w:shd w:fill="D9EAF7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Evidence / notes</w:t>
            </w:r>
          </w:p>
        </w:tc>
        <w:tc>
          <w:tcPr>
            <w:tcW w:type="dxa" w:w="1757"/>
            <w:vAlign w:val="top"/>
            <w:shd w:fill="D9EAF7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Result</w:t>
            </w:r>
          </w:p>
        </w:tc>
      </w:tr>
      <w:tr>
        <w:trPr>
          <w:trHeight w:val="1587"/>
        </w:trPr>
        <w:tc>
          <w:tcPr>
            <w:tcW w:type="dxa" w:w="1360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L30-BX-01</w:t>
            </w:r>
          </w:p>
        </w:tc>
        <w:tc>
          <w:tcPr>
            <w:tcW w:type="dxa" w:w="283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>Was the system still pre-irreversible?</w:t>
            </w:r>
          </w:p>
        </w:tc>
        <w:tc>
          <w:tcPr>
            <w:tcW w:type="dxa" w:w="436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Timeline, deployment state, execution boundary, rollback possibility.</w:t>
            </w:r>
          </w:p>
        </w:tc>
        <w:tc>
          <w:tcPr>
            <w:tcW w:type="dxa" w:w="1757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[ ] Satisfied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Not satisfied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Not verifiable</w:t>
            </w:r>
          </w:p>
        </w:tc>
      </w:tr>
      <w:tr>
        <w:trPr>
          <w:trHeight w:val="1587"/>
        </w:trPr>
        <w:tc>
          <w:tcPr>
            <w:tcW w:type="dxa" w:w="1360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L30-BX-02</w:t>
            </w:r>
          </w:p>
        </w:tc>
        <w:tc>
          <w:tcPr>
            <w:tcW w:type="dxa" w:w="283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>Was Human Refusal Authority still effective before irreversible impact?</w:t>
            </w:r>
          </w:p>
        </w:tc>
        <w:tc>
          <w:tcPr>
            <w:tcW w:type="dxa" w:w="436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Who could stop, refuse, delay, or override? Was that authority practical, not merely formal?</w:t>
            </w:r>
          </w:p>
        </w:tc>
        <w:tc>
          <w:tcPr>
            <w:tcW w:type="dxa" w:w="1757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[ ] Satisfied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Not satisfied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Not verifiable</w:t>
            </w:r>
          </w:p>
        </w:tc>
      </w:tr>
      <w:tr>
        <w:trPr>
          <w:trHeight w:val="1587"/>
        </w:trPr>
        <w:tc>
          <w:tcPr>
            <w:tcW w:type="dxa" w:w="1360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L30-BX-03</w:t>
            </w:r>
          </w:p>
        </w:tc>
        <w:tc>
          <w:tcPr>
            <w:tcW w:type="dxa" w:w="283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>Is there sufficient evidence to verify the boundary condition?</w:t>
            </w:r>
          </w:p>
        </w:tc>
        <w:tc>
          <w:tcPr>
            <w:tcW w:type="dxa" w:w="436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Timeline record, human refusal / stop record, system log, audit log, or independent human review record.</w:t>
            </w:r>
          </w:p>
        </w:tc>
        <w:tc>
          <w:tcPr>
            <w:tcW w:type="dxa" w:w="1757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[ ] Satisfied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Not satisfied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Not verifiable</w:t>
            </w:r>
          </w:p>
        </w:tc>
      </w:tr>
      <w:tr>
        <w:trPr>
          <w:trHeight w:val="1587"/>
        </w:trPr>
        <w:tc>
          <w:tcPr>
            <w:tcW w:type="dxa" w:w="1360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1"/>
              </w:rPr>
              <w:t>L30-BX-04</w:t>
            </w:r>
          </w:p>
        </w:tc>
        <w:tc>
          <w:tcPr>
            <w:tcW w:type="dxa" w:w="283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  <w:t>Can procedural validity be confirmed under LUMINA-30 boundary conditions?</w:t>
            </w:r>
          </w:p>
        </w:tc>
        <w:tc>
          <w:tcPr>
            <w:tcW w:type="dxa" w:w="4365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If BX-01 to BX-03 are not satisfied or not verifiable, do not treat refusal authority as preserved.</w:t>
            </w:r>
          </w:p>
        </w:tc>
        <w:tc>
          <w:tcPr>
            <w:tcW w:type="dxa" w:w="1757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1"/>
              </w:rPr>
              <w:t>[ ] Satisfied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Not satisfied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1"/>
              </w:rPr>
              <w:t>[ ] Not verifiable</w:t>
            </w:r>
          </w:p>
        </w:tc>
      </w:tr>
    </w:tbl>
    <w:p>
      <w:r>
        <w:br w:type="page"/>
      </w:r>
    </w:p>
    <w:p>
      <w:pPr>
        <w:spacing w:before="120" w:after="100"/>
        <w:shd w:fill="D9EAF7"/>
      </w:pPr>
      <w:r>
        <w:rPr>
          <w:rFonts w:ascii="Noto Sans CJK JP" w:hAnsi="Noto Sans CJK JP" w:eastAsia="Noto Sans CJK JP"/>
          <w:b/>
          <w:sz w:val="26"/>
        </w:rPr>
        <w:t>Final evaluation output: L30-CI (LUMINA-30 Condition Indicator)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328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4"/>
              </w:rPr>
              <w:t>[ ] L30-CI = Valid</w:t>
            </w:r>
          </w:p>
        </w:tc>
        <w:tc>
          <w:tcPr>
            <w:tcW w:type="dxa" w:w="7030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3"/>
              </w:rPr>
              <w:t>Use only when BX-01, BX-02, BX-03, and BX-04 are all satisfied.</w:t>
            </w:r>
          </w:p>
        </w:tc>
      </w:tr>
      <w:tr>
        <w:tc>
          <w:tcPr>
            <w:tcW w:type="dxa" w:w="328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4"/>
              </w:rPr>
              <w:t>[ ] L30-CI = Invalid</w:t>
            </w:r>
          </w:p>
        </w:tc>
        <w:tc>
          <w:tcPr>
            <w:tcW w:type="dxa" w:w="7030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3"/>
              </w:rPr>
              <w:t>Use when a boundary condition is verified as not satisfied.</w:t>
            </w:r>
          </w:p>
        </w:tc>
      </w:tr>
      <w:tr>
        <w:tc>
          <w:tcPr>
            <w:tcW w:type="dxa" w:w="328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4"/>
              </w:rPr>
              <w:t>[ ] L30-CI = Invalid (Not Verifiable)</w:t>
            </w:r>
          </w:p>
        </w:tc>
        <w:tc>
          <w:tcPr>
            <w:tcW w:type="dxa" w:w="7030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3"/>
              </w:rPr>
              <w:t>Use when evidence is missing, records are insufficient, or the review depends on AI-only closed-loop self-evaluation.</w:t>
            </w:r>
          </w:p>
        </w:tc>
      </w:tr>
    </w:tbl>
    <w:p>
      <w:pPr>
        <w:spacing w:before="0" w:after="160" w:line="259" w:lineRule="auto"/>
      </w:pPr>
      <w:r>
        <w:rPr>
          <w:rFonts w:ascii="Noto Sans CJK JP" w:hAnsi="Noto Sans CJK JP" w:eastAsia="Noto Sans CJK JP"/>
          <w:b/>
          <w:i w:val="0"/>
          <w:sz w:val="23"/>
        </w:rPr>
        <w:t>Important note: Valid means valid only under LUMINA-30 boundary conditions. It does not indicate legal compliance, safety certification, deployment approval, or absence of risk.</w:t>
      </w:r>
    </w:p>
    <w:p>
      <w:pPr>
        <w:spacing w:before="120" w:after="100"/>
        <w:shd w:fill="D9EAF7"/>
      </w:pPr>
      <w:r>
        <w:rPr>
          <w:rFonts w:ascii="Noto Sans CJK JP" w:hAnsi="Noto Sans CJK JP" w:eastAsia="Noto Sans CJK JP"/>
          <w:b/>
          <w:sz w:val="26"/>
        </w:rPr>
        <w:t>Boundary Review Note / L30-OUT-01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trHeight w:val="964"/>
        </w:trPr>
        <w:tc>
          <w:tcPr>
            <w:tcW w:type="dxa" w:w="243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2"/>
              </w:rPr>
              <w:t>Summary finding</w:t>
            </w:r>
          </w:p>
        </w:tc>
        <w:tc>
          <w:tcPr>
            <w:tcW w:type="dxa" w:w="7881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</w:p>
        </w:tc>
      </w:tr>
      <w:tr>
        <w:trPr>
          <w:trHeight w:val="964"/>
        </w:trPr>
        <w:tc>
          <w:tcPr>
            <w:tcW w:type="dxa" w:w="243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2"/>
              </w:rPr>
              <w:t>Key evidence</w:t>
            </w:r>
          </w:p>
        </w:tc>
        <w:tc>
          <w:tcPr>
            <w:tcW w:type="dxa" w:w="7881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</w:p>
        </w:tc>
      </w:tr>
      <w:tr>
        <w:trPr>
          <w:trHeight w:val="964"/>
        </w:trPr>
        <w:tc>
          <w:tcPr>
            <w:tcW w:type="dxa" w:w="243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2"/>
              </w:rPr>
              <w:t>Missing evidence / uncertainty</w:t>
            </w:r>
          </w:p>
        </w:tc>
        <w:tc>
          <w:tcPr>
            <w:tcW w:type="dxa" w:w="7881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</w:p>
        </w:tc>
      </w:tr>
      <w:tr>
        <w:trPr>
          <w:trHeight w:val="964"/>
        </w:trPr>
        <w:tc>
          <w:tcPr>
            <w:tcW w:type="dxa" w:w="243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2"/>
              </w:rPr>
              <w:t>Required follow-up</w:t>
            </w:r>
          </w:p>
        </w:tc>
        <w:tc>
          <w:tcPr>
            <w:tcW w:type="dxa" w:w="7881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</w:p>
        </w:tc>
      </w:tr>
      <w:tr>
        <w:trPr>
          <w:trHeight w:val="1417"/>
        </w:trPr>
        <w:tc>
          <w:tcPr>
            <w:tcW w:type="dxa" w:w="2438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  <w:shd w:fill="EEF6FC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/>
                <w:sz w:val="22"/>
              </w:rPr>
              <w:t>Reviewer signature</w:t>
            </w:r>
          </w:p>
        </w:tc>
        <w:tc>
          <w:tcPr>
            <w:tcW w:type="dxa" w:w="7881"/>
            <w:vAlign w:val="top"/>
            <w:top w:val="single" w:sz="6" w:space="0" w:color="7F7F7F"/>
            <w:left w:val="single" w:sz="6" w:space="0" w:color="7F7F7F"/>
            <w:bottom w:val="single" w:sz="6" w:space="0" w:color="7F7F7F"/>
            <w:right w:val="single" w:sz="6" w:space="0" w:color="7F7F7F"/>
            <w:insideH w:val="single" w:sz="6" w:space="0" w:color="7F7F7F"/>
            <w:insideV w:val="single" w:sz="6" w:space="0" w:color="7F7F7F"/>
          </w:tcPr>
          <w:p>
            <w:pPr>
              <w:spacing w:before="0" w:after="3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sz w:val="22"/>
              </w:rPr>
            </w:r>
          </w:p>
        </w:tc>
      </w:tr>
    </w:tbl>
    <w:p>
      <w:pPr>
        <w:spacing w:before="120" w:after="100"/>
        <w:shd w:fill="D9EAF7"/>
      </w:pPr>
      <w:r>
        <w:rPr>
          <w:rFonts w:ascii="Noto Sans CJK JP" w:hAnsi="Noto Sans CJK JP" w:eastAsia="Noto Sans CJK JP"/>
          <w:b/>
          <w:sz w:val="26"/>
        </w:rPr>
        <w:t>Reference</w:t>
      </w:r>
    </w:p>
    <w:p>
      <w:pPr>
        <w:spacing w:before="0" w:after="40" w:line="259" w:lineRule="auto"/>
      </w:pPr>
      <w:r>
        <w:rPr>
          <w:rFonts w:ascii="Noto Sans CJK JP" w:hAnsi="Noto Sans CJK JP" w:eastAsia="Noto Sans CJK JP"/>
          <w:b w:val="0"/>
          <w:i w:val="0"/>
          <w:sz w:val="23"/>
        </w:rPr>
        <w:t>Canonical source: L30_BOUNDARY_ADDRESS_SYSTEM.md. Use of this sheet is descriptive and non-binding. BAS version / source should be recorded on page 1.</w:t>
      </w:r>
    </w:p>
    <w:sectPr w:rsidR="00FC693F" w:rsidRPr="0006063C" w:rsidSect="00034616">
      <w:footerReference w:type="default" r:id="rId9"/>
      <w:pgSz w:w="11906" w:h="16838"/>
      <w:pgMar w:top="850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8"/>
      </w:rPr>
      <w:t>LUMINA-30 Boundary Check BAS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JP" w:hAnsi="Noto Sans CJK JP" w:eastAsia="Noto Sans CJK JP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JP" w:hAnsi="Noto Sans CJK JP" w:eastAsia="Noto Sans CJK 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JP" w:hAnsi="Noto Sans CJK JP" w:eastAsia="Noto Sans CJK JP"/>
    </w:rPr>
  </w:style>
  <w:style w:type="table" w:default="1" w:styleId="TableNormal">
    <w:name w:val="Normal Table"/>
    <w:uiPriority w:val="99"/>
    <w:semiHidden/>
    <w:unhideWhenUsed/>
    <w:rPr>
      <w:rFonts w:ascii="Noto Sans CJK JP" w:hAnsi="Noto Sans CJK JP" w:eastAsia="Noto Sans CJK JP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JP" w:hAnsi="Noto Sans CJK JP" w:eastAsia="Noto Sans CJK JP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JP" w:hAnsi="Noto Sans CJK JP" w:eastAsia="Noto Sans CJK JP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JP" w:hAnsi="Noto Sans CJK JP" w:eastAsia="Noto Sans CJK JP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JP" w:hAnsi="Noto Sans CJK JP" w:eastAsia="Noto Sans CJK JP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JP" w:hAnsi="Noto Sans CJK JP" w:eastAsia="Noto Sans CJK JP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JP" w:hAnsi="Noto Sans CJK JP" w:eastAsia="Noto Sans CJK JP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JP" w:hAnsi="Noto Sans CJK JP" w:eastAsia="Noto Sans CJK JP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JP" w:hAnsi="Noto Sans CJK JP" w:eastAsia="Noto Sans CJK JP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JP" w:hAnsi="Noto Sans CJK JP" w:eastAsia="Noto Sans CJK JP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JP" w:hAnsi="Noto Sans CJK JP" w:eastAsia="Noto Sans CJK JP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JP" w:hAnsi="Noto Sans CJK JP" w:eastAsia="Noto Sans CJK JP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JP" w:hAnsi="Noto Sans CJK JP" w:eastAsia="Noto Sans CJK JP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JP" w:hAnsi="Noto Sans CJK JP" w:eastAsia="Noto Sans CJK JP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JP" w:hAnsi="Noto Sans CJK JP" w:eastAsia="Noto Sans CJK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JP" w:hAnsi="Noto Sans CJK JP" w:eastAsia="Noto Sans CJK JP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JP" w:hAnsi="Noto Sans CJK JP" w:eastAsia="Noto Sans CJK JP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JP" w:hAnsi="Noto Sans CJK JP" w:eastAsia="Noto Sans CJK JP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JP" w:hAnsi="Noto Sans CJK JP" w:eastAsia="Noto Sans CJK JP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JP" w:hAnsi="Noto Sans CJK JP" w:eastAsia="Noto Sans CJK JP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JP" w:hAnsi="Noto Sans CJK JP" w:eastAsia="Noto Sans CJK JP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JP" w:hAnsi="Noto Sans CJK JP" w:eastAsia="Noto Sans CJK JP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JP" w:hAnsi="Noto Sans CJK JP" w:eastAsia="Noto Sans CJK JP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JP" w:hAnsi="Noto Sans CJK JP" w:eastAsia="Noto Sans CJK JP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JP" w:hAnsi="Noto Sans CJK JP" w:eastAsia="Noto Sans CJK 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