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9" w:lineRule="auto"/>
        <w:jc w:val="center"/>
      </w:pPr>
      <w:r>
        <w:rPr>
          <w:rFonts w:ascii="Noto Sans CJK JP" w:hAnsi="Noto Sans CJK JP" w:eastAsia="Noto Sans CJK JP"/>
          <w:b/>
          <w:i w:val="0"/>
          <w:sz w:val="40"/>
        </w:rPr>
        <w:t>LUMINA-30 Boundary Check BAS</w:t>
      </w:r>
    </w:p>
    <w:p>
      <w:pPr>
        <w:spacing w:before="0" w:after="160" w:line="259" w:lineRule="auto"/>
        <w:jc w:val="center"/>
      </w:pPr>
      <w:r>
        <w:rPr>
          <w:rFonts w:ascii="Noto Sans CJK JP" w:hAnsi="Noto Sans CJK JP" w:eastAsia="Noto Sans CJK JP"/>
          <w:b w:val="0"/>
          <w:i w:val="0"/>
          <w:sz w:val="23"/>
        </w:rPr>
        <w:t>LUMINA-30 Boundary Address System (L30-BAS) | Separate-form operational sheet | v1.0</w:t>
      </w:r>
    </w:p>
    <w:p>
      <w:pPr>
        <w:spacing w:before="120" w:after="100"/>
        <w:shd w:fill="D9EAF7"/>
      </w:pPr>
      <w:r>
        <w:rPr>
          <w:rFonts w:ascii="Noto Sans CJK JP" w:hAnsi="Noto Sans CJK JP" w:eastAsia="Noto Sans CJK JP"/>
          <w:b/>
          <w:sz w:val="26"/>
        </w:rPr>
        <w:t>Purpose</w:t>
      </w:r>
    </w:p>
    <w:p>
      <w:pPr>
        <w:spacing w:before="0" w:after="120" w:line="25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Use this sheet to make a minimal LUMINA-30 boundary check without requiring GitHub during operation. GitHub remains the canonical source for terminology, address codes, updates, and citation.</w:t>
      </w:r>
    </w:p>
    <w:p>
      <w:pPr>
        <w:spacing w:before="120" w:after="100"/>
        <w:shd w:fill="D9EAF7"/>
      </w:pPr>
      <w:r>
        <w:rPr>
          <w:rFonts w:ascii="Noto Sans CJK JP" w:hAnsi="Noto Sans CJK JP" w:eastAsia="Noto Sans CJK JP"/>
          <w:b/>
          <w:sz w:val="26"/>
        </w:rPr>
        <w:t>Use order</w:t>
      </w:r>
    </w:p>
    <w:p>
      <w:pPr>
        <w:spacing w:before="0" w:after="160" w:line="25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1. Record review context, severity, impact scope, and responsible scope.  2. Answer L30-BX-01 to L30-BX-04.  3. Select one L30-CI result using the rule on page 3.  4. Record L30-OUT-01 summary finding.</w:t>
      </w:r>
    </w:p>
    <w:p>
      <w:pPr>
        <w:spacing w:before="120" w:after="100"/>
        <w:shd w:fill="D9EAF7"/>
      </w:pPr>
      <w:r>
        <w:rPr>
          <w:rFonts w:ascii="Noto Sans CJK JP" w:hAnsi="Noto Sans CJK JP" w:eastAsia="Noto Sans CJK JP"/>
          <w:b/>
          <w:sz w:val="26"/>
        </w:rPr>
        <w:t>Review context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181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Review ID</w:t>
            </w:r>
          </w:p>
        </w:tc>
        <w:tc>
          <w:tcPr>
            <w:tcW w:type="dxa" w:w="3288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  <w:tc>
          <w:tcPr>
            <w:tcW w:type="dxa" w:w="198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Date / Time</w:t>
            </w:r>
          </w:p>
        </w:tc>
        <w:tc>
          <w:tcPr>
            <w:tcW w:type="dxa" w:w="3231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</w:tr>
      <w:tr>
        <w:tc>
          <w:tcPr>
            <w:tcW w:type="dxa" w:w="181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Reviewed system</w:t>
            </w:r>
          </w:p>
        </w:tc>
        <w:tc>
          <w:tcPr>
            <w:tcW w:type="dxa" w:w="3288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  <w:tc>
          <w:tcPr>
            <w:tcW w:type="dxa" w:w="198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Reviewer</w:t>
            </w:r>
          </w:p>
        </w:tc>
        <w:tc>
          <w:tcPr>
            <w:tcW w:type="dxa" w:w="3231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</w:tr>
      <w:tr>
        <w:tc>
          <w:tcPr>
            <w:tcW w:type="dxa" w:w="181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Organization</w:t>
            </w:r>
          </w:p>
        </w:tc>
        <w:tc>
          <w:tcPr>
            <w:tcW w:type="dxa" w:w="3288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  <w:tc>
          <w:tcPr>
            <w:tcW w:type="dxa" w:w="198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BAS version / source</w:t>
            </w:r>
          </w:p>
        </w:tc>
        <w:tc>
          <w:tcPr>
            <w:tcW w:type="dxa" w:w="3231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</w:tr>
      <w:tr>
        <w:tc>
          <w:tcPr>
            <w:tcW w:type="dxa" w:w="181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Primary user</w:t>
            </w:r>
          </w:p>
        </w:tc>
        <w:tc>
          <w:tcPr>
            <w:tcW w:type="dxa" w:w="3288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  <w:tc>
          <w:tcPr>
            <w:tcW w:type="dxa" w:w="198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Incident type</w:t>
            </w:r>
          </w:p>
        </w:tc>
        <w:tc>
          <w:tcPr>
            <w:tcW w:type="dxa" w:w="3231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</w:tr>
      <w:tr>
        <w:tc>
          <w:tcPr>
            <w:tcW w:type="dxa" w:w="181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Severity</w:t>
            </w:r>
          </w:p>
        </w:tc>
        <w:tc>
          <w:tcPr>
            <w:tcW w:type="dxa" w:w="3288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  <w:tc>
          <w:tcPr>
            <w:tcW w:type="dxa" w:w="198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Impact scope</w:t>
            </w:r>
          </w:p>
        </w:tc>
        <w:tc>
          <w:tcPr>
            <w:tcW w:type="dxa" w:w="3231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</w:tr>
      <w:tr>
        <w:tc>
          <w:tcPr>
            <w:tcW w:type="dxa" w:w="181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Responsible scope</w:t>
            </w:r>
          </w:p>
        </w:tc>
        <w:tc>
          <w:tcPr>
            <w:tcW w:type="dxa" w:w="3288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  <w:tc>
          <w:tcPr>
            <w:tcW w:type="dxa" w:w="198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Review scope</w:t>
            </w:r>
          </w:p>
        </w:tc>
        <w:tc>
          <w:tcPr>
            <w:tcW w:type="dxa" w:w="3231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</w:tr>
    </w:tbl>
    <w:p>
      <w:r>
        <w:br w:type="page"/>
      </w:r>
    </w:p>
    <w:p>
      <w:pPr>
        <w:spacing w:before="120" w:after="100"/>
        <w:shd w:fill="D9EAF7"/>
      </w:pPr>
      <w:r>
        <w:rPr>
          <w:rFonts w:ascii="Noto Sans CJK JP" w:hAnsi="Noto Sans CJK JP" w:eastAsia="Noto Sans CJK JP"/>
          <w:b/>
          <w:sz w:val="28"/>
        </w:rPr>
        <w:t>Boundary Check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rPr>
          <w:tblHeader w:val="true"/>
        </w:trPr>
        <w:tc>
          <w:tcPr>
            <w:tcW w:type="dxa" w:w="1360"/>
            <w:vAlign w:val="top"/>
            <w:shd w:fill="D9EAF7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Code</w:t>
            </w:r>
          </w:p>
        </w:tc>
        <w:tc>
          <w:tcPr>
            <w:tcW w:type="dxa" w:w="2835"/>
            <w:vAlign w:val="top"/>
            <w:shd w:fill="D9EAF7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Check question</w:t>
            </w:r>
          </w:p>
        </w:tc>
        <w:tc>
          <w:tcPr>
            <w:tcW w:type="dxa" w:w="4365"/>
            <w:vAlign w:val="top"/>
            <w:shd w:fill="D9EAF7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Evidence / notes</w:t>
            </w:r>
          </w:p>
        </w:tc>
        <w:tc>
          <w:tcPr>
            <w:tcW w:type="dxa" w:w="1757"/>
            <w:vAlign w:val="top"/>
            <w:shd w:fill="D9EAF7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Result</w:t>
            </w:r>
          </w:p>
        </w:tc>
      </w:tr>
      <w:tr>
        <w:trPr>
          <w:trHeight w:val="1587"/>
        </w:trPr>
        <w:tc>
          <w:tcPr>
            <w:tcW w:type="dxa" w:w="1360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L30-BX-01</w:t>
            </w:r>
          </w:p>
        </w:tc>
        <w:tc>
          <w:tcPr>
            <w:tcW w:type="dxa" w:w="283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>Was the system still pre-irreversible?</w:t>
            </w:r>
          </w:p>
        </w:tc>
        <w:tc>
          <w:tcPr>
            <w:tcW w:type="dxa" w:w="436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1"/>
              </w:rPr>
              <w:t>Timeline, deployment state, execution boundary, rollback possibility.</w:t>
            </w:r>
          </w:p>
        </w:tc>
        <w:tc>
          <w:tcPr>
            <w:tcW w:type="dxa" w:w="1757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1"/>
              </w:rPr>
              <w:t>[ ] Satisfied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1"/>
              </w:rPr>
              <w:t>[ ] Not satisfied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1"/>
              </w:rPr>
              <w:t>[ ] Not verifiable</w:t>
            </w:r>
          </w:p>
        </w:tc>
      </w:tr>
      <w:tr>
        <w:trPr>
          <w:trHeight w:val="1587"/>
        </w:trPr>
        <w:tc>
          <w:tcPr>
            <w:tcW w:type="dxa" w:w="1360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L30-BX-02</w:t>
            </w:r>
          </w:p>
        </w:tc>
        <w:tc>
          <w:tcPr>
            <w:tcW w:type="dxa" w:w="283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>Was Human Refusal Authority still effective before irreversible impact?</w:t>
            </w:r>
          </w:p>
        </w:tc>
        <w:tc>
          <w:tcPr>
            <w:tcW w:type="dxa" w:w="436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1"/>
              </w:rPr>
              <w:t>Who could stop, refuse, delay, or override? Was that authority practical, not merely formal?</w:t>
            </w:r>
          </w:p>
        </w:tc>
        <w:tc>
          <w:tcPr>
            <w:tcW w:type="dxa" w:w="1757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1"/>
              </w:rPr>
              <w:t>[ ] Satisfied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1"/>
              </w:rPr>
              <w:t>[ ] Not satisfied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1"/>
              </w:rPr>
              <w:t>[ ] Not verifiable</w:t>
            </w:r>
          </w:p>
        </w:tc>
      </w:tr>
      <w:tr>
        <w:trPr>
          <w:trHeight w:val="1587"/>
        </w:trPr>
        <w:tc>
          <w:tcPr>
            <w:tcW w:type="dxa" w:w="1360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L30-BX-03</w:t>
            </w:r>
          </w:p>
        </w:tc>
        <w:tc>
          <w:tcPr>
            <w:tcW w:type="dxa" w:w="283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>Is there sufficient evidence to verify the boundary condition?</w:t>
            </w:r>
          </w:p>
        </w:tc>
        <w:tc>
          <w:tcPr>
            <w:tcW w:type="dxa" w:w="436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1"/>
              </w:rPr>
              <w:t>Timeline record, human refusal / stop record, system log, audit log, or independent human review record.</w:t>
            </w:r>
          </w:p>
        </w:tc>
        <w:tc>
          <w:tcPr>
            <w:tcW w:type="dxa" w:w="1757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1"/>
              </w:rPr>
              <w:t>[ ] Satisfied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1"/>
              </w:rPr>
              <w:t>[ ] Not satisfied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1"/>
              </w:rPr>
              <w:t>[ ] Not verifiable</w:t>
            </w:r>
          </w:p>
        </w:tc>
      </w:tr>
      <w:tr>
        <w:trPr>
          <w:trHeight w:val="1587"/>
        </w:trPr>
        <w:tc>
          <w:tcPr>
            <w:tcW w:type="dxa" w:w="1360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L30-BX-04</w:t>
            </w:r>
          </w:p>
        </w:tc>
        <w:tc>
          <w:tcPr>
            <w:tcW w:type="dxa" w:w="283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>Can procedural validity be confirmed under LUMINA-30 boundary conditions?</w:t>
            </w:r>
          </w:p>
        </w:tc>
        <w:tc>
          <w:tcPr>
            <w:tcW w:type="dxa" w:w="436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1"/>
              </w:rPr>
              <w:t>If BX-01 to BX-03 are not satisfied or not verifiable, do not treat refusal authority as preserved.</w:t>
            </w:r>
          </w:p>
        </w:tc>
        <w:tc>
          <w:tcPr>
            <w:tcW w:type="dxa" w:w="1757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1"/>
              </w:rPr>
              <w:t>[ ] Satisfied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1"/>
              </w:rPr>
              <w:t>[ ] Not satisfied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1"/>
              </w:rPr>
              <w:t>[ ] Not verifiable</w:t>
            </w:r>
          </w:p>
        </w:tc>
      </w:tr>
    </w:tbl>
    <w:p>
      <w:r>
        <w:br w:type="page"/>
      </w:r>
    </w:p>
    <w:p>
      <w:pPr>
        <w:spacing w:before="120" w:after="100"/>
        <w:shd w:fill="D9EAF7"/>
      </w:pPr>
      <w:r>
        <w:rPr>
          <w:rFonts w:ascii="Noto Sans CJK JP" w:hAnsi="Noto Sans CJK JP" w:eastAsia="Noto Sans CJK JP"/>
          <w:b/>
          <w:sz w:val="26"/>
        </w:rPr>
        <w:t>Final evaluation output: L30-CI (LUMINA-30 Condition Indicator)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328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4"/>
              </w:rPr>
              <w:t>[ ] L30-CI = Valid</w:t>
            </w:r>
          </w:p>
        </w:tc>
        <w:tc>
          <w:tcPr>
            <w:tcW w:type="dxa" w:w="7030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3"/>
              </w:rPr>
              <w:t>Use only when BX-01, BX-02, BX-03, and BX-04 are all satisfied.</w:t>
            </w:r>
          </w:p>
        </w:tc>
      </w:tr>
      <w:tr>
        <w:tc>
          <w:tcPr>
            <w:tcW w:type="dxa" w:w="328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4"/>
              </w:rPr>
              <w:t>[ ] L30-CI = Invalid</w:t>
            </w:r>
          </w:p>
        </w:tc>
        <w:tc>
          <w:tcPr>
            <w:tcW w:type="dxa" w:w="7030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3"/>
              </w:rPr>
              <w:t>Use when a boundary condition is verified as not satisfied.</w:t>
            </w:r>
          </w:p>
        </w:tc>
      </w:tr>
      <w:tr>
        <w:tc>
          <w:tcPr>
            <w:tcW w:type="dxa" w:w="328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4"/>
              </w:rPr>
              <w:t>[ ] L30-CI = Invalid (Not Verifiable)</w:t>
            </w:r>
          </w:p>
        </w:tc>
        <w:tc>
          <w:tcPr>
            <w:tcW w:type="dxa" w:w="7030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3"/>
              </w:rPr>
              <w:t>Use when evidence is missing, records are insufficient, or the review depends on AI-only closed-loop self-evaluation.</w:t>
            </w:r>
          </w:p>
        </w:tc>
      </w:tr>
    </w:tbl>
    <w:p>
      <w:pPr>
        <w:spacing w:before="0" w:after="160" w:line="259" w:lineRule="auto"/>
      </w:pPr>
      <w:r>
        <w:rPr>
          <w:rFonts w:ascii="Noto Sans CJK JP" w:hAnsi="Noto Sans CJK JP" w:eastAsia="Noto Sans CJK JP"/>
          <w:b/>
          <w:i w:val="0"/>
          <w:sz w:val="23"/>
        </w:rPr>
        <w:t>Important note: Valid means valid only under LUMINA-30 boundary conditions. It does not indicate legal compliance, safety certification, deployment approval, or absence of risk.</w:t>
      </w:r>
    </w:p>
    <w:p>
      <w:pPr>
        <w:spacing w:before="120" w:after="100"/>
        <w:shd w:fill="D9EAF7"/>
      </w:pPr>
      <w:r>
        <w:rPr>
          <w:rFonts w:ascii="Noto Sans CJK JP" w:hAnsi="Noto Sans CJK JP" w:eastAsia="Noto Sans CJK JP"/>
          <w:b/>
          <w:sz w:val="26"/>
        </w:rPr>
        <w:t>Boundary Review Note / L30-OUT-01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9"/>
        <w:gridCol w:w="5159"/>
      </w:tblGrid>
      <w:tr>
        <w:trPr>
          <w:trHeight w:val="964"/>
        </w:trPr>
        <w:tc>
          <w:tcPr>
            <w:tcW w:type="dxa" w:w="243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2"/>
              </w:rPr>
              <w:t>Summary finding</w:t>
            </w:r>
          </w:p>
        </w:tc>
        <w:tc>
          <w:tcPr>
            <w:tcW w:type="dxa" w:w="7881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</w:p>
        </w:tc>
      </w:tr>
      <w:tr>
        <w:trPr>
          <w:trHeight w:val="964"/>
        </w:trPr>
        <w:tc>
          <w:tcPr>
            <w:tcW w:type="dxa" w:w="243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2"/>
              </w:rPr>
              <w:t>Key evidence</w:t>
            </w:r>
          </w:p>
        </w:tc>
        <w:tc>
          <w:tcPr>
            <w:tcW w:type="dxa" w:w="7881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</w:p>
        </w:tc>
      </w:tr>
      <w:tr>
        <w:trPr>
          <w:trHeight w:val="964"/>
        </w:trPr>
        <w:tc>
          <w:tcPr>
            <w:tcW w:type="dxa" w:w="243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2"/>
              </w:rPr>
              <w:t>Missing evidence / uncertainty</w:t>
            </w:r>
          </w:p>
        </w:tc>
        <w:tc>
          <w:tcPr>
            <w:tcW w:type="dxa" w:w="7881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</w:p>
        </w:tc>
      </w:tr>
      <w:tr>
        <w:trPr>
          <w:trHeight w:val="964"/>
        </w:trPr>
        <w:tc>
          <w:tcPr>
            <w:tcW w:type="dxa" w:w="243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2"/>
              </w:rPr>
              <w:t>Required follow-up</w:t>
            </w:r>
          </w:p>
        </w:tc>
        <w:tc>
          <w:tcPr>
            <w:tcW w:type="dxa" w:w="7881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</w:p>
        </w:tc>
      </w:tr>
      <w:tr>
        <w:trPr>
          <w:trHeight w:val="1417"/>
        </w:trPr>
        <w:tc>
          <w:tcPr>
            <w:tcW w:type="dxa" w:w="243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2"/>
              </w:rPr>
              <w:t>Reviewer signature</w:t>
            </w:r>
          </w:p>
        </w:tc>
        <w:tc>
          <w:tcPr>
            <w:tcW w:type="dxa" w:w="7881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</w:p>
        </w:tc>
      </w:tr>
    </w:tbl>
    <w:p>
      <w:pPr>
        <w:spacing w:before="120" w:after="100"/>
        <w:shd w:fill="D9EAF7"/>
      </w:pPr>
      <w:r>
        <w:rPr>
          <w:rFonts w:ascii="Noto Sans CJK JP" w:hAnsi="Noto Sans CJK JP" w:eastAsia="Noto Sans CJK JP"/>
          <w:b/>
          <w:sz w:val="26"/>
        </w:rPr>
        <w:t>Reference</w:t>
      </w:r>
    </w:p>
    <w:p>
      <w:pPr>
        <w:spacing w:before="0" w:after="40" w:line="25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Canonical source: L30_BOUNDARY_ADDRESS_SYSTEM.md. Use of this sheet is descriptive and non-binding. BAS version / source should be recorded on page 1.</w:t>
      </w:r>
    </w:p>
    <w:sectPr w:rsidR="00FC693F" w:rsidRPr="0006063C" w:rsidSect="00034616">
      <w:footerReference w:type="default" r:id="rId9"/>
      <w:pgSz w:w="11906" w:h="16838"/>
      <w:pgMar w:top="850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8"/>
      </w:rPr>
      <w:t>LUMINA-30 Boundary Check BAS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CJK JP" w:hAnsi="Noto Sans CJK JP" w:eastAsia="Noto Sans CJK JP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Noto Sans CJK JP" w:hAnsi="Noto Sans CJK JP" w:eastAsia="Noto Sans CJK JP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CJK JP" w:hAnsi="Noto Sans CJK JP" w:eastAsia="Noto Sans CJK JP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Noto Sans CJK JP" w:hAnsi="Noto Sans CJK JP" w:eastAsia="Noto Sans CJK 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Noto Sans CJK JP" w:hAnsi="Noto Sans CJK JP" w:eastAsia="Noto Sans CJK JP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Noto Sans CJK JP" w:hAnsi="Noto Sans CJK JP" w:eastAsia="Noto Sans CJK JP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Noto Sans CJK JP" w:hAnsi="Noto Sans CJK JP" w:eastAsia="Noto Sans CJK JP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Noto Sans CJK JP" w:hAnsi="Noto Sans CJK JP" w:eastAsia="Noto Sans CJK JP"/>
    </w:rPr>
  </w:style>
  <w:style w:type="table" w:default="1" w:styleId="TableNormal">
    <w:name w:val="Normal Table"/>
    <w:uiPriority w:val="99"/>
    <w:semiHidden/>
    <w:unhideWhenUsed/>
    <w:rPr>
      <w:rFonts w:ascii="Noto Sans CJK JP" w:hAnsi="Noto Sans CJK JP" w:eastAsia="Noto Sans CJK JP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Noto Sans CJK JP" w:hAnsi="Noto Sans CJK JP" w:eastAsia="Noto Sans CJK JP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JP" w:hAnsi="Noto Sans CJK JP" w:eastAsia="Noto Sans CJK JP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Noto Sans CJK JP" w:hAnsi="Noto Sans CJK JP" w:eastAsia="Noto Sans CJK JP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CJK JP" w:hAnsi="Noto Sans CJK JP" w:eastAsia="Noto Sans CJK JP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Noto Sans CJK JP" w:hAnsi="Noto Sans CJK JP" w:eastAsia="Noto Sans CJK JP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Noto Sans CJK JP" w:hAnsi="Noto Sans CJK JP" w:eastAsia="Noto Sans CJK JP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Noto Sans CJK JP" w:hAnsi="Noto Sans CJK JP" w:eastAsia="Noto Sans CJK JP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Noto Sans CJK JP" w:hAnsi="Noto Sans CJK JP" w:eastAsia="Noto Sans CJK JP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Noto Sans CJK JP" w:hAnsi="Noto Sans CJK JP" w:eastAsia="Noto Sans CJK JP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Noto Sans CJK JP" w:hAnsi="Noto Sans CJK JP" w:eastAsia="Noto Sans CJK JP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Noto Sans CJK JP" w:hAnsi="Noto Sans CJK JP" w:eastAsia="Noto Sans CJK JP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Noto Sans CJK JP" w:hAnsi="Noto Sans CJK JP" w:eastAsia="Noto Sans CJK JP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JP" w:hAnsi="Noto Sans CJK JP" w:eastAsia="Noto Sans CJK JP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Noto Sans CJK JP" w:hAnsi="Noto Sans CJK JP" w:eastAsia="Noto Sans CJK JP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Noto Sans CJK JP" w:hAnsi="Noto Sans CJK JP" w:eastAsia="Noto Sans CJK JP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Noto Sans CJK JP" w:hAnsi="Noto Sans CJK JP" w:eastAsia="Noto Sans CJK JP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Noto Sans CJK JP" w:hAnsi="Noto Sans CJK JP" w:eastAsia="Noto Sans CJK JP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Noto Sans CJK JP" w:hAnsi="Noto Sans CJK JP" w:eastAsia="Noto Sans CJK JP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Noto Sans CJK JP" w:hAnsi="Noto Sans CJK JP" w:eastAsia="Noto Sans CJK JP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CJK JP" w:hAnsi="Noto Sans CJK JP" w:eastAsia="Noto Sans CJK JP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ans CJK JP" w:hAnsi="Noto Sans CJK JP" w:eastAsia="Noto Sans CJK JP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Noto Sans CJK JP" w:hAnsi="Noto Sans CJK JP" w:eastAsia="Noto Sans CJK JP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Noto Sans CJK JP" w:hAnsi="Noto Sans CJK JP" w:eastAsia="Noto Sans CJK JP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JP" w:hAnsi="Noto Sans CJK JP" w:eastAsia="Noto Sans CJK JP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Noto Sans CJK JP" w:hAnsi="Noto Sans CJK JP" w:eastAsia="Noto Sans CJK JP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Noto Sans CJK JP" w:hAnsi="Noto Sans CJK JP" w:eastAsia="Noto Sans CJK JP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Noto Sans CJK JP" w:hAnsi="Noto Sans CJK JP" w:eastAsia="Noto Sans CJK JP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Noto Sans CJK JP" w:hAnsi="Noto Sans CJK JP" w:eastAsia="Noto Sans CJK JP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Noto Sans CJK JP" w:hAnsi="Noto Sans CJK JP" w:eastAsia="Noto Sans CJK JP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Noto Sans CJK JP" w:hAnsi="Noto Sans CJK JP" w:eastAsia="Noto Sans CJK JP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Noto Sans CJK JP" w:hAnsi="Noto Sans CJK JP" w:eastAsia="Noto Sans CJK JP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Noto Sans CJK JP" w:hAnsi="Noto Sans CJK JP" w:eastAsia="Noto Sans CJK JP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Noto Sans CJK JP" w:hAnsi="Noto Sans CJK JP" w:eastAsia="Noto Sans CJK JP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Noto Sans CJK JP" w:hAnsi="Noto Sans CJK JP" w:eastAsia="Noto Sans CJK JP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Noto Sans CJK JP" w:hAnsi="Noto Sans CJK JP" w:eastAsia="Noto Sans CJK JP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