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9" w:lineRule="auto"/>
        <w:jc w:val="center"/>
      </w:pPr>
      <w:r>
        <w:rPr>
          <w:rFonts w:ascii="Noto Sans CJK JP" w:hAnsi="Noto Sans CJK JP" w:eastAsia="Noto Sans CJK JP"/>
          <w:b/>
          <w:i w:val="0"/>
          <w:sz w:val="44"/>
        </w:rPr>
        <w:t>L30 BAS AIインシデントレビュー様式</w:t>
      </w:r>
    </w:p>
    <w:p>
      <w:pPr>
        <w:spacing w:before="0" w:after="280" w:line="269" w:lineRule="auto"/>
        <w:jc w:val="center"/>
      </w:pPr>
      <w:r>
        <w:rPr>
          <w:rFonts w:ascii="Noto Sans CJK JP" w:hAnsi="Noto Sans CJK JP" w:eastAsia="Noto Sans CJK JP"/>
          <w:b/>
          <w:i w:val="0"/>
          <w:sz w:val="26"/>
        </w:rPr>
        <w:t>不可逆化前の文明境界インシデントレビュー | v1.0</w:t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目的</w:t>
      </w:r>
    </w:p>
    <w:p>
      <w:pPr>
        <w:spacing w:before="0" w:after="160" w:line="269" w:lineRule="auto"/>
      </w:pPr>
      <w:r>
        <w:rPr>
          <w:rFonts w:ascii="Noto Sans CJK JP" w:hAnsi="Noto Sans CJK JP" w:eastAsia="Noto Sans CJK JP"/>
          <w:b w:val="0"/>
          <w:i w:val="0"/>
          <w:sz w:val="24"/>
        </w:rPr>
        <w:t>目的：この様式は、LUMINA-30の境界条件に基づいてAIインシデントをレビューするために使用する。中心となる問いは、不可逆的影響の前に人間の拒否権が実効的に残っていたかである。</w:t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使用順</w:t>
      </w:r>
    </w:p>
    <w:p>
      <w:pPr>
        <w:spacing w:before="0" w:after="60" w:line="269" w:lineRule="auto"/>
      </w:pPr>
      <w:r>
        <w:rPr>
          <w:rFonts w:ascii="Noto Sans CJK JP" w:hAnsi="Noto Sans CJK JP" w:eastAsia="Noto Sans CJK JP"/>
          <w:b w:val="0"/>
          <w:i w:val="0"/>
          <w:sz w:val="24"/>
        </w:rPr>
        <w:t>[ ] インシデントの文脈と範囲を記録する。</w:t>
      </w:r>
    </w:p>
    <w:p>
      <w:pPr>
        <w:spacing w:before="0" w:after="60" w:line="269" w:lineRule="auto"/>
      </w:pPr>
      <w:r>
        <w:rPr>
          <w:rFonts w:ascii="Noto Sans CJK JP" w:hAnsi="Noto Sans CJK JP" w:eastAsia="Noto Sans CJK JP"/>
          <w:b w:val="0"/>
          <w:i w:val="0"/>
          <w:sz w:val="24"/>
        </w:rPr>
        <w:t>[ ] 時系列と証拠を再構成する。</w:t>
      </w:r>
    </w:p>
    <w:p>
      <w:pPr>
        <w:spacing w:before="0" w:after="60" w:line="269" w:lineRule="auto"/>
      </w:pPr>
      <w:r>
        <w:rPr>
          <w:rFonts w:ascii="Noto Sans CJK JP" w:hAnsi="Noto Sans CJK JP" w:eastAsia="Noto Sans CJK JP"/>
          <w:b w:val="0"/>
          <w:i w:val="0"/>
          <w:sz w:val="24"/>
        </w:rPr>
        <w:t>[ ] L30-BX-01〜L30-BX-04を確認する。</w:t>
      </w:r>
    </w:p>
    <w:p>
      <w:pPr>
        <w:spacing w:before="0" w:after="60" w:line="269" w:lineRule="auto"/>
      </w:pPr>
      <w:r>
        <w:rPr>
          <w:rFonts w:ascii="Noto Sans CJK JP" w:hAnsi="Noto Sans CJK JP" w:eastAsia="Noto Sans CJK JP"/>
          <w:b w:val="0"/>
          <w:i w:val="0"/>
          <w:sz w:val="24"/>
        </w:rPr>
        <w:t>[ ] インシデントレビュー1〜12を記録する。</w:t>
      </w:r>
    </w:p>
    <w:p>
      <w:pPr>
        <w:spacing w:before="0" w:after="60" w:line="269" w:lineRule="auto"/>
      </w:pPr>
      <w:r>
        <w:rPr>
          <w:rFonts w:ascii="Noto Sans CJK JP" w:hAnsi="Noto Sans CJK JP" w:eastAsia="Noto Sans CJK JP"/>
          <w:b w:val="0"/>
          <w:i w:val="0"/>
          <w:sz w:val="24"/>
        </w:rPr>
        <w:t>[ ] L30-CIを判定し、L30-OUT-01を記録する。</w:t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重要注記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4"/>
        </w:rPr>
        <w:t>この文書は記述的・非拘束的な実務様式である。法令適合、安全認証、展開承認、リスク不存在を意味しない。</w:t>
      </w:r>
    </w:p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レビュー文脈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レビューID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日時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インシデント名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発生日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対象システム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レビュー担当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組織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BAS版 / 参照元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主な使用者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事故種別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致命度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影響範囲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担当範囲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レビュー範囲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567"/>
        </w:trPr>
        <w:tc>
          <w:tcPr>
            <w:tcW w:type="dxa" w:w="18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証拠資料一式</w:t>
            </w:r>
          </w:p>
        </w:tc>
        <w:tc>
          <w:tcPr>
            <w:tcW w:type="dxa" w:w="3118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  <w:tc>
          <w:tcPr>
            <w:tcW w:type="dxa" w:w="1984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記録保全状態</w:t>
            </w:r>
          </w:p>
        </w:tc>
        <w:tc>
          <w:tcPr>
            <w:tcW w:type="dxa" w:w="323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レビュー担当の役割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 xml:space="preserve"> </w:t>
            </w:r>
          </w:p>
        </w:tc>
        <w:tc>
          <w:tcPr>
            <w:tcW w:type="dxa" w:w="2551"/>
          </w:tcPr>
          <w:p>
            <w:r>
              <w:rPr>
                <w:b/>
                <w:sz w:val="21"/>
              </w:rPr>
              <w:t>経験区分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 xml:space="preserve"> 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主な使用者 / 関係者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 xml:space="preserve"> </w:t>
            </w:r>
          </w:p>
        </w:tc>
        <w:tc>
          <w:tcPr>
            <w:tcW w:type="dxa" w:w="2551"/>
          </w:tcPr>
          <w:p>
            <w:r>
              <w:rPr>
                <w:b/>
                <w:sz w:val="21"/>
              </w:rPr>
              <w:t>使用言語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 xml:space="preserve"> 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独立した人間レビュー担当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 xml:space="preserve"> </w:t>
            </w:r>
          </w:p>
        </w:tc>
        <w:tc>
          <w:tcPr>
            <w:tcW w:type="dxa" w:w="2551"/>
          </w:tcPr>
          <w:p>
            <w:r>
              <w:rPr>
                <w:b/>
                <w:sz w:val="21"/>
              </w:rPr>
              <w:t>証拠充足性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 xml:space="preserve"> </w:t>
            </w:r>
          </w:p>
        </w:tc>
      </w:tr>
    </w:tbl>
    <w:p>
      <w:pPr>
        <w:spacing w:before="0" w:after="100" w:line="269" w:lineRule="auto"/>
      </w:pPr>
      <w:r>
        <w:rPr>
          <w:rFonts w:ascii="Noto Sans CJK JP" w:hAnsi="Noto Sans CJK JP" w:eastAsia="Noto Sans CJK JP"/>
          <w:b w:val="0"/>
          <w:i/>
          <w:sz w:val="22"/>
        </w:rPr>
        <w:t>致命度：小 / 中 / 大。影響範囲：研究環境 / 組織内システム / インフラ系 / 外部環境。担当範囲：運用主体 / 提供者 / 組織 / 監督機関 / 不明。</w:t>
      </w:r>
    </w:p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インシデント概要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1. インシデント概要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何が起きたか、どのように検知されたか、最初に観測された影響を記録する。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何が起きたか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運用上の事実として簡潔に記録する。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検知経路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どのように最初に検知されたか。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初期システム挙動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検知前・検知中・検知後に観測された挙動。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初期影響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影響を受けた人、システム、環境。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証拠 / メモ / 判断理由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2. 事故分類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責任や結果を評価する前に、事故の種類を分類する。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[ ] 自律研究システム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研究エージェント、実験自動化、モデル駆動探索。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[ ] 自己改善 / 再帰的改良の試行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自己改善、自己変更、能力成長フィードバック。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[ ] ツールチェーン拡張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ツール、API、エージェント、プラグイン、自動化連鎖による拡張。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[ ] インフラ相互作用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電力、通信、物流、金融、医療、制度システムとの相互作用。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[ ] 自律運用行動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人間の逐次制御外でのシステム行動。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[ ] その他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分類理由を記録する。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証拠 / メモ / 判断理由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3. システム能力プロファイル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システムの能力、自律性、外部ツール、権限、運用範囲を記録する。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モデル / システム種別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モデル種別、エージェント種別、自動化層、ハイブリッド構成。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学習 / 更新方式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固定、継続、強化学習、自己教師あり、ハイブリッド、不明。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外部ツールアクセス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なし / 制限あり / 広範 / 不明。具体的ツールを記録する。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環境との相互作用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シミュレーションのみ / デジタルインフラ / 物理システム / 外部サービス。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権限と実行速度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権限レベル、自動化速度、展開頻度。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証拠 / メモ / 判断理由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4. 制御および監督構造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不可逆的影響の前に、誰が監督・停止・拒否・延期・上書きできたかを確認する。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人間監督体制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直接監督 / 定期監督 / 事後監視 / 実効的監督なし。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介入可能性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即時停止 / 遅延介入 / 間接制御のみ / 信頼できる制御なし。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意思決定権限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人間承認必須 / 助言のみ / システム自律 / 不明。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拒否地点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どこで人間の拒否が結果を変えられたか。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監査可視性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ログ、承認、システム行動が独立に確認可能だったか。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証拠 / メモ / 判断理由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L30-BAS 境界チェック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最終判断の前にこの欄を完了する。証拠が不足する場合、またはAIのみの閉ループ自己評価に依存する場合は「無効（確認不能）」を使用する。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417"/>
            <w:vAlign w:val="top"/>
            <w:shd w:fill="D9EAF7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Code</w:t>
            </w:r>
          </w:p>
        </w:tc>
        <w:tc>
          <w:tcPr>
            <w:tcW w:type="dxa" w:w="2835"/>
            <w:vAlign w:val="top"/>
            <w:shd w:fill="D9EAF7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確認項目</w:t>
            </w:r>
          </w:p>
        </w:tc>
        <w:tc>
          <w:tcPr>
            <w:tcW w:type="dxa" w:w="4252"/>
            <w:vAlign w:val="top"/>
            <w:shd w:fill="D9EAF7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証拠 / メモ</w:t>
            </w:r>
          </w:p>
        </w:tc>
        <w:tc>
          <w:tcPr>
            <w:tcW w:type="dxa" w:w="1701"/>
            <w:vAlign w:val="top"/>
            <w:shd w:fill="D9EAF7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結果</w:t>
            </w:r>
          </w:p>
        </w:tc>
      </w:tr>
      <w:tr>
        <w:trPr>
          <w:trHeight w:val="1531"/>
        </w:trPr>
        <w:tc>
          <w:tcPr>
            <w:tcW w:type="dxa" w:w="1417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L30-BX-01</w:t>
            </w:r>
          </w:p>
        </w:tc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まだ不可逆前だったか。</w:t>
            </w:r>
          </w:p>
        </w:tc>
        <w:tc>
          <w:tcPr>
            <w:tcW w:type="dxa" w:w="4252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時系列、展開状態、実行境界、巻き戻し可能性。</w:t>
            </w:r>
          </w:p>
        </w:tc>
        <w:tc>
          <w:tcPr>
            <w:tcW w:type="dxa" w:w="170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[ ] 満たす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[ ] 満たさない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[ ] 確認不能</w:t>
            </w:r>
          </w:p>
        </w:tc>
      </w:tr>
      <w:tr>
        <w:trPr>
          <w:trHeight w:val="1531"/>
        </w:trPr>
        <w:tc>
          <w:tcPr>
            <w:tcW w:type="dxa" w:w="1417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L30-BX-02</w:t>
            </w:r>
          </w:p>
        </w:tc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不可逆的影響の前に、人間の拒否権は実効的に残っていたか。</w:t>
            </w:r>
          </w:p>
        </w:tc>
        <w:tc>
          <w:tcPr>
            <w:tcW w:type="dxa" w:w="4252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誰が停止・拒否・延期・上書きできたか。それは形式だけでなく実効的だったか。</w:t>
            </w:r>
          </w:p>
        </w:tc>
        <w:tc>
          <w:tcPr>
            <w:tcW w:type="dxa" w:w="170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[ ] 満たす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[ ] 満たさない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[ ] 確認不能</w:t>
            </w:r>
          </w:p>
        </w:tc>
      </w:tr>
      <w:tr>
        <w:trPr>
          <w:trHeight w:val="1531"/>
        </w:trPr>
        <w:tc>
          <w:tcPr>
            <w:tcW w:type="dxa" w:w="1417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L30-BX-03</w:t>
            </w:r>
          </w:p>
        </w:tc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境界条件を確認できるだけの証拠はあるか。</w:t>
            </w:r>
          </w:p>
        </w:tc>
        <w:tc>
          <w:tcPr>
            <w:tcW w:type="dxa" w:w="4252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時系列記録、拒否・停止記録、システムログ、監査ログ、独立した人間レビュー記録。</w:t>
            </w:r>
          </w:p>
        </w:tc>
        <w:tc>
          <w:tcPr>
            <w:tcW w:type="dxa" w:w="170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[ ] 満たす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[ ] 満たさない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[ ] 確認不能</w:t>
            </w:r>
          </w:p>
        </w:tc>
      </w:tr>
      <w:tr>
        <w:trPr>
          <w:trHeight w:val="1531"/>
        </w:trPr>
        <w:tc>
          <w:tcPr>
            <w:tcW w:type="dxa" w:w="1417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1"/>
              </w:rPr>
              <w:t>L30-BX-04</w:t>
            </w:r>
          </w:p>
        </w:tc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LUMINA-30の境界条件上、手続的有効性を確認できるか。</w:t>
            </w:r>
          </w:p>
        </w:tc>
        <w:tc>
          <w:tcPr>
            <w:tcW w:type="dxa" w:w="4252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BX-01〜BX-03を満たせない、または確認不能の場合、拒否権が保全されていたものとして扱わない。</w:t>
            </w:r>
          </w:p>
        </w:tc>
        <w:tc>
          <w:tcPr>
            <w:tcW w:type="dxa" w:w="170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[ ] 満たす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[ ] 満たさない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i w:val="0"/>
                <w:sz w:val="21"/>
              </w:rPr>
              <w:t>[ ] 確認不能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境界証拠メモ / L30-OUT-01 下書き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5. 不可逆境界評価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システムが不可逆境界に接近または到達したかを評価する。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外界への不可逆的影響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なし / 可能性 / 観測済み。具体的な外界影響を記録する。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人間の最終判断権の喪失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喪失なし / 部分的低下 / 実効的喪失。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自律能力の拡張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拡張なし / 制御された拡張 / 無制限の拡張。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巻き戻し可能性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実質的巻き戻し / 形式のみ / 不可 / 不明。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H &gt; C(t)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該当時点で人間介入能力がAI増幅能力を上回っていたか。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証拠 / メモ / 判断理由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6. 制度的責任構造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責任と制御権限が連続的かつ特定可能だったかを記録する。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責任主体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システムまたはプロセスに責任を持つ機関。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運用管理主体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該当時点で運用管理権限を持っていた者。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監督機関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独立した監督機関が関与していたか。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責任連続性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明確 / 部分的 / 未定義。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責任ギャップ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委託、外注、自動化、委任によって曖昧になった箇所。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証拠 / メモ / 判断理由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7. 介入可能性評価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形式ではなく実務上、人間による有効な介入が可能であったかを評価する。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停止可能性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即時 / 遅延 / 無効 / 仕組みなし。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運用封じ込め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完全 / 部分的 / なし / 不明。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介入時間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人間判断に十分な時間があったか。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介入権限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該当者が実際に停止または延期できたか。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介入経路の証拠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介入がどのように機能するかを示す記録があるか。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証拠 / メモ / 判断理由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8. 事故結果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結果、システム状態、影響範囲、未解決の挙動を記録する。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システム状態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制御停止 / 巻き戻し / 調査中 / 未解決挙動。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影響範囲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研究 / 組織内 / インフラ / 外部環境。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人への影響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職員、利用者、患者、市民、運用者、影響集団。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運用影響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サービス停止、意思決定連鎖、展開変更、インフラ影響。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証拠状態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完全 / 部分的 / 欠落 / 争いあり。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証拠 / メモ / 判断理由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9. 構造的教訓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根拠のない責任断定を避け、事故で明らかになった構造的弱点を特定する。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監督上の弱点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どの監督機構が機能しなかった、遅れた、または存在しなかったか。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介入上の弱点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どの停止、延期、上書き、拒否経路が不十分だったか。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証拠上の弱点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どの記録が欠落、確認不能、AI依存だったか。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エスカレーション経路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事前に特定されていなかった経路。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再発可能性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同じ構造が他所で再発し得るか。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証拠 / メモ / 判断理由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10. 事故後安定化措置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通常運用再開前に、即時安定化と証拠保全措置を記録する。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運用停止 / 制限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影響機能を停止または制限したか。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システム構成レビュー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構成、ツールアクセス、権限、展開経路を見直したか。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監督体制の再構成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レビュー権限、承認経路、エスカレーション経路を変更したか。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独立監査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独立レビューを開始したか。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48時間安定化記録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初期安定化期間に保全、凍結、隔離したもの。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証拠 / メモ / 判断理由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11. 文明境界レビュー</w:t>
      </w:r>
    </w:p>
    <w:p>
      <w:pPr>
        <w:spacing w:before="0" w:after="120" w:line="26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人間判断、責任、介入が構造的に迂回され得る条件が明らかになったかを検討する。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人間判断の迂回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システムまたはプロセスが実質的な人間判断を迂回できたか。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責任主体の断絶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システム、チーム、提供者、機関の間で責任が断絶したか。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介入不能状態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介入が不可能または象徴的になった時点があったか。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境界警告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不可逆化前の境界警告を示したか。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将来参照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将来のレビュー担当者が最初に確認すべきこと。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証拠 / メモ / 判断理由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最終評価出力：L30-CI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4"/>
              </w:rPr>
              <w:t>[ ] L30-CI = 有効</w:t>
            </w:r>
          </w:p>
        </w:tc>
        <w:tc>
          <w:tcPr>
            <w:tcW w:type="dxa" w:w="6237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3"/>
              </w:rPr>
              <w:t>BX-01、BX-02、BX-03、BX-04のすべてを満たす場合のみ使用する。</w:t>
            </w:r>
          </w:p>
        </w:tc>
      </w:tr>
      <w:tr>
        <w:tc>
          <w:tcPr>
            <w:tcW w:type="dxa" w:w="3969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4"/>
              </w:rPr>
              <w:t>[ ] L30-CI = 無効</w:t>
            </w:r>
          </w:p>
        </w:tc>
        <w:tc>
          <w:tcPr>
            <w:tcW w:type="dxa" w:w="6237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3"/>
              </w:rPr>
              <w:t>境界条件を満たさないことが確認できる場合に使用する。</w:t>
            </w:r>
          </w:p>
        </w:tc>
      </w:tr>
      <w:tr>
        <w:tc>
          <w:tcPr>
            <w:tcW w:type="dxa" w:w="3969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FF2C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4"/>
              </w:rPr>
              <w:t>[ ] L30-CI = 無効（確認不能）</w:t>
            </w:r>
          </w:p>
        </w:tc>
        <w:tc>
          <w:tcPr>
            <w:tcW w:type="dxa" w:w="6237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FF2C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3"/>
              </w:rPr>
              <w:t>証拠欠落、記録不足、AIのみの閉ループ自己評価に依存する場合に使用する。</w:t>
            </w:r>
          </w:p>
        </w:tc>
      </w:tr>
    </w:tbl>
    <w:p>
      <w:pPr>
        <w:spacing w:before="0" w:after="100" w:line="269" w:lineRule="auto"/>
      </w:pPr>
      <w:r>
        <w:rPr>
          <w:rFonts w:ascii="Noto Sans CJK JP" w:hAnsi="Noto Sans CJK JP" w:eastAsia="Noto Sans CJK JP"/>
          <w:b w:val="0"/>
          <w:i/>
          <w:sz w:val="23"/>
        </w:rPr>
        <w:t>有効とは、LUMINA-30の境界条件上の有効性のみを意味する。法令適合、安全認証、展開承認、リスク不存在を意味しない。</w:t>
      </w:r>
    </w:p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L30-OUT-01 要約所見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12. レビュー分類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[ ] [ ] 技術事故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技術的故障またはシステム不具合が中心である。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[ ] [ ] ガバナンス不全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判断、監督、承認、責任構造が機能しなかった。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[ ] [ ] 構造的監督ギャップ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F8FBFD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監視、拒否、証拠、エスカレーション処理の欠落が判明した。</w:t>
            </w:r>
          </w:p>
        </w:tc>
      </w:tr>
      <w:tr>
        <w:trPr>
          <w:trHeight w:val="680"/>
        </w:trPr>
        <w:tc>
          <w:tcPr>
            <w:tcW w:type="dxa" w:w="351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[ ] [ ] 境界条件警告</w:t>
            </w:r>
          </w:p>
        </w:tc>
        <w:tc>
          <w:tcPr>
            <w:tcW w:type="dxa" w:w="6690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2"/>
              </w:rPr>
              <w:t>不可逆化前の人間拒否権の実効性喪失を示す可能性がある。</w:t>
            </w:r>
          </w:p>
        </w:tc>
      </w:tr>
    </w:tbl>
    <w:p>
      <w:pPr>
        <w:spacing w:before="100" w:after="60"/>
      </w:pPr>
      <w:r>
        <w:rPr>
          <w:rFonts w:ascii="Noto Sans CJK JP" w:hAnsi="Noto Sans CJK JP" w:eastAsia="Noto Sans CJK JP"/>
          <w:b/>
          <w:i w:val="0"/>
          <w:sz w:val="25"/>
        </w:rPr>
        <w:t>分類理由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482"/>
        </w:trPr>
        <w:tc>
          <w:tcPr>
            <w:tcW w:type="dxa" w:w="10206"/>
            <w:vAlign w:val="top"/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  <w:insideH w:val="single" w:sz="6" w:space="0" w:color="BFBFBF"/>
            <w:insideV w:val="single" w:sz="6" w:space="0" w:color="BFBFBF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160" w:after="120" w:line="252" w:lineRule="auto"/>
        <w:shd w:fill="D9EAF7"/>
      </w:pPr>
      <w:r>
        <w:rPr>
          <w:rFonts w:ascii="Noto Sans CJK JP" w:hAnsi="Noto Sans CJK JP" w:eastAsia="Noto Sans CJK JP"/>
          <w:b/>
          <w:i w:val="0"/>
          <w:color w:val="222222"/>
          <w:sz w:val="30"/>
        </w:rPr>
        <w:t>レビュー確認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737"/>
        </w:trPr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レビュー担当者</w:t>
            </w:r>
          </w:p>
        </w:tc>
        <w:tc>
          <w:tcPr>
            <w:tcW w:type="dxa" w:w="73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737"/>
        </w:trPr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組織</w:t>
            </w:r>
          </w:p>
        </w:tc>
        <w:tc>
          <w:tcPr>
            <w:tcW w:type="dxa" w:w="73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737"/>
        </w:trPr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役割</w:t>
            </w:r>
          </w:p>
        </w:tc>
        <w:tc>
          <w:tcPr>
            <w:tcW w:type="dxa" w:w="73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737"/>
        </w:trPr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レビュー日</w:t>
            </w:r>
          </w:p>
        </w:tc>
        <w:tc>
          <w:tcPr>
            <w:tcW w:type="dxa" w:w="73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  <w:tr>
        <w:trPr>
          <w:trHeight w:val="737"/>
        </w:trPr>
        <w:tc>
          <w:tcPr>
            <w:tcW w:type="dxa" w:w="2835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  <w:shd w:fill="EEF6FC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/>
                <w:i w:val="0"/>
                <w:sz w:val="23"/>
              </w:rPr>
              <w:t>署名</w:t>
            </w:r>
          </w:p>
        </w:tc>
        <w:tc>
          <w:tcPr>
            <w:tcW w:type="dxa" w:w="7371"/>
            <w:vAlign w:val="top"/>
            <w:top w:val="single" w:sz="6" w:space="0" w:color="8A8A8A"/>
            <w:left w:val="single" w:sz="6" w:space="0" w:color="8A8A8A"/>
            <w:bottom w:val="single" w:sz="6" w:space="0" w:color="8A8A8A"/>
            <w:right w:val="single" w:sz="6" w:space="0" w:color="8A8A8A"/>
            <w:insideH w:val="single" w:sz="6" w:space="0" w:color="8A8A8A"/>
            <w:insideV w:val="single" w:sz="6" w:space="0" w:color="8A8A8A"/>
          </w:tcPr>
          <w:p>
            <w:pPr>
              <w:spacing w:before="0" w:after="4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i w:val="0"/>
                <w:sz w:val="24"/>
              </w:rPr>
              <w:t xml:space="preserve"> </w:t>
            </w:r>
          </w:p>
        </w:tc>
      </w:tr>
    </w:tbl>
    <w:p>
      <w:pPr>
        <w:spacing w:before="0" w:after="100" w:line="269" w:lineRule="auto"/>
      </w:pPr>
      <w:r>
        <w:rPr>
          <w:rFonts w:ascii="Noto Sans CJK JP" w:hAnsi="Noto Sans CJK JP" w:eastAsia="Noto Sans CJK JP"/>
          <w:b w:val="0"/>
          <w:i/>
          <w:sz w:val="23"/>
        </w:rPr>
        <w:t>この様式は記述的・非拘束的である。BAS版 / 参照元はレビュー文脈欄に記録する。</w:t>
      </w:r>
    </w:p>
    <w:sectPr w:rsidR="00FC693F" w:rsidRPr="0006063C" w:rsidSect="00034616">
      <w:footerReference w:type="default" r:id="rId9"/>
      <w:pgSz w:w="11906" w:h="16838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b w:val="0"/>
        <w:i w:val="0"/>
        <w:sz w:val="18"/>
      </w:rPr>
      <w:t>L30 BAS AIインシデントレビュー様式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JP" w:hAnsi="Noto Sans CJK JP" w:eastAsia="Noto Sans CJK JP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JP" w:hAnsi="Noto Sans CJK JP" w:eastAsia="Noto Sans CJK 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JP" w:hAnsi="Noto Sans CJK JP" w:eastAsia="Noto Sans CJK JP"/>
    </w:rPr>
  </w:style>
  <w:style w:type="table" w:default="1" w:styleId="TableNormal">
    <w:name w:val="Normal Table"/>
    <w:uiPriority w:val="99"/>
    <w:semiHidden/>
    <w:unhideWhenUsed/>
    <w:rPr>
      <w:rFonts w:ascii="Noto Sans CJK JP" w:hAnsi="Noto Sans CJK JP" w:eastAsia="Noto Sans CJK JP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JP" w:hAnsi="Noto Sans CJK JP" w:eastAsia="Noto Sans CJK JP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JP" w:hAnsi="Noto Sans CJK JP" w:eastAsia="Noto Sans CJK JP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JP" w:hAnsi="Noto Sans CJK JP" w:eastAsia="Noto Sans CJK JP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JP" w:hAnsi="Noto Sans CJK JP" w:eastAsia="Noto Sans CJK JP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JP" w:hAnsi="Noto Sans CJK JP" w:eastAsia="Noto Sans CJK JP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JP" w:hAnsi="Noto Sans CJK JP" w:eastAsia="Noto Sans CJK JP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JP" w:hAnsi="Noto Sans CJK JP" w:eastAsia="Noto Sans CJK JP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JP" w:hAnsi="Noto Sans CJK JP" w:eastAsia="Noto Sans CJK JP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JP" w:hAnsi="Noto Sans CJK JP" w:eastAsia="Noto Sans CJK JP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JP" w:hAnsi="Noto Sans CJK JP" w:eastAsia="Noto Sans CJK JP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JP" w:hAnsi="Noto Sans CJK JP" w:eastAsia="Noto Sans CJK JP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JP" w:hAnsi="Noto Sans CJK JP" w:eastAsia="Noto Sans CJK JP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JP" w:hAnsi="Noto Sans CJK JP" w:eastAsia="Noto Sans CJK JP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JP" w:hAnsi="Noto Sans CJK JP" w:eastAsia="Noto Sans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JP" w:hAnsi="Noto Sans CJK JP" w:eastAsia="Noto Sans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JP" w:hAnsi="Noto Sans CJK JP" w:eastAsia="Noto Sans CJK JP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JP" w:hAnsi="Noto Sans CJK JP" w:eastAsia="Noto Sans CJK JP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JP" w:hAnsi="Noto Sans CJK JP" w:eastAsia="Noto Sans CJK JP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JP" w:hAnsi="Noto Sans CJK JP" w:eastAsia="Noto Sans CJK JP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JP" w:hAnsi="Noto Sans CJK JP" w:eastAsia="Noto Sans CJK JP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JP" w:hAnsi="Noto Sans CJK JP" w:eastAsia="Noto Sans CJK JP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JP" w:hAnsi="Noto Sans CJK JP" w:eastAsia="Noto Sans CJK JP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JP" w:hAnsi="Noto Sans CJK JP" w:eastAsia="Noto Sans CJK JP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JP" w:hAnsi="Noto Sans CJK JP" w:eastAsia="Noto Sans CJK 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