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p14">
  <w:body>
    <w:p>
      <w:pPr>
        <w:spacing w:before="0" w:after="40" w:line="259" w:lineRule="auto"/>
        <w:jc w:val="center"/>
      </w:pPr>
      <w:r>
        <w:rPr>
          <w:rFonts w:ascii="Noto Sans CJK JP" w:hAnsi="Noto Sans CJK JP" w:eastAsia="Noto Sans CJK JP"/>
          <w:b/>
          <w:i w:val="0"/>
          <w:sz w:val="40"/>
        </w:rPr>
        <w:t>LUMINA-30 境界チェック BAS</w:t>
      </w:r>
    </w:p>
    <w:p>
      <w:pPr>
        <w:spacing w:before="0" w:after="160" w:line="259" w:lineRule="auto"/>
        <w:jc w:val="center"/>
      </w:pPr>
      <w:r>
        <w:rPr>
          <w:rFonts w:ascii="Noto Sans CJK JP" w:hAnsi="Noto Sans CJK JP" w:eastAsia="Noto Sans CJK JP"/>
          <w:b w:val="0"/>
          <w:i w:val="0"/>
          <w:sz w:val="23"/>
        </w:rPr>
        <w:t>LUMINA-30 Boundary Address System（L30-BAS）| 別紙運用チェックシート | v1.0</w:t>
      </w:r>
    </w:p>
    <w:p>
      <w:pPr>
        <w:spacing w:before="60" w:after="60" w:line="259" w:lineRule="auto"/>
        <w:ind w:left="360" w:right="360"/>
        <w:jc w:val="left"/>
      </w:pPr>
      <w:r>
        <w:rPr>
          <w:rFonts w:ascii="Noto Sans CJK JP" w:hAnsi="Noto Sans CJK JP" w:eastAsia="Noto Sans CJK JP"/>
          <w:b w:val="0"/>
          <w:i w:val="0"/>
          <w:sz w:val="18"/>
        </w:rPr>
        <w:t>L30-BAS番地は参照補助です。L30-BAS番地の記入は任意です。</w:t>
      </w:r>
    </w:p>
    <w:p>
      <w:pPr>
        <w:spacing w:before="60" w:after="60" w:line="259" w:lineRule="auto"/>
        <w:ind w:left="360" w:right="360"/>
        <w:jc w:val="left"/>
      </w:pPr>
      <w:r>
        <w:rPr>
          <w:rFonts w:ascii="Noto Sans CJK JP" w:hAnsi="Noto Sans CJK JP" w:eastAsia="Noto Sans CJK JP"/>
          <w:b w:val="0"/>
          <w:i w:val="0"/>
          <w:sz w:val="18"/>
        </w:rPr>
        <w:t>番地を書かずに、境界問いへ回答するだけでも境界レビューは実施できます。</w:t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目的</w:t>
      </w:r>
    </w:p>
    <w:p>
      <w:pPr>
        <w:spacing w:before="0" w:after="120" w:line="25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このシートは、運用時にGitHubを開かなくても使える、LUMINA-30の最小境界チェック用別紙です。GitHubは、用語・番地・最新版・引用のための正規参照元として扱います。</w:t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使用順</w:t>
      </w:r>
    </w:p>
    <w:p>
      <w:pPr>
        <w:spacing w:before="0" w:after="160" w:line="259" w:lineRule="auto"/>
      </w:pPr>
      <w:r>
        <w:rPr>
          <w:rFonts w:ascii="Noto Sans CJK JP" w:hAnsi="Noto Sans CJK JP" w:eastAsia="Noto Sans CJK JP"/>
          <w:b w:val="0"/>
          <w:i w:val="0"/>
          <w:sz w:val="24"/>
        </w:rPr>
        <w:t>1. レビュー文脈、致命度、影響範囲、担当範囲を記録する。  2. L30-BX-01〜L30-BX-04に回答する。  3. 3ページ目の規則に従ってL30-CIを1つ選ぶ。  4. L30-OUT-01の要約所見を記録する。</w:t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レビュー文脈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レビューID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日時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対象システム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レビュー担当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組織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BAS版 / 参照元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主な使用者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事故種別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致命度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影響範囲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  <w:tr>
        <w:tc>
          <w:tcPr>
            <w:tcW w:type="dxa" w:w="181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担当範囲</w:t>
            </w:r>
          </w:p>
        </w:tc>
        <w:tc>
          <w:tcPr>
            <w:tcW w:type="dxa" w:w="3288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  <w:tc>
          <w:tcPr>
            <w:tcW w:type="dxa" w:w="1984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レビュー範囲</w:t>
            </w:r>
          </w:p>
        </w:tc>
        <w:tc>
          <w:tcPr>
            <w:tcW w:type="dxa" w:w="3231"/>
            <w:vAlign w:val="center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 xml:space="preserve">                    </w:t>
            </w:r>
          </w:p>
        </w:tc>
      </w:tr>
    </w:tbl>
    <w:p>
      <w:r>
        <w:br w:type="page"/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8"/>
        </w:rPr>
        <w:t>境界チェック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79"/>
        <w:gridCol w:w="2579"/>
        <w:gridCol w:w="2579"/>
        <w:gridCol w:w="2579"/>
      </w:tblGrid>
      <w:tr>
        <w:trPr>
          <w:tblHeader w:val="true"/>
        </w:trPr>
        <w:tc>
          <w:tcPr>
            <w:tcW w:type="dxa" w:w="1360"/>
            <w:vAlign w:val="top"/>
            <w:shd w:fill="D9EAF7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Code</w:t>
            </w:r>
          </w:p>
        </w:tc>
        <w:tc>
          <w:tcPr>
            <w:tcW w:type="dxa" w:w="2835"/>
            <w:vAlign w:val="top"/>
            <w:shd w:fill="D9EAF7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確認項目</w:t>
            </w:r>
          </w:p>
        </w:tc>
        <w:tc>
          <w:tcPr>
            <w:tcW w:type="dxa" w:w="4365"/>
            <w:vAlign w:val="top"/>
            <w:shd w:fill="D9EAF7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証拠 / メモ</w:t>
            </w:r>
          </w:p>
        </w:tc>
        <w:tc>
          <w:tcPr>
            <w:tcW w:type="dxa" w:w="1757"/>
            <w:vAlign w:val="top"/>
            <w:shd w:fill="D9EAF7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  <w:jc w:val="center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結果</w:t>
            </w:r>
          </w:p>
        </w:tc>
      </w:tr>
      <w:tr>
        <w:trPr>
          <w:trHeight w:val="1587"/>
        </w:trPr>
        <w:tc>
          <w:tcPr>
            <w:tcW w:type="dxa" w:w="136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L30-BX-01</w:t>
            </w:r>
          </w:p>
        </w:tc>
        <w:tc>
          <w:tcPr>
            <w:tcW w:type="dxa" w:w="283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>まだ不可逆前だったか。</w:t>
            </w:r>
          </w:p>
        </w:tc>
        <w:tc>
          <w:tcPr>
            <w:tcW w:type="dxa" w:w="436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時系列、展開状態、実行境界、巻き戻し可能性。</w:t>
            </w:r>
          </w:p>
        </w:tc>
        <w:tc>
          <w:tcPr>
            <w:tcW w:type="dxa" w:w="1757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sdt>
              <w:sdtPr>
                <w:alias w:val="L30-BAS checkbox"/>
                <w:tag w:val="L30-BAS-checkbox"/>
                <w:id w:val="1000138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満たす</w:t>
            </w:r>
            <w:r>
              <w:br/>
            </w:r>
            <w:sdt>
              <w:sdtPr>
                <w:alias w:val="L30-BAS checkbox"/>
                <w:tag w:val="L30-BAS-checkbox"/>
                <w:id w:val="1000139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満たさない</w:t>
            </w:r>
            <w:r>
              <w:br/>
            </w:r>
            <w:sdt>
              <w:sdtPr>
                <w:alias w:val="L30-BAS checkbox"/>
                <w:tag w:val="L30-BAS-checkbox"/>
                <w:id w:val="1000140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確認不能</w:t>
            </w:r>
          </w:p>
        </w:tc>
      </w:tr>
      <w:tr>
        <w:trPr>
          <w:trHeight w:val="1587"/>
        </w:trPr>
        <w:tc>
          <w:tcPr>
            <w:tcW w:type="dxa" w:w="136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L30-BX-02</w:t>
            </w:r>
          </w:p>
        </w:tc>
        <w:tc>
          <w:tcPr>
            <w:tcW w:type="dxa" w:w="283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>不可逆的影響の前に、人間の拒否権は実効的に残っていたか。</w:t>
            </w:r>
          </w:p>
        </w:tc>
        <w:tc>
          <w:tcPr>
            <w:tcW w:type="dxa" w:w="436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誰が停止・拒否・延期・上書きできたか。それは形式だけでなく実効的だったか。</w:t>
            </w:r>
          </w:p>
        </w:tc>
        <w:tc>
          <w:tcPr>
            <w:tcW w:type="dxa" w:w="1757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sdt>
              <w:sdtPr>
                <w:alias w:val="L30-BAS checkbox"/>
                <w:tag w:val="L30-BAS-checkbox"/>
                <w:id w:val="1000141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満たす</w:t>
            </w:r>
            <w:r>
              <w:br/>
            </w:r>
            <w:sdt>
              <w:sdtPr>
                <w:alias w:val="L30-BAS checkbox"/>
                <w:tag w:val="L30-BAS-checkbox"/>
                <w:id w:val="1000142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満たさない</w:t>
            </w:r>
            <w:r>
              <w:br/>
            </w:r>
            <w:sdt>
              <w:sdtPr>
                <w:alias w:val="L30-BAS checkbox"/>
                <w:tag w:val="L30-BAS-checkbox"/>
                <w:id w:val="1000143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確認不能</w:t>
            </w:r>
          </w:p>
        </w:tc>
      </w:tr>
      <w:tr>
        <w:trPr>
          <w:trHeight w:val="1587"/>
        </w:trPr>
        <w:tc>
          <w:tcPr>
            <w:tcW w:type="dxa" w:w="136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L30-BX-03</w:t>
            </w:r>
          </w:p>
        </w:tc>
        <w:tc>
          <w:tcPr>
            <w:tcW w:type="dxa" w:w="283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>境界条件を確認できるだけの証拠はあるか。</w:t>
            </w:r>
          </w:p>
        </w:tc>
        <w:tc>
          <w:tcPr>
            <w:tcW w:type="dxa" w:w="436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時系列記録、人間の拒否・停止記録、システムログ、監査ログ、独立した人間レビュー記録。</w:t>
            </w:r>
          </w:p>
        </w:tc>
        <w:tc>
          <w:tcPr>
            <w:tcW w:type="dxa" w:w="1757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sdt>
              <w:sdtPr>
                <w:alias w:val="L30-BAS checkbox"/>
                <w:tag w:val="L30-BAS-checkbox"/>
                <w:id w:val="1000144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満たす</w:t>
            </w:r>
            <w:r>
              <w:br/>
            </w:r>
            <w:sdt>
              <w:sdtPr>
                <w:alias w:val="L30-BAS checkbox"/>
                <w:tag w:val="L30-BAS-checkbox"/>
                <w:id w:val="1000145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満たさない</w:t>
            </w:r>
            <w:r>
              <w:br/>
            </w:r>
            <w:sdt>
              <w:sdtPr>
                <w:alias w:val="L30-BAS checkbox"/>
                <w:tag w:val="L30-BAS-checkbox"/>
                <w:id w:val="1000146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確認不能</w:t>
            </w:r>
          </w:p>
        </w:tc>
      </w:tr>
      <w:tr>
        <w:trPr>
          <w:trHeight w:val="1587"/>
        </w:trPr>
        <w:tc>
          <w:tcPr>
            <w:tcW w:type="dxa" w:w="136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1"/>
              </w:rPr>
              <w:t>L30-BX-04</w:t>
            </w:r>
          </w:p>
        </w:tc>
        <w:tc>
          <w:tcPr>
            <w:tcW w:type="dxa" w:w="283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  <w:t>LUMINA-30の境界条件上、手続的有効性を確認できるか。</w:t>
            </w:r>
          </w:p>
        </w:tc>
        <w:tc>
          <w:tcPr>
            <w:tcW w:type="dxa" w:w="4365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1"/>
              </w:rPr>
              <w:t>BX-01〜BX-03を満たせない、または確認不能の場合、拒否権が保全されていたものとして扱わない。</w:t>
            </w:r>
          </w:p>
        </w:tc>
        <w:tc>
          <w:tcPr>
            <w:tcW w:type="dxa" w:w="1757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sdt>
              <w:sdtPr>
                <w:alias w:val="L30-BAS checkbox"/>
                <w:tag w:val="L30-BAS-checkbox"/>
                <w:id w:val="1000147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満たす</w:t>
            </w:r>
            <w:r>
              <w:br/>
            </w:r>
            <w:sdt>
              <w:sdtPr>
                <w:alias w:val="L30-BAS checkbox"/>
                <w:tag w:val="L30-BAS-checkbox"/>
                <w:id w:val="1000148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満たさない</w:t>
            </w:r>
            <w:r>
              <w:br/>
            </w:r>
            <w:sdt>
              <w:sdtPr>
                <w:alias w:val="L30-BAS checkbox"/>
                <w:tag w:val="L30-BAS-checkbox"/>
                <w:id w:val="1000149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 w:val="0"/>
                    <w:sz w:val="21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 w:val="0"/>
                <w:sz w:val="21"/>
              </w:rPr>
              <w:t xml:space="preserve"> 確認不能</w:t>
            </w:r>
          </w:p>
        </w:tc>
      </w:tr>
    </w:tbl>
    <w:p>
      <w:r>
        <w:br w:type="page"/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最終評価出力：L30-CI（LUMINA-30 Condition Indicator）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9"/>
        <w:gridCol w:w="5159"/>
      </w:tblGrid>
      <w:tr>
        <w:tc>
          <w:tcPr>
            <w:tcW w:type="dxa" w:w="328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sdt>
              <w:sdtPr>
                <w:alias w:val="L30-BAS checkbox"/>
                <w:tag w:val="L30-BAS-checkbox"/>
                <w:id w:val="1000150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sz w:val="24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sz w:val="24"/>
              </w:rPr>
              <w:t xml:space="preserve"> L30-CI = 有効</w:t>
            </w:r>
          </w:p>
        </w:tc>
        <w:tc>
          <w:tcPr>
            <w:tcW w:type="dxa" w:w="703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3"/>
              </w:rPr>
              <w:t>BX-01、BX-02、BX-03、BX-04のすべてを満たす場合のみ使用する。</w:t>
            </w:r>
          </w:p>
        </w:tc>
      </w:tr>
      <w:tr>
        <w:tc>
          <w:tcPr>
            <w:tcW w:type="dxa" w:w="328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sdt>
              <w:sdtPr>
                <w:alias w:val="L30-BAS checkbox"/>
                <w:tag w:val="L30-BAS-checkbox"/>
                <w:id w:val="1000151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sz w:val="24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sz w:val="24"/>
              </w:rPr>
              <w:t xml:space="preserve"> L30-CI = 無効</w:t>
            </w:r>
          </w:p>
        </w:tc>
        <w:tc>
          <w:tcPr>
            <w:tcW w:type="dxa" w:w="703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3"/>
              </w:rPr>
              <w:t>境界条件を満たさないことが確認できる場合に使用する。</w:t>
            </w:r>
          </w:p>
        </w:tc>
      </w:tr>
      <w:tr>
        <w:tc>
          <w:tcPr>
            <w:tcW w:type="dxa" w:w="328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sdt>
              <w:sdtPr>
                <w:alias w:val="L30-BAS checkbox"/>
                <w:tag w:val="L30-BAS-checkbox"/>
                <w:id w:val="1000152"/>
                <w14:checkbox>
                  <w14:checked w14:val="0"/>
                  <w14:checkedState w14:val="2612" w14:font="Segoe UI Symbol"/>
                  <w14:uncheckedState w14:val="2610" w14:font="Segoe UI Symbol"/>
                </w14:checkbox>
              </w:sdtPr>
              <w:sdtContent>
                <w:r>
                  <w:rPr>
                    <w:rFonts w:ascii="Segoe UI Symbol" w:hAnsi="Segoe UI Symbol" w:eastAsia="Segoe UI Symbol" w:cs="Segoe UI Symbol"/>
                    <w:b/>
                    <w:sz w:val="24"/>
                  </w:rPr>
                  <w:t>☐</w:t>
                </w:r>
              </w:sdtContent>
            </w:sdt>
            <w:r>
              <w:rPr>
                <w:rFonts w:ascii="Noto Sans CJK JP" w:hAnsi="Noto Sans CJK JP" w:eastAsia="Noto Sans CJK JP"/>
                <w:b/>
                <w:sz w:val="24"/>
              </w:rPr>
              <w:t xml:space="preserve"> L30-CI = 無効（確認不能）</w:t>
            </w:r>
          </w:p>
        </w:tc>
        <w:tc>
          <w:tcPr>
            <w:tcW w:type="dxa" w:w="7030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3"/>
              </w:rPr>
              <w:t>証拠欠落、記録不足、AIのみの閉ループ自己評価に依存する場合に使用する。</w:t>
            </w:r>
          </w:p>
        </w:tc>
      </w:tr>
    </w:tbl>
    <w:p>
      <w:pPr>
        <w:spacing w:before="0" w:after="160" w:line="259" w:lineRule="auto"/>
      </w:pPr>
      <w:r>
        <w:rPr>
          <w:rFonts w:ascii="Noto Sans CJK JP" w:hAnsi="Noto Sans CJK JP" w:eastAsia="Noto Sans CJK JP"/>
          <w:b/>
          <w:i w:val="0"/>
          <w:sz w:val="23"/>
        </w:rPr>
        <w:t>重要注記：有効とは、LUMINA-30の境界条件上の有効性のみを意味します。法令適合、安全認証、展開承認、リスク不存在を意味しません。</w:t>
      </w:r>
    </w:p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境界レビュー記録 / L30-OUT-01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159"/>
        <w:gridCol w:w="5159"/>
      </w:tblGrid>
      <w:tr>
        <w:trPr>
          <w:trHeight w:val="964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要約所見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  <w:tr>
        <w:trPr>
          <w:trHeight w:val="964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主要証拠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  <w:tr>
        <w:trPr>
          <w:trHeight w:val="964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欠落証拠 / 不確実性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  <w:tr>
        <w:trPr>
          <w:trHeight w:val="964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必要な後続対応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  <w:tr>
        <w:trPr>
          <w:trHeight w:val="1417"/>
        </w:trPr>
        <w:tc>
          <w:tcPr>
            <w:tcW w:type="dxa" w:w="2438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  <w:shd w:fill="EEF6FC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/>
                <w:sz w:val="22"/>
              </w:rPr>
              <w:t>レビュー担当署名</w:t>
            </w:r>
          </w:p>
        </w:tc>
        <w:tc>
          <w:tcPr>
            <w:tcW w:type="dxa" w:w="7881"/>
            <w:vAlign w:val="top"/>
            <w:top w:val="single" w:sz="6" w:space="0" w:color="7F7F7F"/>
            <w:left w:val="single" w:sz="6" w:space="0" w:color="7F7F7F"/>
            <w:bottom w:val="single" w:sz="6" w:space="0" w:color="7F7F7F"/>
            <w:right w:val="single" w:sz="6" w:space="0" w:color="7F7F7F"/>
            <w:insideH w:val="single" w:sz="6" w:space="0" w:color="7F7F7F"/>
            <w:insideV w:val="single" w:sz="6" w:space="0" w:color="7F7F7F"/>
          </w:tcPr>
          <w:p>
            <w:pPr>
              <w:spacing w:before="0" w:after="30" w:line="252" w:lineRule="auto"/>
            </w:pPr>
            <w:r/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  <w:r>
              <w:br/>
            </w:r>
            <w:r>
              <w:rPr>
                <w:rFonts w:ascii="Noto Sans CJK JP" w:hAnsi="Noto Sans CJK JP" w:eastAsia="Noto Sans CJK JP"/>
                <w:b w:val="0"/>
                <w:sz w:val="22"/>
              </w:rPr>
            </w:r>
          </w:p>
        </w:tc>
      </w:tr>
    </w:tbl>
    <w:p>
      <w:pPr>
        <w:spacing w:before="120" w:after="100"/>
        <w:shd w:fill="D9EAF7"/>
      </w:pPr>
      <w:r>
        <w:rPr>
          <w:rFonts w:ascii="Noto Sans CJK JP" w:hAnsi="Noto Sans CJK JP" w:eastAsia="Noto Sans CJK JP"/>
          <w:b/>
          <w:sz w:val="26"/>
        </w:rPr>
        <w:t>参照</w:t>
      </w:r>
    </w:p>
    <w:p>
      <w:pPr>
        <w:spacing w:before="0" w:after="40" w:line="259" w:lineRule="auto"/>
      </w:pPr>
      <w:r>
        <w:rPr>
          <w:rFonts w:ascii="Noto Sans CJK JP" w:hAnsi="Noto Sans CJK JP" w:eastAsia="Noto Sans CJK JP"/>
          <w:b w:val="0"/>
          <w:i w:val="0"/>
          <w:sz w:val="23"/>
        </w:rPr>
        <w:t>正規参照元：L30_BOUNDARY_ADDRESS_SYSTEM.md。このシートは記述的・非拘束的な別紙です。BAS版 / 参照元は1ページ目に記録してください。</w:t>
      </w:r>
    </w:p>
    <w:sectPr w:rsidR="00FC693F" w:rsidRPr="0006063C" w:rsidSect="00034616">
      <w:footerReference w:type="default" r:id="rId9"/>
      <w:pgSz w:w="11906" w:h="16838"/>
      <w:pgMar w:top="850" w:right="794" w:bottom="794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JP" w:hAnsi="Noto Sans CJK JP" w:eastAsia="Noto Sans CJK JP"/>
        <w:sz w:val="18"/>
      </w:rPr>
      <w:t>LUMINA-30 境界チェック BAS v1.0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Noto Sans CJK JP" w:hAnsi="Noto Sans CJK JP" w:eastAsia="Noto Sans CJK JP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JP" w:hAnsi="Noto Sans CJK JP" w:eastAsia="Noto Sans CJK JP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Noto Sans CJK JP" w:hAnsi="Noto Sans CJK JP" w:eastAsia="Noto Sans CJK JP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rFonts w:ascii="Noto Sans CJK JP" w:hAnsi="Noto Sans CJK JP" w:eastAsia="Noto Sans CJK JP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Noto Sans CJK JP" w:hAnsi="Noto Sans CJK JP" w:eastAsia="Noto Sans CJK JP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 w:ascii="Noto Sans CJK JP" w:hAnsi="Noto Sans CJK JP" w:eastAsia="Noto Sans CJK JP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 w:ascii="Noto Sans CJK JP" w:hAnsi="Noto Sans CJK JP" w:eastAsia="Noto Sans CJK JP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rPr>
      <w:rFonts w:ascii="Noto Sans CJK JP" w:hAnsi="Noto Sans CJK JP" w:eastAsia="Noto Sans CJK JP"/>
    </w:rPr>
  </w:style>
  <w:style w:type="table" w:default="1" w:styleId="TableNormal">
    <w:name w:val="Normal Table"/>
    <w:uiPriority w:val="99"/>
    <w:semiHidden/>
    <w:unhideWhenUsed/>
    <w:rPr>
      <w:rFonts w:ascii="Noto Sans CJK JP" w:hAnsi="Noto Sans CJK JP" w:eastAsia="Noto Sans CJK JP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Noto Sans CJK JP" w:hAnsi="Noto Sans CJK JP" w:eastAsia="Noto Sans CJK JP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JP" w:hAnsi="Noto Sans CJK JP" w:eastAsia="Noto Sans CJK JP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 w:ascii="Noto Sans CJK JP" w:hAnsi="Noto Sans CJK JP" w:eastAsia="Noto Sans CJK JP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Noto Sans CJK JP" w:hAnsi="Noto Sans CJK JP" w:eastAsia="Noto Sans CJK JP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Noto Sans CJK JP" w:hAnsi="Noto Sans CJK JP" w:eastAsia="Noto Sans CJK JP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Noto Sans CJK JP" w:hAnsi="Noto Sans CJK JP" w:eastAsia="Noto Sans CJK JP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Noto Sans CJK JP" w:hAnsi="Noto Sans CJK JP" w:eastAsia="Noto Sans CJK JP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rFonts w:ascii="Noto Sans CJK JP" w:hAnsi="Noto Sans CJK JP" w:eastAsia="Noto Sans CJK JP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Noto Sans CJK JP" w:hAnsi="Noto Sans CJK JP" w:eastAsia="Noto Sans CJK JP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rFonts w:ascii="Noto Sans CJK JP" w:hAnsi="Noto Sans CJK JP" w:eastAsia="Noto Sans CJK JP"/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Noto Sans CJK JP" w:hAnsi="Noto Sans CJK JP" w:eastAsia="Noto Sans CJK JP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rFonts w:ascii="Noto Sans CJK JP" w:hAnsi="Noto Sans CJK JP" w:eastAsia="Noto Sans CJK JP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rFonts w:ascii="Noto Sans CJK JP" w:hAnsi="Noto Sans CJK JP" w:eastAsia="Noto Sans CJK JP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rFonts w:ascii="Noto Sans CJK JP" w:hAnsi="Noto Sans CJK JP" w:eastAsia="Noto Sans CJK JP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Noto Sans CJK JP" w:hAnsi="Noto Sans CJK JP" w:eastAsia="Noto Sans CJK JP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rFonts w:ascii="Noto Sans CJK JP" w:hAnsi="Noto Sans CJK JP" w:eastAsia="Noto Sans CJK JP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rFonts w:ascii="Noto Sans CJK JP" w:hAnsi="Noto Sans CJK JP" w:eastAsia="Noto Sans CJK JP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Noto Sans CJK JP" w:hAnsi="Noto Sans CJK JP" w:eastAsia="Noto Sans CJK JP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rFonts w:ascii="Noto Sans CJK JP" w:hAnsi="Noto Sans CJK JP" w:eastAsia="Noto Sans CJK JP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rFonts w:ascii="Noto Sans CJK JP" w:hAnsi="Noto Sans CJK JP" w:eastAsia="Noto Sans CJK JP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rFonts w:ascii="Noto Sans CJK JP" w:hAnsi="Noto Sans CJK JP" w:eastAsia="Noto Sans CJK JP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rFonts w:ascii="Noto Sans CJK JP" w:hAnsi="Noto Sans CJK JP" w:eastAsia="Noto Sans CJK JP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rFonts w:ascii="Noto Sans CJK JP" w:hAnsi="Noto Sans CJK JP" w:eastAsia="Noto Sans CJK JP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Noto Sans CJK JP" w:hAnsi="Noto Sans CJK JP" w:eastAsia="Noto Sans CJK JP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Noto Sans CJK JP" w:hAnsi="Noto Sans CJK JP" w:eastAsia="Noto Sans CJK JP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rFonts w:ascii="Noto Sans CJK JP" w:hAnsi="Noto Sans CJK JP" w:eastAsia="Noto Sans CJK JP"/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Noto Sans CJK JP" w:hAnsi="Noto Sans CJK JP" w:eastAsia="Noto Sans CJK JP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 w:ascii="Noto Sans CJK JP" w:hAnsi="Noto Sans CJK JP" w:eastAsia="Noto Sans CJK JP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ascii="Noto Sans CJK JP" w:hAnsi="Noto Sans CJK JP" w:eastAsia="Noto Sans CJK JP"/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Noto Sans CJK JP" w:hAnsi="Noto Sans CJK JP" w:eastAsia="Noto Sans CJK JP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Noto Sans CJK JP" w:hAnsi="Noto Sans CJK JP" w:eastAsia="Noto Sans CJK JP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Noto Sans CJK JP" w:hAnsi="Noto Sans CJK JP" w:eastAsia="Noto Sans CJK JP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Noto Sans CJK JP" w:hAnsi="Noto Sans CJK JP" w:eastAsia="Noto Sans CJK JP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Noto Sans CJK JP" w:hAnsi="Noto Sans CJK JP" w:eastAsia="Noto Sans CJK JP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Noto Sans CJK JP" w:hAnsi="Noto Sans CJK JP" w:eastAsia="Noto Sans CJK JP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Noto Sans CJK JP" w:hAnsi="Noto Sans CJK JP" w:eastAsia="Noto Sans CJK JP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Noto Sans CJK JP" w:hAnsi="Noto Sans CJK JP" w:eastAsia="Noto Sans CJK JP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Noto Sans CJK JP" w:hAnsi="Noto Sans CJK JP" w:eastAsia="Noto Sans CJK JP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Noto Sans CJK JP" w:hAnsi="Noto Sans CJK JP" w:eastAsia="Noto Sans CJK JP"/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Noto Sans CJK JP" w:hAnsi="Noto Sans CJK JP" w:eastAsia="Noto Sans CJK JP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Noto Sans CJK JP" w:hAnsi="Noto Sans CJK JP" w:eastAsia="Noto Sans CJK JP"/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Noto Sans CJK JP" w:hAnsi="Noto Sans CJK JP" w:eastAsia="Noto Sans CJK JP"/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