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AE4A9" w14:textId="723F5F3A" w:rsidR="002908C0" w:rsidRPr="00F903B7" w:rsidRDefault="00335036" w:rsidP="002908C0">
      <w:pPr>
        <w:spacing w:before="80"/>
        <w:ind w:left="3019" w:right="2294" w:hanging="707"/>
        <w:jc w:val="center"/>
        <w:rPr>
          <w:b/>
          <w:sz w:val="24"/>
        </w:rPr>
      </w:pPr>
      <w:r w:rsidRPr="00F903B7">
        <w:rPr>
          <w:b/>
          <w:sz w:val="24"/>
        </w:rPr>
        <w:t xml:space="preserve">MOE </w:t>
      </w:r>
      <w:r w:rsidR="00CF23C8">
        <w:rPr>
          <w:b/>
          <w:sz w:val="24"/>
        </w:rPr>
        <w:t xml:space="preserve">Ligand RMSD Calculation </w:t>
      </w:r>
      <w:r w:rsidRPr="00F903B7">
        <w:rPr>
          <w:b/>
          <w:sz w:val="24"/>
        </w:rPr>
        <w:t>Tutorial</w:t>
      </w:r>
    </w:p>
    <w:p w14:paraId="3E1BB819" w14:textId="4EBD53C4" w:rsidR="002908C0" w:rsidRPr="00F903B7" w:rsidRDefault="00EE41A8" w:rsidP="002908C0">
      <w:pPr>
        <w:spacing w:before="80"/>
        <w:ind w:left="3019" w:right="2294" w:hanging="707"/>
        <w:jc w:val="center"/>
        <w:rPr>
          <w:b/>
          <w:sz w:val="24"/>
        </w:rPr>
      </w:pPr>
      <w:r w:rsidRPr="00F903B7">
        <w:rPr>
          <w:b/>
          <w:sz w:val="24"/>
        </w:rPr>
        <w:t>(as of</w:t>
      </w:r>
      <w:r w:rsidR="002908C0" w:rsidRPr="00F903B7">
        <w:rPr>
          <w:b/>
          <w:sz w:val="24"/>
        </w:rPr>
        <w:t xml:space="preserve"> </w:t>
      </w:r>
      <w:r w:rsidR="00CF23C8">
        <w:rPr>
          <w:b/>
          <w:sz w:val="24"/>
        </w:rPr>
        <w:t>7</w:t>
      </w:r>
      <w:r w:rsidR="00335036" w:rsidRPr="00F903B7">
        <w:rPr>
          <w:b/>
          <w:sz w:val="24"/>
        </w:rPr>
        <w:t>/</w:t>
      </w:r>
      <w:r w:rsidR="00CF23C8">
        <w:rPr>
          <w:b/>
          <w:sz w:val="24"/>
        </w:rPr>
        <w:t>20</w:t>
      </w:r>
      <w:r w:rsidR="00335036" w:rsidRPr="00F903B7">
        <w:rPr>
          <w:b/>
          <w:sz w:val="24"/>
        </w:rPr>
        <w:t>/2</w:t>
      </w:r>
      <w:r w:rsidR="00CF23C8">
        <w:rPr>
          <w:b/>
          <w:sz w:val="24"/>
        </w:rPr>
        <w:t>1</w:t>
      </w:r>
      <w:r w:rsidRPr="00F903B7">
        <w:rPr>
          <w:b/>
          <w:sz w:val="24"/>
        </w:rPr>
        <w:t>)</w:t>
      </w:r>
    </w:p>
    <w:p w14:paraId="182AD75A" w14:textId="6A25903F" w:rsidR="00D66107" w:rsidRPr="00F903B7" w:rsidRDefault="00D66107" w:rsidP="002908C0">
      <w:pPr>
        <w:spacing w:before="80"/>
        <w:ind w:left="3019" w:right="2294" w:hanging="707"/>
        <w:jc w:val="center"/>
        <w:rPr>
          <w:b/>
          <w:sz w:val="24"/>
        </w:rPr>
      </w:pPr>
      <w:r w:rsidRPr="00F903B7">
        <w:rPr>
          <w:b/>
          <w:sz w:val="24"/>
        </w:rPr>
        <w:t>Author: Greg Szwabowski</w:t>
      </w:r>
    </w:p>
    <w:p w14:paraId="6C15A9C9" w14:textId="50267E24" w:rsidR="00D66107" w:rsidRPr="00F903B7" w:rsidRDefault="00D66107">
      <w:pPr>
        <w:spacing w:before="80"/>
        <w:ind w:left="3019" w:right="2294" w:hanging="707"/>
        <w:rPr>
          <w:b/>
          <w:sz w:val="24"/>
        </w:rPr>
      </w:pPr>
    </w:p>
    <w:p w14:paraId="66E38053" w14:textId="77777777" w:rsidR="003E0BB8" w:rsidRPr="00F903B7" w:rsidRDefault="003E0BB8">
      <w:pPr>
        <w:pStyle w:val="BodyText"/>
        <w:spacing w:before="8"/>
        <w:rPr>
          <w:b/>
          <w:sz w:val="21"/>
        </w:rPr>
      </w:pPr>
    </w:p>
    <w:p w14:paraId="7ED569C0" w14:textId="7887068B" w:rsidR="003019D7" w:rsidRDefault="00BD65C5" w:rsidP="003019D7">
      <w:pPr>
        <w:pStyle w:val="BodyText"/>
        <w:spacing w:before="1"/>
        <w:ind w:left="219" w:right="215"/>
      </w:pPr>
      <w:r w:rsidRPr="00F903B7">
        <w:t xml:space="preserve">The following table </w:t>
      </w:r>
      <w:r w:rsidR="00EE41A8" w:rsidRPr="00F903B7">
        <w:t xml:space="preserve">outlines the steps required to </w:t>
      </w:r>
      <w:r w:rsidR="00AB471E">
        <w:t xml:space="preserve">calculate ligand RMSD values </w:t>
      </w:r>
      <w:r w:rsidR="00932C10">
        <w:t xml:space="preserve">when comparing </w:t>
      </w:r>
      <w:r w:rsidR="00AB471E">
        <w:t>a</w:t>
      </w:r>
      <w:r w:rsidR="00E17513">
        <w:t xml:space="preserve"> </w:t>
      </w:r>
      <w:r w:rsidR="00AB471E">
        <w:t>database</w:t>
      </w:r>
      <w:r w:rsidR="00E17513">
        <w:t xml:space="preserve"> </w:t>
      </w:r>
      <w:r w:rsidR="00932C10">
        <w:t>of</w:t>
      </w:r>
      <w:r w:rsidR="00E17513">
        <w:t xml:space="preserve"> docking results</w:t>
      </w:r>
      <w:r w:rsidR="00932C10">
        <w:t xml:space="preserve"> to a reference crystal structure</w:t>
      </w:r>
      <w:r w:rsidR="00EE41A8" w:rsidRPr="00F903B7">
        <w:t>.</w:t>
      </w:r>
      <w:r w:rsidR="00E17513">
        <w:t xml:space="preserve"> </w:t>
      </w:r>
      <w:r w:rsidR="00DF104E">
        <w:t xml:space="preserve">The </w:t>
      </w:r>
      <w:proofErr w:type="spellStart"/>
      <w:r w:rsidR="00DF104E">
        <w:t>ligandrmsd.svl</w:t>
      </w:r>
      <w:proofErr w:type="spellEnd"/>
      <w:r w:rsidR="00DF104E">
        <w:t xml:space="preserve"> script </w:t>
      </w:r>
      <w:r w:rsidR="003B0DC6">
        <w:t xml:space="preserve">as well as example files to run the script with </w:t>
      </w:r>
      <w:r w:rsidR="00DF104E">
        <w:t xml:space="preserve">can be found in the </w:t>
      </w:r>
      <w:r w:rsidR="008C56B2">
        <w:t xml:space="preserve">.zip file </w:t>
      </w:r>
      <w:r w:rsidR="00D963F8">
        <w:t>available</w:t>
      </w:r>
      <w:r w:rsidR="003B0DC6">
        <w:t xml:space="preserve"> at </w:t>
      </w:r>
      <w:hyperlink r:id="rId7" w:history="1">
        <w:r w:rsidR="00BB302A" w:rsidRPr="00D22C45">
          <w:rPr>
            <w:rStyle w:val="Hyperlink"/>
          </w:rPr>
          <w:t>https://github.com/gszwabowski/guides/blob/master/ligand_RMSD_tutorial_files.zip</w:t>
        </w:r>
      </w:hyperlink>
      <w:r w:rsidR="00BB302A">
        <w:t xml:space="preserve"> </w:t>
      </w:r>
    </w:p>
    <w:p w14:paraId="3B3F5302" w14:textId="77777777" w:rsidR="00BB302A" w:rsidRPr="003019D7" w:rsidRDefault="00BB302A" w:rsidP="003019D7">
      <w:pPr>
        <w:pStyle w:val="BodyText"/>
        <w:spacing w:before="1"/>
        <w:ind w:left="219" w:right="215"/>
      </w:pPr>
    </w:p>
    <w:tbl>
      <w:tblPr>
        <w:tblW w:w="0" w:type="auto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3825"/>
        <w:gridCol w:w="4608"/>
      </w:tblGrid>
      <w:tr w:rsidR="003E0BB8" w:rsidRPr="00F903B7" w14:paraId="3C536791" w14:textId="77777777" w:rsidTr="008F20BE">
        <w:trPr>
          <w:trHeight w:val="275"/>
        </w:trPr>
        <w:tc>
          <w:tcPr>
            <w:tcW w:w="630" w:type="dxa"/>
          </w:tcPr>
          <w:p w14:paraId="53A7D8C9" w14:textId="1CBA816C" w:rsidR="003E0BB8" w:rsidRPr="00F903B7" w:rsidRDefault="00EE41A8">
            <w:pPr>
              <w:pStyle w:val="TableParagraph"/>
              <w:spacing w:line="256" w:lineRule="exact"/>
              <w:rPr>
                <w:b/>
                <w:sz w:val="24"/>
              </w:rPr>
            </w:pPr>
            <w:r w:rsidRPr="00F903B7">
              <w:rPr>
                <w:b/>
                <w:sz w:val="24"/>
              </w:rPr>
              <w:t>Step</w:t>
            </w:r>
          </w:p>
        </w:tc>
        <w:tc>
          <w:tcPr>
            <w:tcW w:w="3825" w:type="dxa"/>
          </w:tcPr>
          <w:p w14:paraId="693486F6" w14:textId="3BCDD491" w:rsidR="003E0BB8" w:rsidRPr="00F903B7" w:rsidRDefault="00EE41A8">
            <w:pPr>
              <w:pStyle w:val="TableParagraph"/>
              <w:ind w:left="0"/>
              <w:rPr>
                <w:b/>
                <w:bCs/>
                <w:sz w:val="24"/>
                <w:szCs w:val="28"/>
              </w:rPr>
            </w:pPr>
            <w:r w:rsidRPr="00F903B7">
              <w:rPr>
                <w:b/>
                <w:bCs/>
                <w:sz w:val="24"/>
                <w:szCs w:val="28"/>
              </w:rPr>
              <w:t>Description</w:t>
            </w:r>
          </w:p>
        </w:tc>
        <w:tc>
          <w:tcPr>
            <w:tcW w:w="4608" w:type="dxa"/>
          </w:tcPr>
          <w:p w14:paraId="1F2A7EE9" w14:textId="63E72827" w:rsidR="003E0BB8" w:rsidRPr="00F903B7" w:rsidRDefault="00EE41A8">
            <w:pPr>
              <w:pStyle w:val="TableParagraph"/>
              <w:ind w:left="0"/>
              <w:rPr>
                <w:b/>
                <w:bCs/>
                <w:sz w:val="24"/>
                <w:szCs w:val="28"/>
              </w:rPr>
            </w:pPr>
            <w:r w:rsidRPr="00F903B7">
              <w:rPr>
                <w:b/>
                <w:bCs/>
                <w:sz w:val="24"/>
                <w:szCs w:val="28"/>
              </w:rPr>
              <w:t>Figure</w:t>
            </w:r>
          </w:p>
        </w:tc>
      </w:tr>
      <w:tr w:rsidR="003E0BB8" w:rsidRPr="00F903B7" w14:paraId="19F837FC" w14:textId="77777777" w:rsidTr="008F20BE">
        <w:trPr>
          <w:trHeight w:val="275"/>
        </w:trPr>
        <w:tc>
          <w:tcPr>
            <w:tcW w:w="630" w:type="dxa"/>
          </w:tcPr>
          <w:p w14:paraId="66B904FC" w14:textId="04C3DBF8" w:rsidR="003E0BB8" w:rsidRPr="00F903B7" w:rsidRDefault="002C026A" w:rsidP="002C026A">
            <w:pPr>
              <w:pStyle w:val="TableParagraph"/>
              <w:spacing w:line="256" w:lineRule="exact"/>
              <w:ind w:left="0"/>
              <w:jc w:val="center"/>
              <w:rPr>
                <w:bCs/>
                <w:sz w:val="24"/>
              </w:rPr>
            </w:pPr>
            <w:r>
              <w:rPr>
                <w:bCs/>
                <w:sz w:val="20"/>
                <w:szCs w:val="18"/>
              </w:rPr>
              <w:t>1</w:t>
            </w:r>
          </w:p>
        </w:tc>
        <w:tc>
          <w:tcPr>
            <w:tcW w:w="3825" w:type="dxa"/>
          </w:tcPr>
          <w:p w14:paraId="6301132F" w14:textId="1433ADE7" w:rsidR="003E0BB8" w:rsidRPr="00B402F3" w:rsidRDefault="009150EB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To begin, you should </w:t>
            </w:r>
            <w:r w:rsidR="00370EED">
              <w:rPr>
                <w:sz w:val="20"/>
              </w:rPr>
              <w:t>ensure that both the reference crystal structure (saved as a .</w:t>
            </w:r>
            <w:proofErr w:type="spellStart"/>
            <w:r w:rsidR="00370EED">
              <w:rPr>
                <w:sz w:val="20"/>
              </w:rPr>
              <w:t>moe</w:t>
            </w:r>
            <w:proofErr w:type="spellEnd"/>
            <w:r w:rsidR="00370EED">
              <w:rPr>
                <w:sz w:val="20"/>
              </w:rPr>
              <w:t xml:space="preserve"> or .</w:t>
            </w:r>
            <w:proofErr w:type="spellStart"/>
            <w:r w:rsidR="00370EED">
              <w:rPr>
                <w:sz w:val="20"/>
              </w:rPr>
              <w:t>pdb</w:t>
            </w:r>
            <w:proofErr w:type="spellEnd"/>
            <w:r w:rsidR="00370EED">
              <w:rPr>
                <w:sz w:val="20"/>
              </w:rPr>
              <w:t xml:space="preserve"> file) and </w:t>
            </w:r>
            <w:r w:rsidR="001A617E">
              <w:rPr>
                <w:sz w:val="20"/>
              </w:rPr>
              <w:t xml:space="preserve">database containing docking results </w:t>
            </w:r>
            <w:r w:rsidR="00A943DF">
              <w:rPr>
                <w:sz w:val="20"/>
              </w:rPr>
              <w:t>(ending in .</w:t>
            </w:r>
            <w:proofErr w:type="spellStart"/>
            <w:r w:rsidR="00A943DF">
              <w:rPr>
                <w:sz w:val="20"/>
              </w:rPr>
              <w:t>mdb</w:t>
            </w:r>
            <w:proofErr w:type="spellEnd"/>
            <w:r w:rsidR="00A943DF">
              <w:rPr>
                <w:sz w:val="20"/>
              </w:rPr>
              <w:t xml:space="preserve">) are contained within the same folder. In MOE, navigate to this folder and </w:t>
            </w:r>
            <w:r w:rsidR="004C40DF">
              <w:rPr>
                <w:sz w:val="20"/>
              </w:rPr>
              <w:t xml:space="preserve">set your current working directory with the </w:t>
            </w:r>
            <w:r w:rsidR="004C40DF" w:rsidRPr="004C40DF">
              <w:rPr>
                <w:i/>
                <w:iCs/>
                <w:sz w:val="20"/>
              </w:rPr>
              <w:t>CWD</w:t>
            </w:r>
            <w:r w:rsidR="004C40DF">
              <w:rPr>
                <w:i/>
                <w:iCs/>
                <w:sz w:val="20"/>
              </w:rPr>
              <w:t xml:space="preserve"> </w:t>
            </w:r>
            <w:r w:rsidR="004C40DF">
              <w:rPr>
                <w:sz w:val="20"/>
              </w:rPr>
              <w:t>button.</w:t>
            </w:r>
            <w:r w:rsidR="009B1DFD">
              <w:rPr>
                <w:sz w:val="20"/>
              </w:rPr>
              <w:t xml:space="preserve"> </w:t>
            </w:r>
          </w:p>
        </w:tc>
        <w:tc>
          <w:tcPr>
            <w:tcW w:w="4608" w:type="dxa"/>
          </w:tcPr>
          <w:p w14:paraId="7755C05E" w14:textId="58A80C17" w:rsidR="003E0BB8" w:rsidRPr="00F903B7" w:rsidRDefault="003E0BB8" w:rsidP="00EE41A8">
            <w:pPr>
              <w:pStyle w:val="TableParagraph"/>
              <w:ind w:left="0"/>
              <w:jc w:val="center"/>
              <w:rPr>
                <w:sz w:val="20"/>
              </w:rPr>
            </w:pPr>
          </w:p>
          <w:p w14:paraId="567DF606" w14:textId="36CDB5AB" w:rsidR="00EE41A8" w:rsidRPr="00F903B7" w:rsidRDefault="00481005" w:rsidP="00893D62">
            <w:pPr>
              <w:pStyle w:val="TableParagraph"/>
              <w:ind w:left="0"/>
              <w:rPr>
                <w:sz w:val="20"/>
              </w:rPr>
            </w:pPr>
            <w:r w:rsidRPr="00481005">
              <w:rPr>
                <w:noProof/>
                <w:sz w:val="20"/>
              </w:rPr>
              <w:drawing>
                <wp:inline distT="0" distB="0" distL="0" distR="0" wp14:anchorId="0CBF3232" wp14:editId="1DF5702C">
                  <wp:extent cx="2919730" cy="1960880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730" cy="196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49D189" w14:textId="1A9EBB23" w:rsidR="00EE41A8" w:rsidRPr="00F903B7" w:rsidRDefault="00EE41A8" w:rsidP="00EE41A8">
            <w:pPr>
              <w:pStyle w:val="TableParagraph"/>
              <w:ind w:left="0"/>
              <w:jc w:val="center"/>
              <w:rPr>
                <w:sz w:val="20"/>
              </w:rPr>
            </w:pPr>
          </w:p>
        </w:tc>
      </w:tr>
      <w:tr w:rsidR="00B402F3" w:rsidRPr="00F903B7" w14:paraId="17F4480E" w14:textId="77777777" w:rsidTr="008F20BE">
        <w:trPr>
          <w:trHeight w:val="275"/>
        </w:trPr>
        <w:tc>
          <w:tcPr>
            <w:tcW w:w="630" w:type="dxa"/>
          </w:tcPr>
          <w:p w14:paraId="35236E9D" w14:textId="117CF7A3" w:rsidR="00B402F3" w:rsidRPr="00F903B7" w:rsidRDefault="00B402F3" w:rsidP="002C026A">
            <w:pPr>
              <w:pStyle w:val="TableParagraph"/>
              <w:spacing w:line="256" w:lineRule="exact"/>
              <w:ind w:left="0"/>
              <w:jc w:val="center"/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2</w:t>
            </w:r>
          </w:p>
        </w:tc>
        <w:tc>
          <w:tcPr>
            <w:tcW w:w="3825" w:type="dxa"/>
          </w:tcPr>
          <w:p w14:paraId="2B5742CC" w14:textId="4E90D3DE" w:rsidR="00503636" w:rsidRPr="00FF0BC2" w:rsidRDefault="00A84034" w:rsidP="00481005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>
              <w:rPr>
                <w:i/>
                <w:iCs/>
                <w:sz w:val="20"/>
              </w:rPr>
              <w:t>File</w:t>
            </w:r>
            <w:r>
              <w:rPr>
                <w:sz w:val="20"/>
              </w:rPr>
              <w:t xml:space="preserve"> </w:t>
            </w:r>
            <w:r w:rsidRPr="00A84034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Open</w:t>
            </w:r>
            <w:r w:rsidR="00F73148">
              <w:rPr>
                <w:sz w:val="20"/>
              </w:rPr>
              <w:t xml:space="preserve"> and navigate to where you have downloaded the </w:t>
            </w:r>
            <w:proofErr w:type="spellStart"/>
            <w:r w:rsidR="00F73148">
              <w:rPr>
                <w:sz w:val="20"/>
              </w:rPr>
              <w:t>ligandrmsd.svl</w:t>
            </w:r>
            <w:proofErr w:type="spellEnd"/>
            <w:r w:rsidR="00F73148">
              <w:rPr>
                <w:sz w:val="20"/>
              </w:rPr>
              <w:t xml:space="preserve"> script file. Click the filename</w:t>
            </w:r>
            <w:r w:rsidR="006B2728">
              <w:rPr>
                <w:sz w:val="20"/>
              </w:rPr>
              <w:t xml:space="preserve"> and then click </w:t>
            </w:r>
            <w:r w:rsidR="006B2728">
              <w:rPr>
                <w:i/>
                <w:iCs/>
                <w:sz w:val="20"/>
              </w:rPr>
              <w:t>Edi</w:t>
            </w:r>
            <w:r w:rsidR="00FF0BC2">
              <w:rPr>
                <w:i/>
                <w:iCs/>
                <w:sz w:val="20"/>
              </w:rPr>
              <w:t xml:space="preserve">t. </w:t>
            </w:r>
            <w:r w:rsidR="00FF0BC2">
              <w:rPr>
                <w:sz w:val="20"/>
              </w:rPr>
              <w:t xml:space="preserve">Do not click </w:t>
            </w:r>
            <w:r w:rsidR="00FF0BC2">
              <w:rPr>
                <w:i/>
                <w:iCs/>
                <w:sz w:val="20"/>
              </w:rPr>
              <w:t>OK</w:t>
            </w:r>
            <w:r w:rsidR="00FF0BC2">
              <w:rPr>
                <w:sz w:val="20"/>
              </w:rPr>
              <w:t xml:space="preserve"> as this will result in an error.</w:t>
            </w:r>
          </w:p>
        </w:tc>
        <w:tc>
          <w:tcPr>
            <w:tcW w:w="4608" w:type="dxa"/>
          </w:tcPr>
          <w:p w14:paraId="61176C13" w14:textId="267444E3" w:rsidR="00CD0FEC" w:rsidRDefault="00CD72D3" w:rsidP="00CD72D3">
            <w:pPr>
              <w:pStyle w:val="TableParagraph"/>
              <w:ind w:left="0"/>
              <w:jc w:val="center"/>
              <w:rPr>
                <w:sz w:val="20"/>
              </w:rPr>
            </w:pPr>
            <w:r w:rsidRPr="00CD72D3">
              <w:rPr>
                <w:noProof/>
                <w:sz w:val="20"/>
              </w:rPr>
              <w:drawing>
                <wp:inline distT="0" distB="0" distL="0" distR="0" wp14:anchorId="006FB3C7" wp14:editId="558379E0">
                  <wp:extent cx="2919730" cy="134493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730" cy="134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D036A">
              <w:rPr>
                <w:sz w:val="20"/>
              </w:rPr>
              <w:t xml:space="preserve">   </w:t>
            </w:r>
          </w:p>
          <w:p w14:paraId="4DAA43B5" w14:textId="25B22EA0" w:rsidR="000B1C8B" w:rsidRPr="000B1C8B" w:rsidRDefault="00CD0FEC" w:rsidP="00F4554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</w:p>
        </w:tc>
      </w:tr>
      <w:tr w:rsidR="00FF0BC2" w:rsidRPr="00F903B7" w14:paraId="359B55AC" w14:textId="77777777" w:rsidTr="008F20BE">
        <w:trPr>
          <w:trHeight w:val="275"/>
        </w:trPr>
        <w:tc>
          <w:tcPr>
            <w:tcW w:w="630" w:type="dxa"/>
          </w:tcPr>
          <w:p w14:paraId="60A7899F" w14:textId="23326DEB" w:rsidR="00FF0BC2" w:rsidRDefault="00FF0BC2" w:rsidP="002C026A">
            <w:pPr>
              <w:pStyle w:val="TableParagraph"/>
              <w:spacing w:line="256" w:lineRule="exact"/>
              <w:ind w:left="0"/>
              <w:jc w:val="center"/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3</w:t>
            </w:r>
          </w:p>
        </w:tc>
        <w:tc>
          <w:tcPr>
            <w:tcW w:w="3825" w:type="dxa"/>
          </w:tcPr>
          <w:p w14:paraId="46573B8C" w14:textId="77777777" w:rsidR="00FF0BC2" w:rsidRDefault="00FF0BC2" w:rsidP="00481005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A new window with the </w:t>
            </w:r>
            <w:proofErr w:type="spellStart"/>
            <w:r>
              <w:rPr>
                <w:sz w:val="20"/>
              </w:rPr>
              <w:t>ligandrmsd.svl</w:t>
            </w:r>
            <w:proofErr w:type="spellEnd"/>
            <w:r>
              <w:rPr>
                <w:sz w:val="20"/>
              </w:rPr>
              <w:t xml:space="preserve"> script </w:t>
            </w:r>
            <w:r w:rsidR="00242CEE">
              <w:rPr>
                <w:sz w:val="20"/>
              </w:rPr>
              <w:t xml:space="preserve">loaded into the MOE text editor will appear. From the text editor, click </w:t>
            </w:r>
            <w:r w:rsidR="00E7566C">
              <w:rPr>
                <w:i/>
                <w:iCs/>
                <w:sz w:val="20"/>
              </w:rPr>
              <w:t xml:space="preserve">SVL </w:t>
            </w:r>
            <w:r w:rsidR="00E7566C" w:rsidRPr="00E7566C">
              <w:rPr>
                <w:sz w:val="20"/>
              </w:rPr>
              <w:sym w:font="Wingdings" w:char="F0E0"/>
            </w:r>
            <w:r w:rsidR="00E7566C">
              <w:rPr>
                <w:sz w:val="20"/>
              </w:rPr>
              <w:t xml:space="preserve"> </w:t>
            </w:r>
            <w:r w:rsidR="00E7566C">
              <w:rPr>
                <w:i/>
                <w:iCs/>
                <w:sz w:val="20"/>
              </w:rPr>
              <w:t>Save and Load</w:t>
            </w:r>
            <w:r w:rsidR="00E7566C">
              <w:rPr>
                <w:sz w:val="20"/>
              </w:rPr>
              <w:t>. This will load the script</w:t>
            </w:r>
            <w:r w:rsidR="009036CD">
              <w:rPr>
                <w:sz w:val="20"/>
              </w:rPr>
              <w:t xml:space="preserve">’s functions into MOE and allow you to call them from the SVL </w:t>
            </w:r>
            <w:r w:rsidR="001832D7">
              <w:rPr>
                <w:sz w:val="20"/>
              </w:rPr>
              <w:t>C</w:t>
            </w:r>
            <w:r w:rsidR="009036CD">
              <w:rPr>
                <w:sz w:val="20"/>
              </w:rPr>
              <w:t>ommands window.</w:t>
            </w:r>
          </w:p>
          <w:p w14:paraId="226BD666" w14:textId="77777777" w:rsidR="001832D7" w:rsidRDefault="001832D7" w:rsidP="00481005">
            <w:pPr>
              <w:pStyle w:val="TableParagraph"/>
              <w:ind w:left="0"/>
              <w:rPr>
                <w:sz w:val="20"/>
              </w:rPr>
            </w:pPr>
          </w:p>
          <w:p w14:paraId="16578064" w14:textId="60F1890C" w:rsidR="001832D7" w:rsidRPr="00E7566C" w:rsidRDefault="001832D7" w:rsidP="00481005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Here, you should also take note of the main function of the script</w:t>
            </w:r>
            <w:r w:rsidR="00FF1231">
              <w:rPr>
                <w:sz w:val="20"/>
              </w:rPr>
              <w:t xml:space="preserve"> titled </w:t>
            </w:r>
            <w:proofErr w:type="spellStart"/>
            <w:r w:rsidR="00FF1231" w:rsidRPr="00FF1231">
              <w:rPr>
                <w:rFonts w:ascii="Courier New" w:hAnsi="Courier New" w:cs="Courier New"/>
                <w:sz w:val="20"/>
              </w:rPr>
              <w:t>ligandRMSD</w:t>
            </w:r>
            <w:proofErr w:type="spellEnd"/>
            <w:r w:rsidR="00FF1231">
              <w:rPr>
                <w:sz w:val="20"/>
              </w:rPr>
              <w:t xml:space="preserve"> and its arguments </w:t>
            </w:r>
            <w:proofErr w:type="spellStart"/>
            <w:r w:rsidR="00FF1231" w:rsidRPr="00FF1231">
              <w:rPr>
                <w:rFonts w:ascii="Courier New" w:hAnsi="Courier New" w:cs="Courier New"/>
                <w:sz w:val="20"/>
              </w:rPr>
              <w:t>reference_file</w:t>
            </w:r>
            <w:proofErr w:type="spellEnd"/>
            <w:r w:rsidR="00FF1231">
              <w:rPr>
                <w:sz w:val="20"/>
              </w:rPr>
              <w:t xml:space="preserve">, </w:t>
            </w:r>
            <w:proofErr w:type="spellStart"/>
            <w:r w:rsidR="00FF1231" w:rsidRPr="00FF1231">
              <w:rPr>
                <w:rFonts w:ascii="Courier New" w:hAnsi="Courier New" w:cs="Courier New"/>
                <w:sz w:val="20"/>
              </w:rPr>
              <w:t>database_file</w:t>
            </w:r>
            <w:proofErr w:type="spellEnd"/>
            <w:r w:rsidR="00FF1231">
              <w:rPr>
                <w:sz w:val="20"/>
              </w:rPr>
              <w:t xml:space="preserve">, </w:t>
            </w:r>
            <w:r w:rsidR="00FF1231" w:rsidRPr="00FF1231">
              <w:rPr>
                <w:rFonts w:ascii="Courier New" w:hAnsi="Courier New" w:cs="Courier New"/>
                <w:sz w:val="20"/>
              </w:rPr>
              <w:t>database_field1</w:t>
            </w:r>
            <w:r w:rsidR="00FF1231">
              <w:rPr>
                <w:sz w:val="20"/>
              </w:rPr>
              <w:t xml:space="preserve">, and </w:t>
            </w:r>
            <w:r w:rsidR="00FF1231" w:rsidRPr="00FF1231">
              <w:rPr>
                <w:rFonts w:ascii="Courier New" w:hAnsi="Courier New" w:cs="Courier New"/>
                <w:sz w:val="20"/>
              </w:rPr>
              <w:t>database_field2</w:t>
            </w:r>
            <w:r w:rsidR="00FF1231">
              <w:rPr>
                <w:sz w:val="20"/>
              </w:rPr>
              <w:t>.</w:t>
            </w:r>
          </w:p>
        </w:tc>
        <w:tc>
          <w:tcPr>
            <w:tcW w:w="4608" w:type="dxa"/>
          </w:tcPr>
          <w:p w14:paraId="35E537D2" w14:textId="2393737F" w:rsidR="00FF0BC2" w:rsidRPr="00CD72D3" w:rsidRDefault="00380CF6" w:rsidP="00CD72D3">
            <w:pPr>
              <w:pStyle w:val="TableParagraph"/>
              <w:ind w:left="0"/>
              <w:jc w:val="center"/>
              <w:rPr>
                <w:sz w:val="20"/>
              </w:rPr>
            </w:pPr>
            <w:r w:rsidRPr="00380CF6">
              <w:rPr>
                <w:noProof/>
                <w:sz w:val="20"/>
              </w:rPr>
              <w:drawing>
                <wp:inline distT="0" distB="0" distL="0" distR="0" wp14:anchorId="6AC28C6D" wp14:editId="449221C4">
                  <wp:extent cx="2919730" cy="13862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730" cy="138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B11400" w14:textId="77777777" w:rsidR="00DF7A89" w:rsidRDefault="00DF7A89">
      <w:r>
        <w:br w:type="page"/>
      </w:r>
    </w:p>
    <w:tbl>
      <w:tblPr>
        <w:tblW w:w="0" w:type="auto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3825"/>
        <w:gridCol w:w="4608"/>
      </w:tblGrid>
      <w:tr w:rsidR="00380CF6" w:rsidRPr="00F903B7" w14:paraId="13B1F8AE" w14:textId="77777777" w:rsidTr="008F20BE">
        <w:trPr>
          <w:trHeight w:val="275"/>
        </w:trPr>
        <w:tc>
          <w:tcPr>
            <w:tcW w:w="630" w:type="dxa"/>
          </w:tcPr>
          <w:p w14:paraId="3B646919" w14:textId="5BA3D1B6" w:rsidR="00380CF6" w:rsidRDefault="00380CF6" w:rsidP="002C026A">
            <w:pPr>
              <w:pStyle w:val="TableParagraph"/>
              <w:spacing w:line="256" w:lineRule="exact"/>
              <w:ind w:left="0"/>
              <w:jc w:val="center"/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lastRenderedPageBreak/>
              <w:t>4</w:t>
            </w:r>
          </w:p>
        </w:tc>
        <w:tc>
          <w:tcPr>
            <w:tcW w:w="3825" w:type="dxa"/>
          </w:tcPr>
          <w:p w14:paraId="38ECF52C" w14:textId="2CF028E4" w:rsidR="00380CF6" w:rsidRDefault="002E0430" w:rsidP="00481005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Open the </w:t>
            </w:r>
            <w:r w:rsidR="001832D7">
              <w:rPr>
                <w:sz w:val="20"/>
              </w:rPr>
              <w:t xml:space="preserve">SVL Commands window by clicking the </w:t>
            </w:r>
            <w:r w:rsidR="001832D7">
              <w:rPr>
                <w:i/>
                <w:iCs/>
                <w:sz w:val="20"/>
              </w:rPr>
              <w:t>SVL</w:t>
            </w:r>
            <w:r w:rsidR="001832D7">
              <w:rPr>
                <w:sz w:val="20"/>
              </w:rPr>
              <w:t xml:space="preserve"> button </w:t>
            </w:r>
            <w:r w:rsidR="00DF7A89">
              <w:rPr>
                <w:sz w:val="20"/>
              </w:rPr>
              <w:t>at the top right of</w:t>
            </w:r>
            <w:r w:rsidR="001832D7">
              <w:rPr>
                <w:sz w:val="20"/>
              </w:rPr>
              <w:t xml:space="preserve"> the main MOE window.</w:t>
            </w:r>
            <w:r w:rsidR="008254FD">
              <w:rPr>
                <w:sz w:val="20"/>
              </w:rPr>
              <w:t xml:space="preserve"> From here, you should be able to use the </w:t>
            </w:r>
            <w:proofErr w:type="spellStart"/>
            <w:r w:rsidR="008254FD" w:rsidRPr="00F4674B">
              <w:rPr>
                <w:rFonts w:ascii="Courier New" w:hAnsi="Courier New" w:cs="Courier New"/>
                <w:sz w:val="20"/>
              </w:rPr>
              <w:t>ligandRMSD</w:t>
            </w:r>
            <w:proofErr w:type="spellEnd"/>
            <w:r w:rsidR="008254FD">
              <w:rPr>
                <w:sz w:val="20"/>
              </w:rPr>
              <w:t xml:space="preserve"> function with the reference structure and docking output files in your current working directory.</w:t>
            </w:r>
            <w:r w:rsidR="00F4674B">
              <w:rPr>
                <w:sz w:val="20"/>
              </w:rPr>
              <w:t xml:space="preserve"> The function can be called with the following command:</w:t>
            </w:r>
          </w:p>
          <w:p w14:paraId="40E1A67B" w14:textId="77777777" w:rsidR="00F4674B" w:rsidRDefault="00F4674B" w:rsidP="00481005">
            <w:pPr>
              <w:pStyle w:val="TableParagraph"/>
              <w:ind w:left="0"/>
              <w:rPr>
                <w:sz w:val="20"/>
              </w:rPr>
            </w:pPr>
          </w:p>
          <w:p w14:paraId="65D25319" w14:textId="77777777" w:rsidR="00F4674B" w:rsidRDefault="00F4674B" w:rsidP="00481005">
            <w:pPr>
              <w:pStyle w:val="TableParagraph"/>
              <w:ind w:left="0"/>
              <w:rPr>
                <w:sz w:val="20"/>
              </w:rPr>
            </w:pPr>
            <w:proofErr w:type="spellStart"/>
            <w:r w:rsidRPr="00FF1231">
              <w:rPr>
                <w:rFonts w:ascii="Courier New" w:hAnsi="Courier New" w:cs="Courier New"/>
                <w:sz w:val="20"/>
              </w:rPr>
              <w:t>ligandRMSD</w:t>
            </w:r>
            <w:proofErr w:type="spellEnd"/>
            <w:r>
              <w:rPr>
                <w:sz w:val="20"/>
              </w:rPr>
              <w:t xml:space="preserve">  [</w:t>
            </w:r>
            <w:proofErr w:type="spellStart"/>
            <w:r w:rsidRPr="00FF1231">
              <w:rPr>
                <w:rFonts w:ascii="Courier New" w:hAnsi="Courier New" w:cs="Courier New"/>
                <w:sz w:val="20"/>
              </w:rPr>
              <w:t>reference_file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FF1231">
              <w:rPr>
                <w:rFonts w:ascii="Courier New" w:hAnsi="Courier New" w:cs="Courier New"/>
                <w:sz w:val="20"/>
              </w:rPr>
              <w:t>database_file</w:t>
            </w:r>
            <w:proofErr w:type="spellEnd"/>
            <w:r>
              <w:rPr>
                <w:sz w:val="20"/>
              </w:rPr>
              <w:t xml:space="preserve">, </w:t>
            </w:r>
            <w:r w:rsidRPr="00FF1231">
              <w:rPr>
                <w:rFonts w:ascii="Courier New" w:hAnsi="Courier New" w:cs="Courier New"/>
                <w:sz w:val="20"/>
              </w:rPr>
              <w:t>database_field1</w:t>
            </w:r>
            <w:r>
              <w:rPr>
                <w:sz w:val="20"/>
              </w:rPr>
              <w:t xml:space="preserve">, </w:t>
            </w:r>
            <w:r w:rsidRPr="00FF1231">
              <w:rPr>
                <w:rFonts w:ascii="Courier New" w:hAnsi="Courier New" w:cs="Courier New"/>
                <w:sz w:val="20"/>
              </w:rPr>
              <w:t>database_field2</w:t>
            </w:r>
            <w:r>
              <w:rPr>
                <w:sz w:val="20"/>
              </w:rPr>
              <w:t>]</w:t>
            </w:r>
          </w:p>
          <w:p w14:paraId="0FFA7256" w14:textId="77777777" w:rsidR="00F4674B" w:rsidRDefault="00F4674B" w:rsidP="00481005">
            <w:pPr>
              <w:pStyle w:val="TableParagraph"/>
              <w:ind w:left="0"/>
              <w:rPr>
                <w:sz w:val="20"/>
              </w:rPr>
            </w:pPr>
          </w:p>
          <w:p w14:paraId="7C2440CF" w14:textId="77777777" w:rsidR="00F4674B" w:rsidRDefault="00F4674B" w:rsidP="00481005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where:</w:t>
            </w:r>
          </w:p>
          <w:p w14:paraId="7DC51B37" w14:textId="77777777" w:rsidR="00F4674B" w:rsidRDefault="00F4674B" w:rsidP="00481005">
            <w:pPr>
              <w:pStyle w:val="TableParagraph"/>
              <w:ind w:left="0"/>
              <w:rPr>
                <w:sz w:val="20"/>
              </w:rPr>
            </w:pPr>
          </w:p>
          <w:p w14:paraId="2C08D173" w14:textId="77777777" w:rsidR="00E96384" w:rsidRPr="00E96384" w:rsidRDefault="00E96384" w:rsidP="00E96384">
            <w:pPr>
              <w:pStyle w:val="TableParagraph"/>
              <w:ind w:left="0"/>
              <w:rPr>
                <w:sz w:val="20"/>
              </w:rPr>
            </w:pPr>
            <w:proofErr w:type="spellStart"/>
            <w:r w:rsidRPr="00E96384">
              <w:rPr>
                <w:rFonts w:ascii="Courier New" w:hAnsi="Courier New" w:cs="Courier New"/>
                <w:sz w:val="20"/>
              </w:rPr>
              <w:t>reference_file</w:t>
            </w:r>
            <w:proofErr w:type="spellEnd"/>
            <w:r w:rsidRPr="00E96384">
              <w:rPr>
                <w:sz w:val="20"/>
              </w:rPr>
              <w:t>: .</w:t>
            </w:r>
            <w:proofErr w:type="spellStart"/>
            <w:r w:rsidRPr="00E96384">
              <w:rPr>
                <w:sz w:val="20"/>
              </w:rPr>
              <w:t>pdb</w:t>
            </w:r>
            <w:proofErr w:type="spellEnd"/>
            <w:r w:rsidRPr="00E96384">
              <w:rPr>
                <w:sz w:val="20"/>
              </w:rPr>
              <w:t xml:space="preserve"> or .</w:t>
            </w:r>
            <w:proofErr w:type="spellStart"/>
            <w:r w:rsidRPr="00E96384">
              <w:rPr>
                <w:sz w:val="20"/>
              </w:rPr>
              <w:t>moe</w:t>
            </w:r>
            <w:proofErr w:type="spellEnd"/>
            <w:r w:rsidRPr="00E96384">
              <w:rPr>
                <w:sz w:val="20"/>
              </w:rPr>
              <w:t xml:space="preserve"> file containing your crystal structure</w:t>
            </w:r>
          </w:p>
          <w:p w14:paraId="6957F26E" w14:textId="43245F61" w:rsidR="00E96384" w:rsidRPr="00E96384" w:rsidRDefault="00E96384" w:rsidP="00E96384">
            <w:pPr>
              <w:pStyle w:val="TableParagraph"/>
              <w:ind w:left="0"/>
              <w:rPr>
                <w:sz w:val="20"/>
              </w:rPr>
            </w:pPr>
            <w:proofErr w:type="spellStart"/>
            <w:r w:rsidRPr="00E96384">
              <w:rPr>
                <w:rFonts w:ascii="Courier New" w:hAnsi="Courier New" w:cs="Courier New"/>
                <w:sz w:val="20"/>
              </w:rPr>
              <w:t>database_file</w:t>
            </w:r>
            <w:proofErr w:type="spellEnd"/>
            <w:r w:rsidRPr="00E96384">
              <w:rPr>
                <w:sz w:val="20"/>
              </w:rPr>
              <w:t>: .</w:t>
            </w:r>
            <w:proofErr w:type="spellStart"/>
            <w:r w:rsidRPr="00E96384">
              <w:rPr>
                <w:sz w:val="20"/>
              </w:rPr>
              <w:t>mdb</w:t>
            </w:r>
            <w:proofErr w:type="spellEnd"/>
            <w:r w:rsidRPr="00E96384">
              <w:rPr>
                <w:sz w:val="20"/>
              </w:rPr>
              <w:t xml:space="preserve"> with docked ligand poses</w:t>
            </w:r>
          </w:p>
          <w:p w14:paraId="6DFC5501" w14:textId="358C185E" w:rsidR="00E96384" w:rsidRPr="00E96384" w:rsidRDefault="00E96384" w:rsidP="00E96384">
            <w:pPr>
              <w:pStyle w:val="TableParagraph"/>
              <w:ind w:left="0"/>
              <w:rPr>
                <w:sz w:val="20"/>
              </w:rPr>
            </w:pPr>
            <w:r w:rsidRPr="00E96384">
              <w:rPr>
                <w:rFonts w:ascii="Courier New" w:hAnsi="Courier New" w:cs="Courier New"/>
                <w:sz w:val="20"/>
              </w:rPr>
              <w:t>database_field1</w:t>
            </w:r>
            <w:r w:rsidRPr="00E96384">
              <w:rPr>
                <w:sz w:val="20"/>
              </w:rPr>
              <w:t>: .</w:t>
            </w:r>
            <w:proofErr w:type="spellStart"/>
            <w:r w:rsidRPr="00E96384">
              <w:rPr>
                <w:sz w:val="20"/>
              </w:rPr>
              <w:t>mdb</w:t>
            </w:r>
            <w:proofErr w:type="spellEnd"/>
            <w:r w:rsidRPr="00E96384">
              <w:rPr>
                <w:sz w:val="20"/>
              </w:rPr>
              <w:t xml:space="preserve"> column containing your ligand poses, most likely </w:t>
            </w:r>
            <w:r w:rsidRPr="00E96384">
              <w:rPr>
                <w:rFonts w:ascii="Courier New" w:hAnsi="Courier New" w:cs="Courier New"/>
                <w:sz w:val="20"/>
              </w:rPr>
              <w:t>'mol'</w:t>
            </w:r>
          </w:p>
          <w:p w14:paraId="23B4F5F8" w14:textId="77777777" w:rsidR="00F4674B" w:rsidRDefault="00E96384" w:rsidP="00E96384">
            <w:pPr>
              <w:pStyle w:val="TableParagraph"/>
              <w:ind w:left="0"/>
              <w:rPr>
                <w:rFonts w:ascii="Courier New" w:hAnsi="Courier New" w:cs="Courier New"/>
                <w:sz w:val="20"/>
              </w:rPr>
            </w:pPr>
            <w:r w:rsidRPr="00E96384">
              <w:rPr>
                <w:rFonts w:ascii="Courier New" w:hAnsi="Courier New" w:cs="Courier New"/>
                <w:sz w:val="20"/>
              </w:rPr>
              <w:t>database_field2</w:t>
            </w:r>
            <w:r w:rsidRPr="00E96384">
              <w:rPr>
                <w:sz w:val="20"/>
              </w:rPr>
              <w:t>: .</w:t>
            </w:r>
            <w:proofErr w:type="spellStart"/>
            <w:r w:rsidRPr="00E96384">
              <w:rPr>
                <w:sz w:val="20"/>
              </w:rPr>
              <w:t>mdb</w:t>
            </w:r>
            <w:proofErr w:type="spellEnd"/>
            <w:r w:rsidRPr="00E96384">
              <w:rPr>
                <w:sz w:val="20"/>
              </w:rPr>
              <w:t xml:space="preserve"> column containing you receptor poses, most likely </w:t>
            </w:r>
            <w:r w:rsidRPr="00E96384">
              <w:rPr>
                <w:rFonts w:ascii="Courier New" w:hAnsi="Courier New" w:cs="Courier New"/>
                <w:sz w:val="20"/>
              </w:rPr>
              <w:t>'receptor'</w:t>
            </w:r>
          </w:p>
          <w:p w14:paraId="4FDDFA64" w14:textId="64F7DA51" w:rsidR="00E96384" w:rsidRDefault="00E96384" w:rsidP="00E96384">
            <w:pPr>
              <w:pStyle w:val="Table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137F370F" w14:textId="6CE941FA" w:rsidR="0045586F" w:rsidRDefault="0045586F" w:rsidP="00E96384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For example, let’s apply this </w:t>
            </w:r>
            <w:r w:rsidR="00775ECC">
              <w:rPr>
                <w:sz w:val="20"/>
              </w:rPr>
              <w:t>function to the filenames found in the screenshot from step 1. In this case, the command to calculate ligand RMSD values would be:</w:t>
            </w:r>
          </w:p>
          <w:p w14:paraId="4B9509D5" w14:textId="2FA70D84" w:rsidR="00775ECC" w:rsidRPr="008A01EE" w:rsidRDefault="00775ECC" w:rsidP="00E96384">
            <w:pPr>
              <w:pStyle w:val="Table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36BE5253" w14:textId="2632B733" w:rsidR="00775ECC" w:rsidRDefault="008A01EE" w:rsidP="00E96384">
            <w:pPr>
              <w:pStyle w:val="TableParagraph"/>
              <w:ind w:left="0"/>
              <w:rPr>
                <w:rFonts w:ascii="Courier New" w:hAnsi="Courier New" w:cs="Courier New"/>
                <w:sz w:val="20"/>
              </w:rPr>
            </w:pPr>
            <w:proofErr w:type="spellStart"/>
            <w:r w:rsidRPr="008A01EE">
              <w:rPr>
                <w:rFonts w:ascii="Courier New" w:hAnsi="Courier New" w:cs="Courier New"/>
                <w:sz w:val="20"/>
              </w:rPr>
              <w:t>ligandRMSD</w:t>
            </w:r>
            <w:proofErr w:type="spellEnd"/>
            <w:r w:rsidRPr="008A01EE">
              <w:rPr>
                <w:rFonts w:ascii="Courier New" w:hAnsi="Courier New" w:cs="Courier New"/>
                <w:sz w:val="20"/>
              </w:rPr>
              <w:t xml:space="preserve"> ['</w:t>
            </w:r>
            <w:proofErr w:type="spellStart"/>
            <w:r w:rsidRPr="008A01EE">
              <w:rPr>
                <w:rFonts w:ascii="Courier New" w:hAnsi="Courier New" w:cs="Courier New"/>
                <w:sz w:val="20"/>
              </w:rPr>
              <w:t>reference_structure.moe</w:t>
            </w:r>
            <w:proofErr w:type="spellEnd"/>
            <w:r w:rsidRPr="008A01EE">
              <w:rPr>
                <w:rFonts w:ascii="Courier New" w:hAnsi="Courier New" w:cs="Courier New"/>
                <w:sz w:val="20"/>
              </w:rPr>
              <w:t>', 'dock_output.mdb', 'mol', 'receptor']</w:t>
            </w:r>
          </w:p>
          <w:p w14:paraId="02AAF733" w14:textId="73DA0091" w:rsidR="00F33A4C" w:rsidRDefault="00F33A4C" w:rsidP="00E96384">
            <w:pPr>
              <w:pStyle w:val="Table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0D54BEDB" w14:textId="1B25CF53" w:rsidR="00F33A4C" w:rsidRPr="00427B68" w:rsidRDefault="00427B68" w:rsidP="00E96384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Once the calculation is complete (usually instantly), a ligand RMSD value for </w:t>
            </w:r>
            <w:r w:rsidR="00244D22">
              <w:rPr>
                <w:sz w:val="20"/>
              </w:rPr>
              <w:t>each docked ligand pose</w:t>
            </w:r>
            <w:r w:rsidR="000C3B9F">
              <w:rPr>
                <w:sz w:val="20"/>
              </w:rPr>
              <w:t xml:space="preserve"> entry</w:t>
            </w:r>
            <w:r w:rsidR="00244D22">
              <w:rPr>
                <w:sz w:val="20"/>
              </w:rPr>
              <w:t xml:space="preserve"> </w:t>
            </w:r>
            <w:r w:rsidR="000C3B9F">
              <w:rPr>
                <w:sz w:val="20"/>
              </w:rPr>
              <w:t>can be found in the output</w:t>
            </w:r>
            <w:r w:rsidR="00244D22">
              <w:rPr>
                <w:sz w:val="20"/>
              </w:rPr>
              <w:t xml:space="preserve"> database </w:t>
            </w:r>
            <w:r w:rsidR="000C3B9F">
              <w:rPr>
                <w:sz w:val="20"/>
              </w:rPr>
              <w:t>in a field titled ‘Ligand RMSD’.</w:t>
            </w:r>
          </w:p>
          <w:p w14:paraId="1620ADD0" w14:textId="350871B0" w:rsidR="00E96384" w:rsidRPr="00E96384" w:rsidRDefault="00E96384" w:rsidP="00E96384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608" w:type="dxa"/>
          </w:tcPr>
          <w:p w14:paraId="53379F84" w14:textId="11C8C63A" w:rsidR="009D4EFA" w:rsidRDefault="009D4EFA" w:rsidP="009D4EFA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SVL button:</w:t>
            </w:r>
          </w:p>
          <w:p w14:paraId="1D0B9AB1" w14:textId="3C1619B7" w:rsidR="00380CF6" w:rsidRDefault="00B20118" w:rsidP="00CD72D3">
            <w:pPr>
              <w:pStyle w:val="TableParagraph"/>
              <w:ind w:left="0"/>
              <w:jc w:val="center"/>
              <w:rPr>
                <w:sz w:val="20"/>
              </w:rPr>
            </w:pPr>
            <w:r w:rsidRPr="00B20118">
              <w:rPr>
                <w:noProof/>
                <w:sz w:val="20"/>
              </w:rPr>
              <w:drawing>
                <wp:inline distT="0" distB="0" distL="0" distR="0" wp14:anchorId="270D2C72" wp14:editId="3F6EE69C">
                  <wp:extent cx="1892397" cy="3810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397" cy="38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E54584" w14:textId="77777777" w:rsidR="009D4EFA" w:rsidRDefault="009D4EFA" w:rsidP="00CD72D3">
            <w:pPr>
              <w:pStyle w:val="TableParagraph"/>
              <w:ind w:left="0"/>
              <w:jc w:val="center"/>
              <w:rPr>
                <w:sz w:val="20"/>
              </w:rPr>
            </w:pPr>
          </w:p>
          <w:p w14:paraId="00E3771A" w14:textId="5E0D377A" w:rsidR="009D4EFA" w:rsidRDefault="009D4EFA" w:rsidP="009D4EFA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Example command:</w:t>
            </w:r>
          </w:p>
          <w:p w14:paraId="10355CE4" w14:textId="77777777" w:rsidR="00B20118" w:rsidRDefault="00B20118" w:rsidP="00CD72D3">
            <w:pPr>
              <w:pStyle w:val="TableParagraph"/>
              <w:ind w:left="0"/>
              <w:jc w:val="center"/>
              <w:rPr>
                <w:sz w:val="20"/>
              </w:rPr>
            </w:pPr>
          </w:p>
          <w:p w14:paraId="1BF7A13E" w14:textId="77777777" w:rsidR="00B20118" w:rsidRDefault="009D4EFA" w:rsidP="00CD72D3">
            <w:pPr>
              <w:pStyle w:val="TableParagraph"/>
              <w:ind w:left="0"/>
              <w:jc w:val="center"/>
              <w:rPr>
                <w:sz w:val="20"/>
              </w:rPr>
            </w:pPr>
            <w:r w:rsidRPr="009D4EFA">
              <w:rPr>
                <w:noProof/>
                <w:sz w:val="20"/>
              </w:rPr>
              <w:drawing>
                <wp:inline distT="0" distB="0" distL="0" distR="0" wp14:anchorId="053EC380" wp14:editId="53DEB647">
                  <wp:extent cx="2919730" cy="6502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730" cy="65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CE29B6" w14:textId="77777777" w:rsidR="008D4169" w:rsidRDefault="008D4169" w:rsidP="00CD72D3">
            <w:pPr>
              <w:pStyle w:val="TableParagraph"/>
              <w:ind w:left="0"/>
              <w:jc w:val="center"/>
              <w:rPr>
                <w:sz w:val="20"/>
              </w:rPr>
            </w:pPr>
          </w:p>
          <w:p w14:paraId="1A722215" w14:textId="77777777" w:rsidR="008D4169" w:rsidRDefault="008D4169" w:rsidP="008D416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Output:</w:t>
            </w:r>
          </w:p>
          <w:p w14:paraId="31A5031E" w14:textId="77777777" w:rsidR="008D4169" w:rsidRDefault="008D4169" w:rsidP="008D4169">
            <w:pPr>
              <w:pStyle w:val="TableParagraph"/>
              <w:ind w:left="0"/>
              <w:rPr>
                <w:sz w:val="20"/>
              </w:rPr>
            </w:pPr>
          </w:p>
          <w:p w14:paraId="7EB8D435" w14:textId="6A0FAD46" w:rsidR="008D4169" w:rsidRPr="00380CF6" w:rsidRDefault="008D4169" w:rsidP="008D4169">
            <w:pPr>
              <w:pStyle w:val="TableParagraph"/>
              <w:ind w:left="0"/>
              <w:rPr>
                <w:sz w:val="20"/>
              </w:rPr>
            </w:pPr>
            <w:r w:rsidRPr="008D4169">
              <w:rPr>
                <w:noProof/>
                <w:sz w:val="20"/>
              </w:rPr>
              <w:drawing>
                <wp:inline distT="0" distB="0" distL="0" distR="0" wp14:anchorId="76774F96" wp14:editId="5A3522AE">
                  <wp:extent cx="2919730" cy="128397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730" cy="128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9E723C" w14:textId="56CD8A74" w:rsidR="006343E2" w:rsidRDefault="006343E2" w:rsidP="00947ED6">
      <w:pPr>
        <w:pStyle w:val="TableParagraph"/>
        <w:spacing w:line="273" w:lineRule="exact"/>
        <w:ind w:left="108"/>
        <w:rPr>
          <w:sz w:val="20"/>
        </w:rPr>
      </w:pPr>
    </w:p>
    <w:p w14:paraId="2645749C" w14:textId="519750CC" w:rsidR="00C07C67" w:rsidRDefault="00C07C67" w:rsidP="00947ED6">
      <w:pPr>
        <w:pStyle w:val="TableParagraph"/>
        <w:spacing w:line="273" w:lineRule="exact"/>
        <w:ind w:left="108"/>
        <w:rPr>
          <w:sz w:val="20"/>
        </w:rPr>
      </w:pPr>
    </w:p>
    <w:p w14:paraId="350390EE" w14:textId="64DBC6BC" w:rsidR="00C07C67" w:rsidRDefault="00C07C67" w:rsidP="00947ED6">
      <w:pPr>
        <w:pStyle w:val="TableParagraph"/>
        <w:spacing w:line="273" w:lineRule="exact"/>
        <w:ind w:left="108"/>
        <w:rPr>
          <w:sz w:val="20"/>
        </w:rPr>
      </w:pPr>
    </w:p>
    <w:p w14:paraId="5E64170D" w14:textId="77777777" w:rsidR="00C07C67" w:rsidRPr="00947ED6" w:rsidRDefault="00C07C67" w:rsidP="00947ED6">
      <w:pPr>
        <w:pStyle w:val="TableParagraph"/>
        <w:spacing w:line="273" w:lineRule="exact"/>
        <w:ind w:left="108"/>
        <w:rPr>
          <w:sz w:val="20"/>
        </w:rPr>
      </w:pPr>
    </w:p>
    <w:sectPr w:rsidR="00C07C67" w:rsidRPr="00947ED6" w:rsidSect="00036217">
      <w:headerReference w:type="default" r:id="rId14"/>
      <w:pgSz w:w="12240" w:h="15840"/>
      <w:pgMar w:top="1440" w:right="1440" w:bottom="1440" w:left="1440" w:header="725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37C46" w14:textId="77777777" w:rsidR="001A7A99" w:rsidRDefault="001A7A99">
      <w:r>
        <w:separator/>
      </w:r>
    </w:p>
  </w:endnote>
  <w:endnote w:type="continuationSeparator" w:id="0">
    <w:p w14:paraId="7532D449" w14:textId="77777777" w:rsidR="001A7A99" w:rsidRDefault="001A7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1B796" w14:textId="77777777" w:rsidR="001A7A99" w:rsidRDefault="001A7A99">
      <w:r>
        <w:separator/>
      </w:r>
    </w:p>
  </w:footnote>
  <w:footnote w:type="continuationSeparator" w:id="0">
    <w:p w14:paraId="3C7E8B87" w14:textId="77777777" w:rsidR="001A7A99" w:rsidRDefault="001A7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17606" w14:textId="79940093" w:rsidR="00EB5B0F" w:rsidRDefault="00EB5B0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9AC3627" wp14:editId="1190C2F6">
              <wp:simplePos x="0" y="0"/>
              <wp:positionH relativeFrom="page">
                <wp:posOffset>6042025</wp:posOffset>
              </wp:positionH>
              <wp:positionV relativeFrom="page">
                <wp:posOffset>447675</wp:posOffset>
              </wp:positionV>
              <wp:extent cx="600710" cy="313055"/>
              <wp:effectExtent l="3175" t="0" r="0" b="127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710" cy="313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38E6D7" w14:textId="58556304" w:rsidR="00EB5B0F" w:rsidRDefault="00EB5B0F">
                          <w:pPr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AC362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75.75pt;margin-top:35.25pt;width:47.3pt;height:24.6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" filled="f" stroked="f">
              <v:textbox inset="0,0,0,0">
                <w:txbxContent>
                  <w:p w14:paraId="5B38E6D7" w14:textId="58556304" w:rsidR="00EB5B0F" w:rsidRDefault="00EB5B0F">
                    <w:pPr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DA3"/>
    <w:multiLevelType w:val="hybridMultilevel"/>
    <w:tmpl w:val="78000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15313"/>
    <w:multiLevelType w:val="hybridMultilevel"/>
    <w:tmpl w:val="9CC81E72"/>
    <w:lvl w:ilvl="0" w:tplc="2452BB32">
      <w:start w:val="1"/>
      <w:numFmt w:val="bullet"/>
      <w:lvlText w:val="-"/>
      <w:lvlJc w:val="left"/>
      <w:pPr>
        <w:ind w:left="5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10177E64"/>
    <w:multiLevelType w:val="hybridMultilevel"/>
    <w:tmpl w:val="0C707EEA"/>
    <w:lvl w:ilvl="0" w:tplc="2452BB32">
      <w:start w:val="1"/>
      <w:numFmt w:val="bullet"/>
      <w:lvlText w:val="-"/>
      <w:lvlJc w:val="left"/>
      <w:pPr>
        <w:ind w:left="5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124B6B16"/>
    <w:multiLevelType w:val="hybridMultilevel"/>
    <w:tmpl w:val="F5961404"/>
    <w:lvl w:ilvl="0" w:tplc="2452BB32">
      <w:start w:val="1"/>
      <w:numFmt w:val="bullet"/>
      <w:lvlText w:val="-"/>
      <w:lvlJc w:val="left"/>
      <w:pPr>
        <w:ind w:left="6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4" w15:restartNumberingAfterBreak="0">
    <w:nsid w:val="255270EA"/>
    <w:multiLevelType w:val="hybridMultilevel"/>
    <w:tmpl w:val="07828520"/>
    <w:lvl w:ilvl="0" w:tplc="2452BB32">
      <w:start w:val="1"/>
      <w:numFmt w:val="bullet"/>
      <w:lvlText w:val="-"/>
      <w:lvlJc w:val="left"/>
      <w:pPr>
        <w:ind w:left="57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2E21646A"/>
    <w:multiLevelType w:val="hybridMultilevel"/>
    <w:tmpl w:val="089EEFF8"/>
    <w:lvl w:ilvl="0" w:tplc="2452BB32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6" w15:restartNumberingAfterBreak="0">
    <w:nsid w:val="2E2F76B5"/>
    <w:multiLevelType w:val="hybridMultilevel"/>
    <w:tmpl w:val="970C2506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7" w15:restartNumberingAfterBreak="0">
    <w:nsid w:val="42810EFB"/>
    <w:multiLevelType w:val="hybridMultilevel"/>
    <w:tmpl w:val="A62EDFB2"/>
    <w:lvl w:ilvl="0" w:tplc="2452BB32">
      <w:start w:val="1"/>
      <w:numFmt w:val="bullet"/>
      <w:lvlText w:val="-"/>
      <w:lvlJc w:val="left"/>
      <w:pPr>
        <w:ind w:left="5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8" w15:restartNumberingAfterBreak="0">
    <w:nsid w:val="4AA301B1"/>
    <w:multiLevelType w:val="hybridMultilevel"/>
    <w:tmpl w:val="047A2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61733"/>
    <w:multiLevelType w:val="hybridMultilevel"/>
    <w:tmpl w:val="7B18A302"/>
    <w:lvl w:ilvl="0" w:tplc="134A7FC0">
      <w:start w:val="1"/>
      <w:numFmt w:val="lowerLetter"/>
      <w:lvlText w:val="%1)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7"/>
        <w:w w:val="99"/>
        <w:sz w:val="24"/>
        <w:szCs w:val="24"/>
      </w:rPr>
    </w:lvl>
    <w:lvl w:ilvl="1" w:tplc="5B286484">
      <w:numFmt w:val="bullet"/>
      <w:lvlText w:val="•"/>
      <w:lvlJc w:val="left"/>
      <w:pPr>
        <w:ind w:left="1197" w:hanging="360"/>
      </w:pPr>
      <w:rPr>
        <w:rFonts w:hint="default"/>
      </w:rPr>
    </w:lvl>
    <w:lvl w:ilvl="2" w:tplc="9844E73A">
      <w:numFmt w:val="bullet"/>
      <w:lvlText w:val="•"/>
      <w:lvlJc w:val="left"/>
      <w:pPr>
        <w:ind w:left="1575" w:hanging="360"/>
      </w:pPr>
      <w:rPr>
        <w:rFonts w:hint="default"/>
      </w:rPr>
    </w:lvl>
    <w:lvl w:ilvl="3" w:tplc="2F485994">
      <w:numFmt w:val="bullet"/>
      <w:lvlText w:val="•"/>
      <w:lvlJc w:val="left"/>
      <w:pPr>
        <w:ind w:left="1953" w:hanging="360"/>
      </w:pPr>
      <w:rPr>
        <w:rFonts w:hint="default"/>
      </w:rPr>
    </w:lvl>
    <w:lvl w:ilvl="4" w:tplc="0EB6DEC4">
      <w:numFmt w:val="bullet"/>
      <w:lvlText w:val="•"/>
      <w:lvlJc w:val="left"/>
      <w:pPr>
        <w:ind w:left="2331" w:hanging="360"/>
      </w:pPr>
      <w:rPr>
        <w:rFonts w:hint="default"/>
      </w:rPr>
    </w:lvl>
    <w:lvl w:ilvl="5" w:tplc="9D7295F2">
      <w:numFmt w:val="bullet"/>
      <w:lvlText w:val="•"/>
      <w:lvlJc w:val="left"/>
      <w:pPr>
        <w:ind w:left="2709" w:hanging="360"/>
      </w:pPr>
      <w:rPr>
        <w:rFonts w:hint="default"/>
      </w:rPr>
    </w:lvl>
    <w:lvl w:ilvl="6" w:tplc="12E8941C">
      <w:numFmt w:val="bullet"/>
      <w:lvlText w:val="•"/>
      <w:lvlJc w:val="left"/>
      <w:pPr>
        <w:ind w:left="3086" w:hanging="360"/>
      </w:pPr>
      <w:rPr>
        <w:rFonts w:hint="default"/>
      </w:rPr>
    </w:lvl>
    <w:lvl w:ilvl="7" w:tplc="8CECD080">
      <w:numFmt w:val="bullet"/>
      <w:lvlText w:val="•"/>
      <w:lvlJc w:val="left"/>
      <w:pPr>
        <w:ind w:left="3464" w:hanging="360"/>
      </w:pPr>
      <w:rPr>
        <w:rFonts w:hint="default"/>
      </w:rPr>
    </w:lvl>
    <w:lvl w:ilvl="8" w:tplc="43407902">
      <w:numFmt w:val="bullet"/>
      <w:lvlText w:val="•"/>
      <w:lvlJc w:val="left"/>
      <w:pPr>
        <w:ind w:left="3842" w:hanging="360"/>
      </w:pPr>
      <w:rPr>
        <w:rFonts w:hint="default"/>
      </w:rPr>
    </w:lvl>
  </w:abstractNum>
  <w:abstractNum w:abstractNumId="10" w15:restartNumberingAfterBreak="0">
    <w:nsid w:val="63CE2E9B"/>
    <w:multiLevelType w:val="hybridMultilevel"/>
    <w:tmpl w:val="4D88E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D64E9"/>
    <w:multiLevelType w:val="hybridMultilevel"/>
    <w:tmpl w:val="23E8DF76"/>
    <w:lvl w:ilvl="0" w:tplc="2452BB32">
      <w:start w:val="1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12" w15:restartNumberingAfterBreak="0">
    <w:nsid w:val="7DE64452"/>
    <w:multiLevelType w:val="hybridMultilevel"/>
    <w:tmpl w:val="9A9E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0"/>
  </w:num>
  <w:num w:numId="11">
    <w:abstractNumId w:val="10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B8"/>
    <w:rsid w:val="00003A2C"/>
    <w:rsid w:val="000058FD"/>
    <w:rsid w:val="0002542A"/>
    <w:rsid w:val="000313AF"/>
    <w:rsid w:val="00036217"/>
    <w:rsid w:val="00062312"/>
    <w:rsid w:val="00071373"/>
    <w:rsid w:val="00072D77"/>
    <w:rsid w:val="00085178"/>
    <w:rsid w:val="0009544E"/>
    <w:rsid w:val="000A62E8"/>
    <w:rsid w:val="000B1C8B"/>
    <w:rsid w:val="000C33DA"/>
    <w:rsid w:val="000C3B9F"/>
    <w:rsid w:val="000E46CA"/>
    <w:rsid w:val="000E715B"/>
    <w:rsid w:val="00127888"/>
    <w:rsid w:val="00144342"/>
    <w:rsid w:val="001446B3"/>
    <w:rsid w:val="001518BA"/>
    <w:rsid w:val="00163DA1"/>
    <w:rsid w:val="00164F1A"/>
    <w:rsid w:val="001832D7"/>
    <w:rsid w:val="001A1519"/>
    <w:rsid w:val="001A2567"/>
    <w:rsid w:val="001A617E"/>
    <w:rsid w:val="001A7A99"/>
    <w:rsid w:val="001B28AF"/>
    <w:rsid w:val="001C70DC"/>
    <w:rsid w:val="001E6D4A"/>
    <w:rsid w:val="00212086"/>
    <w:rsid w:val="00216404"/>
    <w:rsid w:val="00220042"/>
    <w:rsid w:val="00223E1E"/>
    <w:rsid w:val="00242CEE"/>
    <w:rsid w:val="00244D22"/>
    <w:rsid w:val="002908C0"/>
    <w:rsid w:val="002C026A"/>
    <w:rsid w:val="002D5721"/>
    <w:rsid w:val="002D7421"/>
    <w:rsid w:val="002E0430"/>
    <w:rsid w:val="003019D7"/>
    <w:rsid w:val="0032477F"/>
    <w:rsid w:val="00335036"/>
    <w:rsid w:val="00344ACF"/>
    <w:rsid w:val="00364661"/>
    <w:rsid w:val="0036663A"/>
    <w:rsid w:val="003668FA"/>
    <w:rsid w:val="003669F9"/>
    <w:rsid w:val="00370EED"/>
    <w:rsid w:val="00372F1D"/>
    <w:rsid w:val="00380CF6"/>
    <w:rsid w:val="00381FDC"/>
    <w:rsid w:val="0038338A"/>
    <w:rsid w:val="003B0DC6"/>
    <w:rsid w:val="003B4E78"/>
    <w:rsid w:val="003C3986"/>
    <w:rsid w:val="003E0BB8"/>
    <w:rsid w:val="003E15E3"/>
    <w:rsid w:val="004000A9"/>
    <w:rsid w:val="0040494A"/>
    <w:rsid w:val="00411CCB"/>
    <w:rsid w:val="00416DDC"/>
    <w:rsid w:val="00424472"/>
    <w:rsid w:val="00425A63"/>
    <w:rsid w:val="00427B68"/>
    <w:rsid w:val="00440D7C"/>
    <w:rsid w:val="0045586F"/>
    <w:rsid w:val="00481005"/>
    <w:rsid w:val="00496310"/>
    <w:rsid w:val="004A7C5F"/>
    <w:rsid w:val="004C40DF"/>
    <w:rsid w:val="004C4542"/>
    <w:rsid w:val="004C6032"/>
    <w:rsid w:val="004D0FE3"/>
    <w:rsid w:val="004E4272"/>
    <w:rsid w:val="004F1FEE"/>
    <w:rsid w:val="004F3C24"/>
    <w:rsid w:val="00503636"/>
    <w:rsid w:val="00522522"/>
    <w:rsid w:val="00524F32"/>
    <w:rsid w:val="005331BC"/>
    <w:rsid w:val="00533B44"/>
    <w:rsid w:val="00537571"/>
    <w:rsid w:val="005446E2"/>
    <w:rsid w:val="005A7331"/>
    <w:rsid w:val="005B3152"/>
    <w:rsid w:val="005D3A52"/>
    <w:rsid w:val="005E6771"/>
    <w:rsid w:val="00605F2E"/>
    <w:rsid w:val="0061388B"/>
    <w:rsid w:val="00615098"/>
    <w:rsid w:val="006200B1"/>
    <w:rsid w:val="006343E2"/>
    <w:rsid w:val="006375EE"/>
    <w:rsid w:val="00665436"/>
    <w:rsid w:val="0069126D"/>
    <w:rsid w:val="00697732"/>
    <w:rsid w:val="006B2728"/>
    <w:rsid w:val="006B3E7F"/>
    <w:rsid w:val="006B3F06"/>
    <w:rsid w:val="006C2D40"/>
    <w:rsid w:val="006C4BB8"/>
    <w:rsid w:val="006C6B63"/>
    <w:rsid w:val="006C6BAC"/>
    <w:rsid w:val="00707184"/>
    <w:rsid w:val="007170E4"/>
    <w:rsid w:val="00750A79"/>
    <w:rsid w:val="00754F48"/>
    <w:rsid w:val="00755099"/>
    <w:rsid w:val="00761DE8"/>
    <w:rsid w:val="007672A2"/>
    <w:rsid w:val="007754D3"/>
    <w:rsid w:val="00775ECC"/>
    <w:rsid w:val="00787527"/>
    <w:rsid w:val="00794502"/>
    <w:rsid w:val="00795AF5"/>
    <w:rsid w:val="007C4308"/>
    <w:rsid w:val="007E33C0"/>
    <w:rsid w:val="008103A7"/>
    <w:rsid w:val="008104C8"/>
    <w:rsid w:val="008254FD"/>
    <w:rsid w:val="00857BC0"/>
    <w:rsid w:val="00861AD7"/>
    <w:rsid w:val="00865A18"/>
    <w:rsid w:val="00867931"/>
    <w:rsid w:val="00873453"/>
    <w:rsid w:val="00891ACB"/>
    <w:rsid w:val="00893D62"/>
    <w:rsid w:val="008A01EE"/>
    <w:rsid w:val="008A694D"/>
    <w:rsid w:val="008B2A7F"/>
    <w:rsid w:val="008B5A3D"/>
    <w:rsid w:val="008C56B2"/>
    <w:rsid w:val="008D13B6"/>
    <w:rsid w:val="008D3C77"/>
    <w:rsid w:val="008D4169"/>
    <w:rsid w:val="008D47B2"/>
    <w:rsid w:val="008F20BE"/>
    <w:rsid w:val="009017FD"/>
    <w:rsid w:val="009036CD"/>
    <w:rsid w:val="009150EB"/>
    <w:rsid w:val="00932C10"/>
    <w:rsid w:val="00947C25"/>
    <w:rsid w:val="00947ED6"/>
    <w:rsid w:val="009B1DFD"/>
    <w:rsid w:val="009C181A"/>
    <w:rsid w:val="009D05EA"/>
    <w:rsid w:val="009D4EFA"/>
    <w:rsid w:val="00A045E4"/>
    <w:rsid w:val="00A11AF3"/>
    <w:rsid w:val="00A34C79"/>
    <w:rsid w:val="00A377BF"/>
    <w:rsid w:val="00A64040"/>
    <w:rsid w:val="00A659EC"/>
    <w:rsid w:val="00A84034"/>
    <w:rsid w:val="00A943DF"/>
    <w:rsid w:val="00A94DDC"/>
    <w:rsid w:val="00AA52B7"/>
    <w:rsid w:val="00AB471E"/>
    <w:rsid w:val="00AD1B53"/>
    <w:rsid w:val="00AF6B70"/>
    <w:rsid w:val="00B06D94"/>
    <w:rsid w:val="00B20118"/>
    <w:rsid w:val="00B304B8"/>
    <w:rsid w:val="00B402F3"/>
    <w:rsid w:val="00B77960"/>
    <w:rsid w:val="00B779C4"/>
    <w:rsid w:val="00B80DDD"/>
    <w:rsid w:val="00BA5FAE"/>
    <w:rsid w:val="00BB302A"/>
    <w:rsid w:val="00BB6E7D"/>
    <w:rsid w:val="00BC5707"/>
    <w:rsid w:val="00BC74AA"/>
    <w:rsid w:val="00BD381F"/>
    <w:rsid w:val="00BD65C5"/>
    <w:rsid w:val="00BE11B1"/>
    <w:rsid w:val="00BF2391"/>
    <w:rsid w:val="00C00E71"/>
    <w:rsid w:val="00C045BC"/>
    <w:rsid w:val="00C07C67"/>
    <w:rsid w:val="00C42590"/>
    <w:rsid w:val="00C44AF0"/>
    <w:rsid w:val="00C52A60"/>
    <w:rsid w:val="00C53DC0"/>
    <w:rsid w:val="00C67296"/>
    <w:rsid w:val="00C742C2"/>
    <w:rsid w:val="00C76EE2"/>
    <w:rsid w:val="00C771B1"/>
    <w:rsid w:val="00C9033D"/>
    <w:rsid w:val="00C96B7C"/>
    <w:rsid w:val="00CB17CA"/>
    <w:rsid w:val="00CD0FEC"/>
    <w:rsid w:val="00CD423B"/>
    <w:rsid w:val="00CD63AB"/>
    <w:rsid w:val="00CD72D3"/>
    <w:rsid w:val="00CF23C8"/>
    <w:rsid w:val="00D300AC"/>
    <w:rsid w:val="00D66107"/>
    <w:rsid w:val="00D85D34"/>
    <w:rsid w:val="00D9072A"/>
    <w:rsid w:val="00D9136F"/>
    <w:rsid w:val="00D963F8"/>
    <w:rsid w:val="00D97371"/>
    <w:rsid w:val="00DA23B7"/>
    <w:rsid w:val="00DB2BB2"/>
    <w:rsid w:val="00DB6722"/>
    <w:rsid w:val="00DD036A"/>
    <w:rsid w:val="00DD34F8"/>
    <w:rsid w:val="00DE4015"/>
    <w:rsid w:val="00DE5EEC"/>
    <w:rsid w:val="00DF104E"/>
    <w:rsid w:val="00DF7A89"/>
    <w:rsid w:val="00E01856"/>
    <w:rsid w:val="00E17513"/>
    <w:rsid w:val="00E21070"/>
    <w:rsid w:val="00E24F9F"/>
    <w:rsid w:val="00E26756"/>
    <w:rsid w:val="00E32A81"/>
    <w:rsid w:val="00E50252"/>
    <w:rsid w:val="00E63CA1"/>
    <w:rsid w:val="00E71431"/>
    <w:rsid w:val="00E72D04"/>
    <w:rsid w:val="00E750E3"/>
    <w:rsid w:val="00E7566C"/>
    <w:rsid w:val="00E9038C"/>
    <w:rsid w:val="00E96384"/>
    <w:rsid w:val="00EA5178"/>
    <w:rsid w:val="00EA7A15"/>
    <w:rsid w:val="00EB5B0F"/>
    <w:rsid w:val="00EC0C5F"/>
    <w:rsid w:val="00ED7D75"/>
    <w:rsid w:val="00EE41A8"/>
    <w:rsid w:val="00EE4EAA"/>
    <w:rsid w:val="00F00A52"/>
    <w:rsid w:val="00F01449"/>
    <w:rsid w:val="00F10906"/>
    <w:rsid w:val="00F116C2"/>
    <w:rsid w:val="00F11FBE"/>
    <w:rsid w:val="00F267AB"/>
    <w:rsid w:val="00F33A4C"/>
    <w:rsid w:val="00F4554E"/>
    <w:rsid w:val="00F4674B"/>
    <w:rsid w:val="00F511FA"/>
    <w:rsid w:val="00F546FE"/>
    <w:rsid w:val="00F558CF"/>
    <w:rsid w:val="00F559B5"/>
    <w:rsid w:val="00F73148"/>
    <w:rsid w:val="00F820F2"/>
    <w:rsid w:val="00F86DA0"/>
    <w:rsid w:val="00F903B7"/>
    <w:rsid w:val="00F90723"/>
    <w:rsid w:val="00F91814"/>
    <w:rsid w:val="00FB1CB1"/>
    <w:rsid w:val="00FD00C1"/>
    <w:rsid w:val="00FF0BC2"/>
    <w:rsid w:val="00FF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FF2198A"/>
  <w15:docId w15:val="{06A324A3-5D30-408F-AB20-44DCDAC7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EE41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1A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779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96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779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7960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2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1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gszwabowski/guides/blob/master/ligand_RMSD_tutorial_files.zi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Annex 1_Application for Unmanned Aircraft System (Operation Manual Template)24.07.2014.doc</vt:lpstr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Annex 1_Application for Unmanned Aircraft System (Operation Manual Template)24.07.2014.doc</dc:title>
  <dc:creator>alfwong</dc:creator>
  <cp:lastModifiedBy>Gregory Leon Szwabowski (gszwbwsk)</cp:lastModifiedBy>
  <cp:revision>47</cp:revision>
  <cp:lastPrinted>2020-02-27T17:03:00Z</cp:lastPrinted>
  <dcterms:created xsi:type="dcterms:W3CDTF">2021-07-20T18:09:00Z</dcterms:created>
  <dcterms:modified xsi:type="dcterms:W3CDTF">2022-03-30T22:19:00Z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2014-07-24T00:00:00Z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2018-05-28T00:00:00Z</vt:filetime>
  </property>
</Properties>
</file>