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E7A38" w14:textId="3DA0C370" w:rsidR="004D6E95" w:rsidRDefault="006A4357">
      <w:pPr>
        <w:pStyle w:val="Date"/>
      </w:pPr>
      <w:r>
        <w:t>08/12/2026</w:t>
      </w:r>
    </w:p>
    <w:p w14:paraId="3D33AC6E" w14:textId="2F31D0B3" w:rsidR="004D6E95" w:rsidRDefault="006A4357">
      <w:pPr>
        <w:pStyle w:val="Title"/>
      </w:pPr>
      <w:r>
        <w:t xml:space="preserve">CSSE Pitch / iNAT Demo </w:t>
      </w:r>
    </w:p>
    <w:p w14:paraId="56D4CCFE" w14:textId="26033C1F" w:rsidR="0040674F" w:rsidRDefault="0040674F" w:rsidP="006A4357">
      <w:pPr>
        <w:pStyle w:val="Heading1"/>
      </w:pPr>
      <w:r>
        <w:t>CSSE</w:t>
      </w:r>
    </w:p>
    <w:p w14:paraId="044DAD79" w14:textId="0C2B97E0" w:rsidR="0040674F" w:rsidRDefault="0040674F" w:rsidP="0040674F">
      <w:pPr>
        <w:pStyle w:val="Heading2"/>
      </w:pPr>
      <w:r w:rsidRPr="0040674F">
        <w:t>Your software engineering partner for reducing</w:t>
      </w:r>
      <w:r>
        <w:t xml:space="preserve"> software risk through proportionate judgement</w:t>
      </w:r>
    </w:p>
    <w:p w14:paraId="5886658E" w14:textId="43B02052" w:rsidR="004D6E95" w:rsidRDefault="006A4357" w:rsidP="006A4357">
      <w:pPr>
        <w:pStyle w:val="Heading1"/>
      </w:pPr>
      <w:r>
        <w:t>The harm is real: SOFTWARE FAIlures can change research outcomes</w:t>
      </w:r>
    </w:p>
    <w:p>
      <w:pPr>
        <w:pStyle w:val="Subtitle"/>
        <w:keepNext/>
        <w:spacing w:before="0" w:after="160"/>
      </w:pPr>
      <w:r>
        <w:rPr>
          <w:i/>
          <w:color w:val="464646"/>
          <w:sz w:val="20"/>
        </w:rPr>
        <w:t>In each case, software was the failure path: faulty code or algorithms, corrupted spreadsheet transformations, missing runtime environments, disrupted digital infrastructure, or fabricated dependencies.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False-positive rates reached 70%.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fMRI inference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WIRED · 2016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Parametric cluster inference assumed Gaussian, stationary spatial noise that the data did not satisfy.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Excel changed gene names into dates.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Genomic data corruption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NATURE · 2021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Excel’s automatic type conversion silently rewrote gene identifiers, with no schema validation.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74% of tested R files failed initially.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Shared code execution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SCIENTIFIC DATA · 2022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Code embedded absolute paths and undeclared packages instead of a captured, tested runtime environment.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Invalid predictors reached three trials.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Clinical trial validation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NATURE NEWS · 2011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An unvalidated analysis pipeline contained off-by-one indexing, label reversals, and data-alignment errors.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Ransomware disrupted national collections.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Research access outage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NATURE · 2024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Remote server access lacked MFA; legacy, tightly coupled systems slowed isolation and recovery.</w:t>
      </w:r>
    </w:p>
    <w:p>
      <w:pPr>
        <w:pStyle w:val="Heading2"/>
        <w:keepNext/>
        <w:spacing w:before="60" w:after="0" w:line="220" w:lineRule="exact"/>
      </w:pPr>
      <w:r>
        <w:rPr>
          <w:sz w:val="19"/>
        </w:rPr>
        <w:t>Models invented 205,474 package names.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AI dependency hallucination</w:t>
      </w:r>
    </w:p>
    <w:p>
      <w:pPr>
        <w:pStyle w:val="Heading3"/>
        <w:keepNext/>
        <w:spacing w:before="0" w:after="0" w:line="200" w:lineRule="exact"/>
      </w:pPr>
      <w:r>
        <w:rPr>
          <w:sz w:val="17"/>
        </w:rPr>
        <w:t>USENIX · 2025</w:t>
      </w:r>
    </w:p>
    <w:p>
      <w:pPr>
        <w:pStyle w:val="Heading3"/>
        <w:keepNext w:val="0"/>
        <w:spacing w:after="0" w:before="0" w:line="180" w:lineRule="exact"/>
      </w:pPr>
      <w:r>
        <w:rPr>
          <w:b/>
          <w:sz w:val="16"/>
        </w:rPr>
        <w:t xml:space="preserve">Software engineering root cause: </w:t>
      </w:r>
      <w:r>
        <w:rPr>
          <w:sz w:val="16"/>
        </w:rPr>
        <w:t>Generated dependencies were not checked against package registries before code was presented or used.</w:t>
      </w:r>
    </w:p>
    <w:p w14:paraId="122AA9EB" w14:textId="62BDCF55" w:rsidR="004D6E95" w:rsidRDefault="0040674F" w:rsidP="0040674F">
      <w:pPr>
        <w:pStyle w:val="Heading1"/>
        <w:pageBreakBefore/>
      </w:pPr>
      <w:r>
        <w:t>Do any of these warning signs sound familiar in your research group?</w:t>
      </w:r>
    </w:p>
    <w:tbl>
      <w:tblPr>
        <w:tblStyle w:val="GridTable4-Accent4"/>
        <w:tblW w:w="8640" w:type="dxa"/>
        <w:jc w:val="left"/>
        <w:tblLayout w:type="fixed"/>
        <w:tblLook w:val="04A0" w:firstRow="1" w:lastRow="0" w:firstColumn="1" w:lastColumn="0" w:noHBand="0" w:noVBand="1"/>
        <w:tblInd w:type="dxa" w:w="100"/>
      </w:tblPr>
      <w:tblGrid>
        <w:gridCol w:w="5875"/>
        <w:gridCol w:w="2765"/>
      </w:tblGrid>
      <w:tr>
        <w:trPr>
          <w:tblHeader w:val="true"/>
        </w:trPr>
        <w:tc>
          <w:tcPr>
            <w:tcW w:type="dxa" w:w="5875"/>
            <w:vAlign w:val="center"/>
            <w:shd w:fill="4F81BD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Questions for you as research director</w:t>
            </w:r>
          </w:p>
        </w:tc>
        <w:tc>
          <w:tcPr>
            <w:tcW w:type="dxa" w:w="2765"/>
            <w:vAlign w:val="center"/>
            <w:shd w:fill="4F81BD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What it may signal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1. Do you get a clear, evidence-backed answer when you ask why progress stalled?</w:t>
              <w:br/>
            </w:r>
            <w:r>
              <w:rPr>
                <w:b w:val="0"/>
                <w:i w:val="0"/>
                <w:sz w:val="16"/>
              </w:rPr>
              <w:t>Listen for assumptions your team cannot independently check.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Correctness &amp; validation</w:t>
              <w:br/>
            </w:r>
            <w:r>
              <w:rPr>
                <w:b w:val="0"/>
                <w:i w:val="0"/>
                <w:sz w:val="16"/>
              </w:rPr>
              <w:t>Code can shape results.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2. Can your team trace each result to its source data and transformations?</w:t>
              <w:br/>
            </w:r>
            <w:r>
              <w:rPr>
                <w:b w:val="0"/>
                <w:i w:val="0"/>
                <w:sz w:val="16"/>
              </w:rPr>
              <w:t>Listen for manual steps, unclear lineage, or conflicting versions.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Data integrity &amp; provenance</w:t>
              <w:br/>
            </w:r>
            <w:r>
              <w:rPr>
                <w:b w:val="0"/>
                <w:i w:val="0"/>
                <w:sz w:val="16"/>
              </w:rPr>
              <w:t>Data changes across tools.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3. Can another member of your group rerun the work without its original author?</w:t>
              <w:br/>
            </w:r>
            <w:r>
              <w:rPr>
                <w:b w:val="0"/>
                <w:i w:val="0"/>
                <w:sz w:val="16"/>
              </w:rPr>
              <w:t>Listen for laptop-specific setup or undocumented steps.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Reproducible execution</w:t>
              <w:br/>
            </w:r>
            <w:r>
              <w:rPr>
                <w:b w:val="0"/>
                <w:i w:val="0"/>
                <w:sz w:val="16"/>
              </w:rPr>
              <w:t>Beyond one laptop.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4. Do simple workflow questions get long, complicated answers from your team?</w:t>
              <w:br/>
            </w:r>
            <w:r>
              <w:rPr>
                <w:b w:val="0"/>
                <w:i w:val="0"/>
                <w:sz w:val="16"/>
              </w:rPr>
              <w:t>Listen for brittle integrations and hidden dependencies.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Dependencies &amp; integration</w:t>
              <w:br/>
            </w:r>
            <w:r>
              <w:rPr>
                <w:b w:val="0"/>
                <w:i w:val="0"/>
                <w:sz w:val="16"/>
              </w:rPr>
              <w:t>External systems change.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5. Are software issues putting your research schedule behind?</w:t>
              <w:br/>
            </w:r>
            <w:r>
              <w:rPr>
                <w:b w:val="0"/>
                <w:i w:val="0"/>
                <w:sz w:val="16"/>
              </w:rPr>
              <w:t>Listen for recurring failures, slow runs, access, or recovery problems.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Scale, reliability &amp; security</w:t>
              <w:br/>
            </w:r>
            <w:r>
              <w:rPr>
                <w:b w:val="0"/>
                <w:i w:val="0"/>
                <w:sz w:val="16"/>
              </w:rPr>
              <w:t>Use and volume grow.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6. Do new members of your research group face a long ramp-up?</w:t>
              <w:br/>
            </w:r>
            <w:r>
              <w:rPr>
                <w:b w:val="0"/>
                <w:i w:val="0"/>
                <w:sz w:val="16"/>
              </w:rPr>
              <w:t>Listen for knowledge concentrated in one person or unclear ownership.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Continuity &amp; stewardship</w:t>
              <w:br/>
            </w:r>
            <w:r>
              <w:rPr>
                <w:b w:val="0"/>
                <w:i w:val="0"/>
                <w:sz w:val="16"/>
              </w:rPr>
              <w:t>People and funding change.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Consider engineering support when answers are unclear—or depend on one person, one laptop, or fragile tooling.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16"/>
              </w:rPr>
            </w:r>
          </w:p>
        </w:tc>
      </w:tr>
    </w:tbl>
    <w:p w14:paraId="59F9E4DC" w14:textId="77777777" w:rsidR="0040674F" w:rsidRDefault="0040674F" w:rsidP="0040674F">
      <w:pPr>
        <w:pStyle w:val="Heading1"/>
        <w:numPr>
          <w:ilvl w:val="0"/>
          <w:numId w:val="0"/>
        </w:numPr>
      </w:pPr>
    </w:p>
    <w:p>
      <w:pPr>
        <w:pStyle w:val="Heading1"/>
        <w:pageBreakBefore/>
      </w:pPr>
      <w:r>
        <w:t>If these warning signs are present, what should engineering support change?</w:t>
      </w:r>
    </w:p>
    <w:p>
      <w:pPr>
        <w:pStyle w:val="Subtitle"/>
        <w:keepNext/>
        <w:spacing w:after="160"/>
      </w:pPr>
      <w:r>
        <w:t>CSSE turns each director-visible symptom into a proportionate, testable engineering response.</w:t>
      </w:r>
    </w:p>
    <w:tbl>
      <w:tblPr>
        <w:tblStyle w:val="GridTable4-Accent4"/>
        <w:tblW w:w="8640" w:type="dxa"/>
        <w:jc w:val="left"/>
        <w:tblLayout w:type="fixed"/>
        <w:tblLook w:val="04A0" w:firstRow="1" w:lastRow="0" w:firstColumn="1" w:lastColumn="0" w:noHBand="0" w:noVBand="1"/>
        <w:tblInd w:type="dxa" w:w="100"/>
      </w:tblPr>
      <w:tblGrid>
        <w:gridCol w:w="5875"/>
        <w:gridCol w:w="2765"/>
      </w:tblGrid>
      <w:tr>
        <w:trPr>
          <w:tblHeader w:val="true"/>
        </w:trPr>
        <w:tc>
          <w:tcPr>
            <w:tcW w:type="dxa" w:w="5875"/>
            <w:vAlign w:val="center"/>
            <w:shd w:fill="4F81BD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What you should be able to observe</w:t>
            </w:r>
          </w:p>
        </w:tc>
        <w:tc>
          <w:tcPr>
            <w:tcW w:type="dxa" w:w="2765"/>
            <w:vAlign w:val="center"/>
            <w:shd w:fill="4F81BD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How CSSE helps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1. Progress stalls can be explained with evidence.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Protect validity</w:t>
              <w:br/>
            </w:r>
            <w:r>
              <w:rPr>
                <w:sz w:val="16"/>
              </w:rPr>
              <w:t>Verify consequential code paths, assumptions, and outputs.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2. Results can be traced to their source data and transformations.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Preserve data integrity</w:t>
              <w:br/>
            </w:r>
            <w:r>
              <w:rPr>
                <w:sz w:val="16"/>
              </w:rPr>
              <w:t>Add validation, provenance, schema checks, and audit trails.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3. Work can be rerun without its original author or laptop.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Enable reproducibility</w:t>
              <w:br/>
            </w:r>
            <w:r>
              <w:rPr>
                <w:sz w:val="16"/>
              </w:rPr>
              <w:t>Capture environments, dependencies, data, and execution steps.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4. Simple workflow questions receive clear, bounded answers.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Control dependencies</w:t>
              <w:br/>
            </w:r>
            <w:r>
              <w:rPr>
                <w:sz w:val="16"/>
              </w:rPr>
              <w:t>Document interfaces, verify packages and APIs, and isolate failures.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5. Software issues stop repeatedly disrupting the research schedule.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Engineer reliable scale</w:t>
              <w:br/>
            </w:r>
            <w:r>
              <w:rPr>
                <w:sz w:val="16"/>
              </w:rPr>
              <w:t>Right-size performance, security, access, and recovery.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6. New members become productive without depending on one person.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>Sustain continuity</w:t>
              <w:br/>
            </w:r>
            <w:r>
              <w:rPr>
                <w:sz w:val="16"/>
              </w:rPr>
              <w:t>Clarify ownership, maintenance, operations, and handoff.</w:t>
            </w:r>
          </w:p>
        </w:tc>
      </w:tr>
      <w:tr>
        <w:trPr/>
        <w:tc>
          <w:tcPr>
            <w:tcW w:type="dxa" w:w="587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6"/>
              </w:rPr>
              <w:t>Researchers retain scientific judgment. CSSE makes the supporting software visible, testable, repeatable, and sustainable.</w:t>
            </w:r>
          </w:p>
        </w:tc>
        <w:tc>
          <w:tcPr>
            <w:tcW w:type="dxa" w:w="2765"/>
            <w:vAlign w:val="cente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6"/>
              </w:rPr>
            </w:r>
          </w:p>
        </w:tc>
      </w:tr>
    </w:tbl>
    <w:sectPr w:rsidR="0040674F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200B59" w14:textId="77777777" w:rsidR="00CF25E3" w:rsidRDefault="00CF25E3">
      <w:pPr>
        <w:spacing w:after="0" w:line="240" w:lineRule="auto"/>
      </w:pPr>
      <w:r>
        <w:separator/>
      </w:r>
    </w:p>
    <w:p w14:paraId="406017F2" w14:textId="77777777" w:rsidR="00CF25E3" w:rsidRDefault="00CF25E3"/>
  </w:endnote>
  <w:endnote w:type="continuationSeparator" w:id="0">
    <w:p w14:paraId="68BCD850" w14:textId="77777777" w:rsidR="00CF25E3" w:rsidRDefault="00CF25E3">
      <w:pPr>
        <w:spacing w:after="0" w:line="240" w:lineRule="auto"/>
      </w:pPr>
      <w:r>
        <w:continuationSeparator/>
      </w:r>
    </w:p>
    <w:p w14:paraId="2FC3689A" w14:textId="77777777" w:rsidR="00CF25E3" w:rsidRDefault="00CF25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27109" w14:textId="77777777" w:rsidR="004D6E95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6847BD" w14:textId="77777777" w:rsidR="00CF25E3" w:rsidRDefault="00CF25E3">
      <w:pPr>
        <w:spacing w:after="0" w:line="240" w:lineRule="auto"/>
      </w:pPr>
      <w:r>
        <w:separator/>
      </w:r>
    </w:p>
    <w:p w14:paraId="4294EA03" w14:textId="77777777" w:rsidR="00CF25E3" w:rsidRDefault="00CF25E3"/>
  </w:footnote>
  <w:footnote w:type="continuationSeparator" w:id="0">
    <w:p w14:paraId="3681EC0E" w14:textId="77777777" w:rsidR="00CF25E3" w:rsidRDefault="00CF25E3">
      <w:pPr>
        <w:spacing w:after="0" w:line="240" w:lineRule="auto"/>
      </w:pPr>
      <w:r>
        <w:continuationSeparator/>
      </w:r>
    </w:p>
    <w:p w14:paraId="3149AC9A" w14:textId="77777777" w:rsidR="00CF25E3" w:rsidRDefault="00CF25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B0E3A"/>
    <w:multiLevelType w:val="multilevel"/>
    <w:tmpl w:val="D3EA4F6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720" w:hanging="360"/>
      </w:pPr>
    </w:lvl>
    <w:lvl w:ilvl="2">
      <w:start w:val="1"/>
      <w:numFmt w:val="bullet"/>
      <w:pStyle w:val="Heading3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481533580">
    <w:abstractNumId w:val="0"/>
  </w:num>
  <w:num w:numId="2" w16cid:durableId="1146358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57"/>
    <w:rsid w:val="001D5E76"/>
    <w:rsid w:val="0040674F"/>
    <w:rsid w:val="004D6E95"/>
    <w:rsid w:val="00570764"/>
    <w:rsid w:val="006A4357"/>
    <w:rsid w:val="008726DB"/>
    <w:rsid w:val="008B033F"/>
    <w:rsid w:val="00C82BD5"/>
    <w:rsid w:val="00CF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243E"/>
  <w15:chartTrackingRefBased/>
  <w15:docId w15:val="{4D957DAD-7E81-A34D-95F8-356ED0A0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74F"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rsid w:val="00406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40674F"/>
    <w:pPr>
      <w:spacing w:after="0" w:line="240" w:lineRule="auto"/>
    </w:pPr>
    <w:tblPr>
      <w:tblStyleRowBandSize w:val="1"/>
      <w:tblStyleColBandSize w:val="1"/>
      <w:tblBorders>
        <w:top w:val="single" w:sz="4" w:space="0" w:color="BCCEE4" w:themeColor="accent4" w:themeTint="66"/>
        <w:left w:val="single" w:sz="4" w:space="0" w:color="BCCEE4" w:themeColor="accent4" w:themeTint="66"/>
        <w:bottom w:val="single" w:sz="4" w:space="0" w:color="BCCEE4" w:themeColor="accent4" w:themeTint="66"/>
        <w:right w:val="single" w:sz="4" w:space="0" w:color="BCCEE4" w:themeColor="accent4" w:themeTint="66"/>
        <w:insideH w:val="single" w:sz="4" w:space="0" w:color="BCCEE4" w:themeColor="accent4" w:themeTint="66"/>
        <w:insideV w:val="single" w:sz="4" w:space="0" w:color="BCCEE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BB5D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B5D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40674F"/>
    <w:pPr>
      <w:spacing w:after="0" w:line="240" w:lineRule="auto"/>
    </w:pPr>
    <w:tblPr>
      <w:tblStyleRowBandSize w:val="1"/>
      <w:tblStyleColBandSize w:val="1"/>
      <w:tblBorders>
        <w:top w:val="single" w:sz="2" w:space="0" w:color="9BB5D7" w:themeColor="accent4" w:themeTint="99"/>
        <w:bottom w:val="single" w:sz="2" w:space="0" w:color="9BB5D7" w:themeColor="accent4" w:themeTint="99"/>
        <w:insideH w:val="single" w:sz="2" w:space="0" w:color="9BB5D7" w:themeColor="accent4" w:themeTint="99"/>
        <w:insideV w:val="single" w:sz="2" w:space="0" w:color="9BB5D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B5D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B5D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6F1" w:themeFill="accent4" w:themeFillTint="33"/>
      </w:tcPr>
    </w:tblStylePr>
    <w:tblStylePr w:type="band1Horz">
      <w:tblPr/>
      <w:tcPr>
        <w:shd w:val="clear" w:color="auto" w:fill="DDE6F1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570764"/>
    <w:pPr>
      <w:spacing w:after="0" w:line="240" w:lineRule="auto"/>
    </w:pPr>
    <w:tblPr>
      <w:tblStyleRowBandSize w:val="1"/>
      <w:tblStyleColBandSize w:val="1"/>
      <w:tblBorders>
        <w:top w:val="single" w:sz="4" w:space="0" w:color="9BB5D7" w:themeColor="accent4" w:themeTint="99"/>
        <w:left w:val="single" w:sz="4" w:space="0" w:color="9BB5D7" w:themeColor="accent4" w:themeTint="99"/>
        <w:bottom w:val="single" w:sz="4" w:space="0" w:color="9BB5D7" w:themeColor="accent4" w:themeTint="99"/>
        <w:right w:val="single" w:sz="4" w:space="0" w:color="9BB5D7" w:themeColor="accent4" w:themeTint="99"/>
        <w:insideH w:val="single" w:sz="4" w:space="0" w:color="9BB5D7" w:themeColor="accent4" w:themeTint="99"/>
        <w:insideV w:val="single" w:sz="4" w:space="0" w:color="9BB5D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85BD" w:themeColor="accent4"/>
          <w:left w:val="single" w:sz="4" w:space="0" w:color="5985BD" w:themeColor="accent4"/>
          <w:bottom w:val="single" w:sz="4" w:space="0" w:color="5985BD" w:themeColor="accent4"/>
          <w:right w:val="single" w:sz="4" w:space="0" w:color="5985BD" w:themeColor="accent4"/>
          <w:insideH w:val="nil"/>
          <w:insideV w:val="nil"/>
        </w:tcBorders>
        <w:shd w:val="clear" w:color="auto" w:fill="5985BD" w:themeFill="accent4"/>
      </w:tcPr>
    </w:tblStylePr>
    <w:tblStylePr w:type="lastRow">
      <w:rPr>
        <w:b/>
        <w:bCs/>
      </w:rPr>
      <w:tblPr/>
      <w:tcPr>
        <w:tcBorders>
          <w:top w:val="double" w:sz="4" w:space="0" w:color="5985B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6F1" w:themeFill="accent4" w:themeFillTint="33"/>
      </w:tcPr>
    </w:tblStylePr>
    <w:tblStylePr w:type="band1Horz">
      <w:tblPr/>
      <w:tcPr>
        <w:shd w:val="clear" w:color="auto" w:fill="DDE6F1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kbhardwaj6/Library/Containers/com.microsoft.Word/Data/Library/Application%20Support/Microsoft/Office/16.0/DTS/Search/%7b51B7477C-3267-CE41-9266-DAEF04E9E603%7dTF456f16dc-a236-4660-977d-51208346e378c2a7c056-c7a3d4d2a996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21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Bhardwaj</dc:creator>
  <cp:keywords/>
  <dc:description/>
  <cp:lastModifiedBy>Bhardwaj, Ketan</cp:lastModifiedBy>
  <cp:revision>1</cp:revision>
  <dcterms:created xsi:type="dcterms:W3CDTF">2026-08-06T14:12:00Z</dcterms:created>
  <dcterms:modified xsi:type="dcterms:W3CDTF">2026-08-06T15:48:00Z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