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A5C"/>
          <w:sz w:val="52"/>
          <w:szCs w:val="52"/>
        </w:rPr>
        <w:t xml:space="preserve">Winning Without an xG Advantage</w:t>
      </w:r>
    </w:p>
    <w:p>
      <w:pPr>
        <w:spacing w:after="720"/>
        <w:jc w:val="center"/>
      </w:pPr>
      <w:r>
        <w:rPr>
          <w:rFonts w:ascii="Arial" w:cs="Arial" w:eastAsia="Arial" w:hAnsi="Arial"/>
          <w:i/>
          <w:iCs/>
          <w:color w:val="555555"/>
          <w:sz w:val="32"/>
          <w:szCs w:val="32"/>
        </w:rPr>
        <w:t xml:space="preserve">Positional Structure in xG-Parity Matches</w:t>
      </w:r>
    </w:p>
    <w:p>
      <w:pPr>
        <w:pBdr>
          <w:bottom w:val="single" w:color="CCCCCC" w:sz="4" w:space="1"/>
        </w:pBdr>
        <w:spacing w:before="160" w:after="160"/>
      </w:pPr>
    </w:p>
    <w:p>
      <w:pPr>
        <w:spacing w:after="120"/>
        <w:jc w:val="center"/>
      </w:pPr>
      <w:r>
        <w:rPr>
          <w:rFonts w:ascii="Arial" w:cs="Arial" w:eastAsia="Arial" w:hAnsi="Arial"/>
          <w:b/>
          <w:bCs/>
          <w:sz w:val="24"/>
          <w:szCs w:val="24"/>
        </w:rPr>
        <w:t xml:space="preserve">Georgia Tech MSA Spring 2026 Practicum</w:t>
      </w:r>
    </w:p>
    <w:p>
      <w:pPr>
        <w:spacing w:after="120"/>
        <w:jc w:val="center"/>
      </w:pPr>
      <w:r>
        <w:rPr>
          <w:rFonts w:ascii="Arial" w:cs="Arial" w:eastAsia="Arial" w:hAnsi="Arial"/>
          <w:sz w:val="22"/>
          <w:szCs w:val="22"/>
        </w:rPr>
        <w:t xml:space="preserve">Team 4: Alexander Avramov, Noah Boonin, Thomas LaRock</w:t>
      </w:r>
    </w:p>
    <w:p>
      <w:pPr>
        <w:spacing w:after="120"/>
        <w:jc w:val="center"/>
      </w:pPr>
      <w:r>
        <w:rPr>
          <w:rFonts w:ascii="Arial" w:cs="Arial" w:eastAsia="Arial" w:hAnsi="Arial"/>
          <w:sz w:val="22"/>
          <w:szCs w:val="22"/>
        </w:rPr>
        <w:t xml:space="preserve">Track: Soccer Analytics Dashboard</w:t>
      </w:r>
    </w:p>
    <w:p>
      <w:pPr>
        <w:spacing w:after="1440"/>
        <w:jc w:val="center"/>
      </w:pPr>
      <w:r>
        <w:rPr>
          <w:rFonts w:ascii="Arial" w:cs="Arial" w:eastAsia="Arial" w:hAnsi="Arial"/>
          <w:sz w:val="22"/>
          <w:szCs w:val="22"/>
        </w:rPr>
        <w:t xml:space="preserve">April 2026</w:t>
      </w:r>
    </w:p>
    <w:p>
      <w:r>
        <w:br w:type="page"/>
      </w:r>
    </w:p>
    <w:p>
      <w:pPr>
        <w:pStyle w:val="Heading1"/>
        <w:spacing w:before="360" w:after="180"/>
      </w:pPr>
      <w:r>
        <w:rPr>
          <w:rFonts w:ascii="Arial" w:cs="Arial" w:eastAsia="Arial" w:hAnsi="Arial"/>
          <w:b/>
          <w:bCs/>
          <w:color w:val="1A3A5C"/>
          <w:sz w:val="32"/>
          <w:szCs w:val="32"/>
        </w:rPr>
        <w:t xml:space="preserve">Executive Summary</w:t>
      </w:r>
    </w:p>
    <w:p>
      <w:pPr>
        <w:spacing w:after="160"/>
        <w:jc w:val="both"/>
      </w:pPr>
      <w:r>
        <w:rPr>
          <w:rFonts w:ascii="Arial" w:cs="Arial" w:eastAsia="Arial" w:hAnsi="Arial"/>
          <w:sz w:val="22"/>
          <w:szCs w:val="22"/>
        </w:rPr>
        <w:t xml:space="preserve">Nearly one in five professional soccer matches features two teams with virtually identical expected goals. In those matches, someone still won. This analysis asks what separated them.</w:t>
      </w:r>
    </w:p>
    <w:p>
      <w:pPr>
        <w:spacing w:after="160"/>
        <w:jc w:val="both"/>
      </w:pPr>
      <w:r>
        <w:rPr>
          <w:rFonts w:ascii="Arial" w:cs="Arial" w:eastAsia="Arial" w:hAnsi="Arial"/>
          <w:sz w:val="22"/>
          <w:szCs w:val="22"/>
        </w:rPr>
        <w:t xml:space="preserve">Examining 651 xG-parity matches drawn from 3,464 professional games in the StatsBomb open dataset, we find that positional structure reliably separates winners from non-winners even when chance quality cannot. Winning teams consistently hold the ball in more advanced positions and move it more aggressively forward, two behaviors that are statistically independent of each other and together form a measurable tactical signal.</w:t>
      </w:r>
    </w:p>
    <w:p>
      <w:pPr>
        <w:spacing w:after="160"/>
        <w:jc w:val="both"/>
      </w:pPr>
      <w:r>
        <w:rPr>
          <w:rFonts w:ascii="Arial" w:cs="Arial" w:eastAsia="Arial" w:hAnsi="Arial"/>
          <w:b/>
          <w:bCs/>
          <w:sz w:val="22"/>
          <w:szCs w:val="22"/>
        </w:rPr>
        <w:t xml:space="preserve">Key Findings:</w:t>
      </w:r>
    </w:p>
    <w:p>
      <w:pPr>
        <w:pStyle w:val="ListParagraph"/>
        <w:numPr>
          <w:ilvl w:val="0"/>
          <w:numId w:val="2"/>
        </w:numPr>
        <w:spacing w:after="80"/>
      </w:pPr>
      <w:r>
        <w:rPr>
          <w:rFonts w:ascii="Arial" w:cs="Arial" w:eastAsia="Arial" w:hAnsi="Arial"/>
          <w:sz w:val="22"/>
          <w:szCs w:val="22"/>
        </w:rPr>
        <w:t xml:space="preserve">xG-parity matches are genuinely contested, with draw rates nearly 3x higher than matches where one team dominates on xG (chi-square p &lt; 0.0001)</w:t>
      </w:r>
    </w:p>
    <w:p>
      <w:pPr>
        <w:pStyle w:val="ListParagraph"/>
        <w:numPr>
          <w:ilvl w:val="0"/>
          <w:numId w:val="2"/>
        </w:numPr>
        <w:spacing w:after="80"/>
      </w:pPr>
      <w:r>
        <w:rPr>
          <w:rFonts w:ascii="Arial" w:cs="Arial" w:eastAsia="Arial" w:hAnsi="Arial"/>
          <w:sz w:val="22"/>
          <w:szCs w:val="22"/>
        </w:rPr>
        <w:t xml:space="preserve">Winners hold the ball higher, with 6 of 9 positional groups differ significantly after multiple testing correction (Bonferroni)</w:t>
      </w:r>
    </w:p>
    <w:p>
      <w:pPr>
        <w:pStyle w:val="ListParagraph"/>
        <w:numPr>
          <w:ilvl w:val="0"/>
          <w:numId w:val="2"/>
        </w:numPr>
        <w:spacing w:after="80"/>
      </w:pPr>
      <w:r>
        <w:rPr>
          <w:rFonts w:ascii="Arial" w:cs="Arial" w:eastAsia="Arial" w:hAnsi="Arial"/>
          <w:sz w:val="22"/>
          <w:szCs w:val="22"/>
        </w:rPr>
        <w:t xml:space="preserve">Winners move the ball more aggressively forward, and progressive carry distance diverges independently of touch share (Spearman r = -0.086)</w:t>
      </w:r>
    </w:p>
    <w:p>
      <w:pPr>
        <w:pStyle w:val="ListParagraph"/>
        <w:numPr>
          <w:ilvl w:val="0"/>
          <w:numId w:val="2"/>
        </w:numPr>
        <w:spacing w:after="80"/>
      </w:pPr>
      <w:r>
        <w:rPr>
          <w:rFonts w:ascii="Arial" w:cs="Arial" w:eastAsia="Arial" w:hAnsi="Arial"/>
          <w:sz w:val="22"/>
          <w:szCs w:val="22"/>
        </w:rPr>
        <w:t xml:space="preserve">These signals predict outcomes, as the Forward Possession Index achieves AUC = 0.558 across 1,302 team-match observations</w:t>
      </w:r>
    </w:p>
    <w:p>
      <w:pPr>
        <w:spacing w:after="160"/>
        <w:jc w:val="both"/>
      </w:pPr>
      <w:r>
        <w:rPr>
          <w:rFonts w:ascii="Arial" w:cs="Arial" w:eastAsia="Arial" w:hAnsi="Arial"/>
          <w:sz w:val="22"/>
          <w:szCs w:val="22"/>
        </w:rPr>
        <w:t xml:space="preserve"/>
      </w:r>
    </w:p>
    <w:p>
      <w:pPr>
        <w:spacing w:after="160"/>
        <w:jc w:val="both"/>
      </w:pPr>
      <w:r>
        <w:rPr>
          <w:rFonts w:ascii="Arial" w:cs="Arial" w:eastAsia="Arial" w:hAnsi="Arial"/>
          <w:b/>
          <w:bCs/>
          <w:sz w:val="22"/>
          <w:szCs w:val="22"/>
        </w:rPr>
        <w:t xml:space="preserve">Implications:</w:t>
      </w:r>
    </w:p>
    <w:p>
      <w:pPr>
        <w:spacing w:after="160"/>
        <w:jc w:val="both"/>
      </w:pPr>
      <w:r>
        <w:rPr>
          <w:rFonts w:ascii="Arial" w:cs="Arial" w:eastAsia="Arial" w:hAnsi="Arial"/>
          <w:sz w:val="22"/>
          <w:szCs w:val="22"/>
        </w:rPr>
        <w:t xml:space="preserve">In closely contested matches where chance quality is roughly equal, the team that plays higher and moves the ball forward more aggressively tends to win more often. Positional structure is not noise. It is signal, and it is exactly the kind of evidence that separates tactical intuition from tactical fact.</w:t>
      </w:r>
    </w:p>
    <w:p>
      <w:r>
        <w:br w:type="page"/>
      </w:r>
    </w:p>
    <w:p>
      <w:pPr>
        <w:pStyle w:val="Heading1"/>
        <w:spacing w:before="360" w:after="180"/>
      </w:pPr>
      <w:r>
        <w:rPr>
          <w:rFonts w:ascii="Arial" w:cs="Arial" w:eastAsia="Arial" w:hAnsi="Arial"/>
          <w:b/>
          <w:bCs/>
          <w:color w:val="1A3A5C"/>
          <w:sz w:val="32"/>
          <w:szCs w:val="32"/>
        </w:rPr>
        <w:t xml:space="preserve">1. Introduction and Motivation</w:t>
      </w:r>
    </w:p>
    <w:p>
      <w:pPr>
        <w:pStyle w:val="Heading2"/>
        <w:spacing w:before="240" w:after="120"/>
      </w:pPr>
      <w:r>
        <w:rPr>
          <w:rFonts w:ascii="Arial" w:cs="Arial" w:eastAsia="Arial" w:hAnsi="Arial"/>
          <w:b/>
          <w:bCs/>
          <w:sz w:val="26"/>
          <w:szCs w:val="26"/>
        </w:rPr>
        <w:t xml:space="preserve">1.1 Background</w:t>
      </w:r>
    </w:p>
    <w:p>
      <w:pPr>
        <w:spacing w:after="160"/>
        <w:jc w:val="both"/>
      </w:pPr>
      <w:r>
        <w:rPr>
          <w:rFonts w:ascii="Arial" w:cs="Arial" w:eastAsia="Arial" w:hAnsi="Arial"/>
          <w:sz w:val="22"/>
          <w:szCs w:val="22"/>
        </w:rPr>
        <w:t xml:space="preserve">Expected goals (xG) has become the gold standard for evaluating team performance and explaining match outcomes in professional soccer. By assigning a probability to every shot based on its location, angle, and context, xG provides a principled way to separate performance from luck. A team that generates 2.5 xG while conceding 0.8 xG probably deserved to win, even if the scoreboard says otherwise.</w:t>
      </w:r>
    </w:p>
    <w:p>
      <w:pPr>
        <w:spacing w:after="160"/>
        <w:jc w:val="both"/>
      </w:pPr>
      <w:r>
        <w:rPr>
          <w:rFonts w:ascii="Arial" w:cs="Arial" w:eastAsia="Arial" w:hAnsi="Arial"/>
          <w:sz w:val="22"/>
          <w:szCs w:val="22"/>
        </w:rPr>
        <w:t xml:space="preserve">But xG has a blind spot. Nearly one in five professional soccer matches features two teams with virtually identical xG totals. In those matches, xG has nothing to say. Both teams created similar chances. Both teams defended similarly. And yet, someone still won.</w:t>
      </w:r>
    </w:p>
    <w:p>
      <w:pPr>
        <w:pStyle w:val="Heading2"/>
        <w:spacing w:before="240" w:after="120"/>
      </w:pPr>
      <w:r>
        <w:rPr>
          <w:rFonts w:ascii="Arial" w:cs="Arial" w:eastAsia="Arial" w:hAnsi="Arial"/>
          <w:b/>
          <w:bCs/>
          <w:sz w:val="26"/>
          <w:szCs w:val="26"/>
        </w:rPr>
        <w:t xml:space="preserve">1.2 The xG-Parity Phenomenon</w:t>
      </w:r>
    </w:p>
    <w:p>
      <w:pPr>
        <w:spacing w:after="160"/>
        <w:jc w:val="both"/>
      </w:pPr>
      <w:r>
        <w:rPr>
          <w:rFonts w:ascii="Arial" w:cs="Arial" w:eastAsia="Arial" w:hAnsi="Arial"/>
          <w:sz w:val="22"/>
          <w:szCs w:val="22"/>
        </w:rPr>
        <w:t xml:space="preserve">Across the 3,464 professional matches in the StatsBomb open dataset, we find that 651 matches, approximately 18.8% of the total, fall within an absolute xG difference of 0.3 or less. In these matches, nearly one in three ends in a draw, compared to roughly one in nine when one team dominates on xG. Despite this elevated uncertainty, the majority still produce a decisive outcome.</w:t>
      </w:r>
    </w:p>
    <w:p>
      <w:pPr>
        <w:spacing w:after="160"/>
        <w:jc w:val="both"/>
      </w:pPr>
      <w:r>
        <w:rPr>
          <w:rFonts w:ascii="Arial" w:cs="Arial" w:eastAsia="Arial" w:hAnsi="Arial"/>
          <w:sz w:val="22"/>
          <w:szCs w:val="22"/>
        </w:rPr>
        <w:t xml:space="preserve">This is the xG-parity regime: a subset of matches where conventional performance metrics offer limited explanatory power, and where tactical factors beyond chance creation may play a decisive role.</w:t>
      </w:r>
    </w:p>
    <w:p>
      <w:pPr>
        <w:pStyle w:val="Heading2"/>
        <w:spacing w:before="240" w:after="120"/>
      </w:pPr>
      <w:r>
        <w:rPr>
          <w:rFonts w:ascii="Arial" w:cs="Arial" w:eastAsia="Arial" w:hAnsi="Arial"/>
          <w:b/>
          <w:bCs/>
          <w:sz w:val="26"/>
          <w:szCs w:val="26"/>
        </w:rPr>
        <w:t xml:space="preserve">1.3 Hypothesis</w:t>
      </w:r>
    </w:p>
    <w:p>
      <w:pPr>
        <w:spacing w:after="160"/>
        <w:jc w:val="both"/>
      </w:pPr>
      <w:r>
        <w:rPr>
          <w:rFonts w:ascii="Arial" w:cs="Arial" w:eastAsia="Arial" w:hAnsi="Arial"/>
          <w:sz w:val="22"/>
          <w:szCs w:val="22"/>
        </w:rPr>
        <w:t xml:space="preserve">We hypothesize that positional structure, defined as how teams distribute possession across positions and how aggressively they advance the ball, may explain match outcomes when xG cannot. Specifically, we expect that winning teams will allocate more possession to advanced positions and move the ball forward more aggressively than non-winning teams within this xG-parity subset.</w:t>
      </w:r>
    </w:p>
    <w:p>
      <w:pPr>
        <w:pStyle w:val="Heading2"/>
        <w:spacing w:before="240" w:after="120"/>
      </w:pPr>
      <w:r>
        <w:rPr>
          <w:rFonts w:ascii="Arial" w:cs="Arial" w:eastAsia="Arial" w:hAnsi="Arial"/>
          <w:b/>
          <w:bCs/>
          <w:sz w:val="26"/>
          <w:szCs w:val="26"/>
        </w:rPr>
        <w:t xml:space="preserve">1.4 Project Goals</w:t>
      </w:r>
    </w:p>
    <w:p>
      <w:pPr>
        <w:pStyle w:val="ListParagraph"/>
        <w:numPr>
          <w:ilvl w:val="0"/>
          <w:numId w:val="3"/>
        </w:numPr>
        <w:spacing w:after="80"/>
      </w:pPr>
      <w:r>
        <w:rPr>
          <w:rFonts w:ascii="Arial" w:cs="Arial" w:eastAsia="Arial" w:hAnsi="Arial"/>
          <w:sz w:val="22"/>
          <w:szCs w:val="22"/>
        </w:rPr>
        <w:t xml:space="preserve">Identify structural differences in positional touch share between winning and non-winning teams in xG-parity matches</w:t>
      </w:r>
    </w:p>
    <w:p>
      <w:pPr>
        <w:pStyle w:val="ListParagraph"/>
        <w:numPr>
          <w:ilvl w:val="0"/>
          <w:numId w:val="3"/>
        </w:numPr>
        <w:spacing w:after="80"/>
      </w:pPr>
      <w:r>
        <w:rPr>
          <w:rFonts w:ascii="Arial" w:cs="Arial" w:eastAsia="Arial" w:hAnsi="Arial"/>
          <w:sz w:val="22"/>
          <w:szCs w:val="22"/>
        </w:rPr>
        <w:t xml:space="preserve">Quantify progressive ball movement differences across positions</w:t>
      </w:r>
    </w:p>
    <w:p>
      <w:pPr>
        <w:pStyle w:val="ListParagraph"/>
        <w:numPr>
          <w:ilvl w:val="0"/>
          <w:numId w:val="3"/>
        </w:numPr>
        <w:spacing w:after="80"/>
      </w:pPr>
      <w:r>
        <w:rPr>
          <w:rFonts w:ascii="Arial" w:cs="Arial" w:eastAsia="Arial" w:hAnsi="Arial"/>
          <w:sz w:val="22"/>
          <w:szCs w:val="22"/>
        </w:rPr>
        <w:t xml:space="preserve">Construct a composite Forward Possession Index (FPI) to test whether positional structure carries predictive signal</w:t>
      </w:r>
    </w:p>
    <w:p>
      <w:pPr>
        <w:pStyle w:val="ListParagraph"/>
        <w:numPr>
          <w:ilvl w:val="0"/>
          <w:numId w:val="3"/>
        </w:numPr>
        <w:spacing w:after="80"/>
      </w:pPr>
      <w:r>
        <w:rPr>
          <w:rFonts w:ascii="Arial" w:cs="Arial" w:eastAsia="Arial" w:hAnsi="Arial"/>
          <w:sz w:val="22"/>
          <w:szCs w:val="22"/>
        </w:rPr>
        <w:t xml:space="preserve">Establish a statistical foundation for future tactical archetype clustering and dashboard development</w:t>
      </w:r>
    </w:p>
    <w:p>
      <w:r>
        <w:br w:type="page"/>
      </w:r>
    </w:p>
    <w:p>
      <w:pPr>
        <w:pStyle w:val="Heading1"/>
        <w:spacing w:before="360" w:after="180"/>
      </w:pPr>
      <w:r>
        <w:rPr>
          <w:rFonts w:ascii="Arial" w:cs="Arial" w:eastAsia="Arial" w:hAnsi="Arial"/>
          <w:b/>
          <w:bCs/>
          <w:color w:val="1A3A5C"/>
          <w:sz w:val="32"/>
          <w:szCs w:val="32"/>
        </w:rPr>
        <w:t xml:space="preserve">2. Research Question and Scope</w:t>
      </w:r>
    </w:p>
    <w:p>
      <w:pPr>
        <w:pStyle w:val="Heading2"/>
        <w:spacing w:before="240" w:after="120"/>
      </w:pPr>
      <w:r>
        <w:rPr>
          <w:rFonts w:ascii="Arial" w:cs="Arial" w:eastAsia="Arial" w:hAnsi="Arial"/>
          <w:b/>
          <w:bCs/>
          <w:sz w:val="26"/>
          <w:szCs w:val="26"/>
        </w:rPr>
        <w:t xml:space="preserve">2.1 Primary Research Question</w:t>
      </w:r>
    </w:p>
    <w:p>
      <w:pPr>
        <w:spacing w:after="160"/>
        <w:jc w:val="both"/>
      </w:pPr>
      <w:r>
        <w:rPr>
          <w:rFonts w:ascii="Arial" w:cs="Arial" w:eastAsia="Arial" w:hAnsi="Arial"/>
          <w:b/>
          <w:bCs/>
          <w:i/>
          <w:iCs/>
          <w:sz w:val="22"/>
          <w:szCs w:val="22"/>
        </w:rPr>
        <w:t xml:space="preserve">Do winning teams exhibit systematically different positional structures than non-winning teams in xG-parity matches?</w:t>
      </w:r>
    </w:p>
    <w:p>
      <w:pPr>
        <w:spacing w:after="160"/>
        <w:jc w:val="both"/>
      </w:pPr>
      <w:r>
        <w:rPr>
          <w:rFonts w:ascii="Arial" w:cs="Arial" w:eastAsia="Arial" w:hAnsi="Arial"/>
          <w:sz w:val="22"/>
          <w:szCs w:val="22"/>
        </w:rPr>
        <w:t xml:space="preserve">This question has three analytical sub-components. First, do winners distribute touches differently across positional groups? Second, do winners move the ball forward more aggressively? Third, are these two behaviors independent of each other, or are they different measurements of the same underlying tactical choice?</w:t>
      </w:r>
    </w:p>
    <w:p>
      <w:pPr>
        <w:pStyle w:val="Heading2"/>
        <w:spacing w:before="240" w:after="120"/>
      </w:pPr>
      <w:r>
        <w:rPr>
          <w:rFonts w:ascii="Arial" w:cs="Arial" w:eastAsia="Arial" w:hAnsi="Arial"/>
          <w:b/>
          <w:bCs/>
          <w:sz w:val="26"/>
          <w:szCs w:val="26"/>
        </w:rPr>
        <w:t xml:space="preserve">2.2 Gap in Existing Tools</w:t>
      </w:r>
    </w:p>
    <w:p>
      <w:pPr>
        <w:spacing w:after="160"/>
        <w:jc w:val="both"/>
      </w:pPr>
      <w:r>
        <w:rPr>
          <w:rFonts w:ascii="Arial" w:cs="Arial" w:eastAsia="Arial" w:hAnsi="Arial"/>
          <w:sz w:val="22"/>
          <w:szCs w:val="22"/>
        </w:rPr>
        <w:t xml:space="preserve">Current soccer analytics platforms, including FBref, Understat, and StatsBomb IQ, provide xG values, shot maps, and basic possession statistics. None provide automatic identification of xG-parity matches as a distinct analytical regime, nor do they offer positional structure analysis within that regime. This project addresses that gap directly.</w:t>
      </w:r>
    </w:p>
    <w:p>
      <w:pPr>
        <w:pStyle w:val="Heading2"/>
        <w:spacing w:before="240" w:after="120"/>
      </w:pPr>
      <w:r>
        <w:rPr>
          <w:rFonts w:ascii="Arial" w:cs="Arial" w:eastAsia="Arial" w:hAnsi="Arial"/>
          <w:b/>
          <w:bCs/>
          <w:sz w:val="26"/>
          <w:szCs w:val="26"/>
        </w:rPr>
        <w:t xml:space="preserve">2.3 Scope</w:t>
      </w:r>
    </w:p>
    <w:p>
      <w:pPr>
        <w:spacing w:after="160"/>
        <w:jc w:val="both"/>
      </w:pPr>
      <w:r>
        <w:rPr>
          <w:rFonts w:ascii="Arial" w:cs="Arial" w:eastAsia="Arial" w:hAnsi="Arial"/>
          <w:b/>
          <w:bCs/>
          <w:sz w:val="22"/>
          <w:szCs w:val="22"/>
        </w:rPr>
        <w:t xml:space="preserve">In scope:</w:t>
      </w:r>
    </w:p>
    <w:p>
      <w:pPr>
        <w:pStyle w:val="ListParagraph"/>
        <w:numPr>
          <w:ilvl w:val="0"/>
          <w:numId w:val="2"/>
        </w:numPr>
        <w:spacing w:after="80"/>
      </w:pPr>
      <w:r>
        <w:rPr>
          <w:rFonts w:ascii="Arial" w:cs="Arial" w:eastAsia="Arial" w:hAnsi="Arial"/>
          <w:sz w:val="22"/>
          <w:szCs w:val="22"/>
        </w:rPr>
        <w:t xml:space="preserve">xG-parity match identification and validation</w:t>
      </w:r>
    </w:p>
    <w:p>
      <w:pPr>
        <w:pStyle w:val="ListParagraph"/>
        <w:numPr>
          <w:ilvl w:val="0"/>
          <w:numId w:val="2"/>
        </w:numPr>
        <w:spacing w:after="80"/>
      </w:pPr>
      <w:r>
        <w:rPr>
          <w:rFonts w:ascii="Arial" w:cs="Arial" w:eastAsia="Arial" w:hAnsi="Arial"/>
          <w:sz w:val="22"/>
          <w:szCs w:val="22"/>
        </w:rPr>
        <w:t xml:space="preserve">Positional touch share analysis with full statistical testing</w:t>
      </w:r>
    </w:p>
    <w:p>
      <w:pPr>
        <w:pStyle w:val="ListParagraph"/>
        <w:numPr>
          <w:ilvl w:val="0"/>
          <w:numId w:val="2"/>
        </w:numPr>
        <w:spacing w:after="80"/>
      </w:pPr>
      <w:r>
        <w:rPr>
          <w:rFonts w:ascii="Arial" w:cs="Arial" w:eastAsia="Arial" w:hAnsi="Arial"/>
          <w:sz w:val="22"/>
          <w:szCs w:val="22"/>
        </w:rPr>
        <w:t xml:space="preserve">Progressive carry distance analysis</w:t>
      </w:r>
    </w:p>
    <w:p>
      <w:pPr>
        <w:pStyle w:val="ListParagraph"/>
        <w:numPr>
          <w:ilvl w:val="0"/>
          <w:numId w:val="2"/>
        </w:numPr>
        <w:spacing w:after="80"/>
      </w:pPr>
      <w:r>
        <w:rPr>
          <w:rFonts w:ascii="Arial" w:cs="Arial" w:eastAsia="Arial" w:hAnsi="Arial"/>
          <w:sz w:val="22"/>
          <w:szCs w:val="22"/>
        </w:rPr>
        <w:t xml:space="preserve">Forward Possession Index construction and evaluation</w:t>
      </w:r>
    </w:p>
    <w:p>
      <w:pPr>
        <w:pStyle w:val="ListParagraph"/>
        <w:numPr>
          <w:ilvl w:val="0"/>
          <w:numId w:val="2"/>
        </w:numPr>
        <w:spacing w:after="80"/>
      </w:pPr>
      <w:r>
        <w:rPr>
          <w:rFonts w:ascii="Arial" w:cs="Arial" w:eastAsia="Arial" w:hAnsi="Arial"/>
          <w:sz w:val="22"/>
          <w:szCs w:val="22"/>
        </w:rPr>
        <w:t xml:space="preserve">Team-level tactical profile analysis</w:t>
      </w:r>
    </w:p>
    <w:p>
      <w:pPr>
        <w:spacing w:after="160"/>
        <w:jc w:val="both"/>
      </w:pPr>
      <w:r>
        <w:rPr>
          <w:rFonts w:ascii="Arial" w:cs="Arial" w:eastAsia="Arial" w:hAnsi="Arial"/>
          <w:sz w:val="22"/>
          <w:szCs w:val="22"/>
        </w:rPr>
        <w:t xml:space="preserve"/>
      </w:r>
    </w:p>
    <w:p>
      <w:pPr>
        <w:spacing w:after="160"/>
        <w:jc w:val="both"/>
      </w:pPr>
      <w:r>
        <w:rPr>
          <w:rFonts w:ascii="Arial" w:cs="Arial" w:eastAsia="Arial" w:hAnsi="Arial"/>
          <w:b/>
          <w:bCs/>
          <w:sz w:val="22"/>
          <w:szCs w:val="22"/>
        </w:rPr>
        <w:t xml:space="preserve">Out of scope:</w:t>
      </w:r>
    </w:p>
    <w:p>
      <w:pPr>
        <w:pStyle w:val="ListParagraph"/>
        <w:numPr>
          <w:ilvl w:val="0"/>
          <w:numId w:val="2"/>
        </w:numPr>
        <w:spacing w:after="80"/>
      </w:pPr>
      <w:r>
        <w:rPr>
          <w:rFonts w:ascii="Arial" w:cs="Arial" w:eastAsia="Arial" w:hAnsi="Arial"/>
          <w:sz w:val="22"/>
          <w:szCs w:val="22"/>
        </w:rPr>
        <w:t xml:space="preserve">Real-time or predictive match outcome modeling</w:t>
      </w:r>
    </w:p>
    <w:p>
      <w:pPr>
        <w:pStyle w:val="ListParagraph"/>
        <w:numPr>
          <w:ilvl w:val="0"/>
          <w:numId w:val="2"/>
        </w:numPr>
        <w:spacing w:after="80"/>
      </w:pPr>
      <w:r>
        <w:rPr>
          <w:rFonts w:ascii="Arial" w:cs="Arial" w:eastAsia="Arial" w:hAnsi="Arial"/>
          <w:sz w:val="22"/>
          <w:szCs w:val="22"/>
        </w:rPr>
        <w:t xml:space="preserve">Individual player-level analysis</w:t>
      </w:r>
    </w:p>
    <w:p>
      <w:pPr>
        <w:pStyle w:val="ListParagraph"/>
        <w:numPr>
          <w:ilvl w:val="0"/>
          <w:numId w:val="2"/>
        </w:numPr>
        <w:spacing w:after="80"/>
      </w:pPr>
      <w:r>
        <w:rPr>
          <w:rFonts w:ascii="Arial" w:cs="Arial" w:eastAsia="Arial" w:hAnsi="Arial"/>
          <w:sz w:val="22"/>
          <w:szCs w:val="22"/>
        </w:rPr>
        <w:t xml:space="preserve">Causal inference (this analysis identifies associations, not causes)</w:t>
      </w:r>
    </w:p>
    <w:p>
      <w:pPr>
        <w:pStyle w:val="Heading2"/>
        <w:spacing w:before="240" w:after="120"/>
      </w:pPr>
      <w:r>
        <w:rPr>
          <w:rFonts w:ascii="Arial" w:cs="Arial" w:eastAsia="Arial" w:hAnsi="Arial"/>
          <w:b/>
          <w:bCs/>
          <w:sz w:val="26"/>
          <w:szCs w:val="26"/>
        </w:rPr>
        <w:t xml:space="preserve">2.4 Data Challenges and Assumptions</w:t>
      </w:r>
    </w:p>
    <w:p>
      <w:pPr>
        <w:pStyle w:val="Heading3"/>
        <w:spacing w:before="180" w:after="80"/>
      </w:pPr>
      <w:r>
        <w:rPr>
          <w:rFonts w:ascii="Arial" w:cs="Arial" w:eastAsia="Arial" w:hAnsi="Arial"/>
          <w:b/>
          <w:bCs/>
          <w:sz w:val="24"/>
          <w:szCs w:val="24"/>
        </w:rPr>
        <w:t xml:space="preserve">2.4.1 Positional Mapping</w:t>
      </w:r>
    </w:p>
    <w:p>
      <w:pPr>
        <w:spacing w:after="160"/>
        <w:jc w:val="both"/>
      </w:pPr>
      <w:r>
        <w:rPr>
          <w:rFonts w:ascii="Arial" w:cs="Arial" w:eastAsia="Arial" w:hAnsi="Arial"/>
          <w:sz w:val="22"/>
          <w:szCs w:val="22"/>
        </w:rPr>
        <w:t xml:space="preserve">Soccer is inherently fluid. A player's nominal position rarely describes their average location over 90 minutes. We address this by mapping over 20 granular StatsBomb position labels into nine stable functional bins: Goalkeeper, Center Back, Fullback, Defensive Midfield, Central Midfield, Wide Midfield, Attacking Midfield, Wide Forward, and Striker. We assume that these bins sufficiently represent tactical responsibility for the duration of a player's time on the pitch, despite potential mid-match formation shifts.</w:t>
      </w:r>
    </w:p>
    <w:p>
      <w:pPr>
        <w:pStyle w:val="Heading3"/>
        <w:spacing w:before="180" w:after="80"/>
      </w:pPr>
      <w:r>
        <w:rPr>
          <w:rFonts w:ascii="Arial" w:cs="Arial" w:eastAsia="Arial" w:hAnsi="Arial"/>
          <w:b/>
          <w:bCs/>
          <w:sz w:val="24"/>
          <w:szCs w:val="24"/>
        </w:rPr>
        <w:t xml:space="preserve">2.4.2 Statistical Independence</w:t>
      </w:r>
    </w:p>
    <w:p>
      <w:pPr>
        <w:spacing w:after="160"/>
        <w:jc w:val="both"/>
      </w:pPr>
      <w:r>
        <w:rPr>
          <w:rFonts w:ascii="Arial" w:cs="Arial" w:eastAsia="Arial" w:hAnsi="Arial"/>
          <w:sz w:val="22"/>
          <w:szCs w:val="22"/>
        </w:rPr>
        <w:t xml:space="preserve">Our dataset contains two observations per match, one per team, resulting in 1,302 team-match observations from 651 matches. Observations from the same match are not fully independent: if Team A wins, Team B does not. We address this by running a Wilcoxon signed-rank test (a matched-pairs approach) alongside our primary Mann-Whitney U tests, confirming that the core findings survive the stricter independence assumption.</w:t>
      </w:r>
    </w:p>
    <w:p>
      <w:pPr>
        <w:pStyle w:val="Heading3"/>
        <w:spacing w:before="180" w:after="80"/>
      </w:pPr>
      <w:r>
        <w:rPr>
          <w:rFonts w:ascii="Arial" w:cs="Arial" w:eastAsia="Arial" w:hAnsi="Arial"/>
          <w:b/>
          <w:bCs/>
          <w:sz w:val="24"/>
          <w:szCs w:val="24"/>
        </w:rPr>
        <w:t xml:space="preserve">2.4.3 Contextual Limitations</w:t>
      </w:r>
    </w:p>
    <w:p>
      <w:pPr>
        <w:spacing w:after="160"/>
        <w:jc w:val="both"/>
      </w:pPr>
      <w:r>
        <w:rPr>
          <w:rFonts w:ascii="Arial" w:cs="Arial" w:eastAsia="Arial" w:hAnsi="Arial"/>
          <w:sz w:val="22"/>
          <w:szCs w:val="22"/>
        </w:rPr>
        <w:t xml:space="preserve">We do not control for game state (scoreboard effect), home and away bias, or relative team strength. We assume that the xG-parity filter acts as a sufficient equalizer for team quality, and that average positional structure across a match represents tactical intent. These assumptions are acknowledged limitations, discussed further in Section 7.</w:t>
      </w:r>
    </w:p>
    <w:p>
      <w:r>
        <w:br w:type="page"/>
      </w:r>
    </w:p>
    <w:p>
      <w:pPr>
        <w:pStyle w:val="Heading1"/>
        <w:spacing w:before="360" w:after="180"/>
      </w:pPr>
      <w:r>
        <w:rPr>
          <w:rFonts w:ascii="Arial" w:cs="Arial" w:eastAsia="Arial" w:hAnsi="Arial"/>
          <w:b/>
          <w:bCs/>
          <w:color w:val="1A3A5C"/>
          <w:sz w:val="32"/>
          <w:szCs w:val="32"/>
        </w:rPr>
        <w:t xml:space="preserve">3. Literature Review</w:t>
      </w:r>
    </w:p>
    <w:p>
      <w:pPr>
        <w:pStyle w:val="Heading2"/>
        <w:spacing w:before="240" w:after="120"/>
      </w:pPr>
      <w:r>
        <w:rPr>
          <w:rFonts w:ascii="Arial" w:cs="Arial" w:eastAsia="Arial" w:hAnsi="Arial"/>
          <w:b/>
          <w:bCs/>
          <w:sz w:val="26"/>
          <w:szCs w:val="26"/>
        </w:rPr>
        <w:t xml:space="preserve">3.1 Expected Goals in Soccer Analytics</w:t>
      </w:r>
    </w:p>
    <w:p>
      <w:pPr>
        <w:spacing w:after="160"/>
        <w:jc w:val="both"/>
      </w:pPr>
      <w:r>
        <w:rPr>
          <w:rFonts w:ascii="Arial" w:cs="Arial" w:eastAsia="Arial" w:hAnsi="Arial"/>
          <w:sz w:val="22"/>
          <w:szCs w:val="22"/>
        </w:rPr>
        <w:t xml:space="preserve">Expected goals (xG) has become the dominant metric in soccer analytics for evaluating team performance and explaining match outcomes (Mead et al., 2023; Rathke, 2017). Rathke (2017) provided one of the first comprehensive examinations of xG as a shot efficiency metric, demonstrating its superiority over traditional statistics in predicting team performance. More recent work by Mead et al. (2023) showed that xG models using machine learning techniques achieve competitive log-loss scores, with distance and angle being the most influential features.</w:t>
      </w:r>
    </w:p>
    <w:p>
      <w:pPr>
        <w:spacing w:after="160"/>
        <w:jc w:val="both"/>
      </w:pPr>
      <w:r>
        <w:rPr>
          <w:rFonts w:ascii="Arial" w:cs="Arial" w:eastAsia="Arial" w:hAnsi="Arial"/>
          <w:sz w:val="22"/>
          <w:szCs w:val="22"/>
        </w:rPr>
        <w:t xml:space="preserve">xG is now widely used by professional clubs, media outlets, and betting markets (Green, 2012). However, several studies have acknowledged its limitations: it does not capture buildup play or possession quality (Fernandez et al., 2021), treats shots independently without sequential context (Anzer and Bauer, 2021), and offers limited explanatory power when chance quality is equal between opponents. This final limitation directly motivates our focus on the xG-parity regime.</w:t>
      </w:r>
    </w:p>
    <w:p>
      <w:pPr>
        <w:pStyle w:val="Heading2"/>
        <w:spacing w:before="240" w:after="120"/>
      </w:pPr>
      <w:r>
        <w:rPr>
          <w:rFonts w:ascii="Arial" w:cs="Arial" w:eastAsia="Arial" w:hAnsi="Arial"/>
          <w:b/>
          <w:bCs/>
          <w:sz w:val="26"/>
          <w:szCs w:val="26"/>
        </w:rPr>
        <w:t xml:space="preserve">3.2 Tactical Analysis and Positional Play</w:t>
      </w:r>
    </w:p>
    <w:p>
      <w:pPr>
        <w:spacing w:after="160"/>
        <w:jc w:val="both"/>
      </w:pPr>
      <w:r>
        <w:rPr>
          <w:rFonts w:ascii="Arial" w:cs="Arial" w:eastAsia="Arial" w:hAnsi="Arial"/>
          <w:sz w:val="22"/>
          <w:szCs w:val="22"/>
        </w:rPr>
        <w:t xml:space="preserve">Research on tactical structure in soccer has increasingly focused on spatial patterns. Memmert et al. (2017) provided a comprehensive review of tactical performance analysis using position data, noting the shift from notational analysis to spatiotemporal approaches. Clemente et al. (2016) used network analysis to examine passing patterns and team connectivity, demonstrating how positional relationships affect offensive success.</w:t>
      </w:r>
    </w:p>
    <w:p>
      <w:pPr>
        <w:spacing w:after="160"/>
        <w:jc w:val="both"/>
      </w:pPr>
      <w:r>
        <w:rPr>
          <w:rFonts w:ascii="Arial" w:cs="Arial" w:eastAsia="Arial" w:hAnsi="Arial"/>
          <w:sz w:val="22"/>
          <w:szCs w:val="22"/>
        </w:rPr>
        <w:t xml:space="preserve">Beyond xG, Fernandez et al. (2021) introduced Expected Possession Value (EPV), which estimates the probability of scoring from any possession state, not just shots. This framework explicitly models buildup play, addressing a key limitation of xG. Recent work by Romero Clavijo et al. (2024) used cluster analysis to identify distinct attacking and defensive styles, finding that spatial variables contributed most to pattern separation, an approach that informs our methodology.</w:t>
      </w:r>
    </w:p>
    <w:p>
      <w:pPr>
        <w:spacing w:after="160"/>
        <w:jc w:val="both"/>
      </w:pPr>
      <w:r>
        <w:rPr>
          <w:rFonts w:ascii="Arial" w:cs="Arial" w:eastAsia="Arial" w:hAnsi="Arial"/>
          <w:sz w:val="22"/>
          <w:szCs w:val="22"/>
        </w:rPr>
        <w:t xml:space="preserve">While existing research analyzes possession patterns across all matches, no published work specifically examines positional structure in xG-parity matches, the subset where tactical structure may matter most. This study addresses that gap.</w:t>
      </w:r>
    </w:p>
    <w:p>
      <w:pPr>
        <w:pStyle w:val="Heading2"/>
        <w:spacing w:before="240" w:after="120"/>
      </w:pPr>
      <w:r>
        <w:rPr>
          <w:rFonts w:ascii="Arial" w:cs="Arial" w:eastAsia="Arial" w:hAnsi="Arial"/>
          <w:b/>
          <w:bCs/>
          <w:sz w:val="26"/>
          <w:szCs w:val="26"/>
        </w:rPr>
        <w:t xml:space="preserve">3.3 Clustering in Sports Analytics</w:t>
      </w:r>
    </w:p>
    <w:p>
      <w:pPr>
        <w:spacing w:after="160"/>
        <w:jc w:val="both"/>
      </w:pPr>
      <w:r>
        <w:rPr>
          <w:rFonts w:ascii="Arial" w:cs="Arial" w:eastAsia="Arial" w:hAnsi="Arial"/>
          <w:sz w:val="22"/>
          <w:szCs w:val="22"/>
        </w:rPr>
        <w:t xml:space="preserve">Clustering has been successfully applied to identify tactical patterns in soccer. Yamamoto et al. (2019) developed a clustering algorithm for formations using Delaunay triangulation. Shaw and Glickman (2019) used hierarchical clustering to detect 20 distinct formation types. Applications to match-level positional structure in specific competitive regimes remain underdeveloped, pointing toward a natural extension of this work.</w:t>
      </w:r>
    </w:p>
    <w:p>
      <w:r>
        <w:br w:type="page"/>
      </w:r>
    </w:p>
    <w:p>
      <w:pPr>
        <w:pStyle w:val="Heading1"/>
        <w:spacing w:before="360" w:after="180"/>
      </w:pPr>
      <w:r>
        <w:rPr>
          <w:rFonts w:ascii="Arial" w:cs="Arial" w:eastAsia="Arial" w:hAnsi="Arial"/>
          <w:b/>
          <w:bCs/>
          <w:color w:val="1A3A5C"/>
          <w:sz w:val="32"/>
          <w:szCs w:val="32"/>
        </w:rPr>
        <w:t xml:space="preserve">4. Data and Methodology</w:t>
      </w:r>
    </w:p>
    <w:p>
      <w:pPr>
        <w:pStyle w:val="Heading2"/>
        <w:spacing w:before="240" w:after="120"/>
      </w:pPr>
      <w:r>
        <w:rPr>
          <w:rFonts w:ascii="Arial" w:cs="Arial" w:eastAsia="Arial" w:hAnsi="Arial"/>
          <w:b/>
          <w:bCs/>
          <w:sz w:val="26"/>
          <w:szCs w:val="26"/>
        </w:rPr>
        <w:t xml:space="preserve">4.1 Data Source</w:t>
      </w:r>
    </w:p>
    <w:p>
      <w:pPr>
        <w:spacing w:after="160"/>
        <w:jc w:val="both"/>
      </w:pPr>
      <w:r>
        <w:rPr>
          <w:rFonts w:ascii="Arial" w:cs="Arial" w:eastAsia="Arial" w:hAnsi="Arial"/>
          <w:sz w:val="22"/>
          <w:szCs w:val="22"/>
        </w:rPr>
        <w:t xml:space="preserve">This analysis uses StatsBomb open event data, a publicly available dataset covering 3,464 professional soccer matches across 21 competitions, spanning from 1958 to 2025. The dataset includes 12.2 million events with spatial coordinates, player positions, and xG values for all shots. Three files form the analytical foundation: match-level metadata (teams, scores, competitions), event-level data (every on-ball action with timestamp and location), and lineup records (player positions within each match).</w:t>
      </w:r>
    </w:p>
    <w:p>
      <w:pPr>
        <w:pStyle w:val="Heading2"/>
        <w:spacing w:before="240" w:after="120"/>
      </w:pPr>
      <w:r>
        <w:rPr>
          <w:rFonts w:ascii="Arial" w:cs="Arial" w:eastAsia="Arial" w:hAnsi="Arial"/>
          <w:b/>
          <w:bCs/>
          <w:sz w:val="26"/>
          <w:szCs w:val="26"/>
        </w:rPr>
        <w:t xml:space="preserve">4.2 xG-Parity Match Identification</w:t>
      </w:r>
    </w:p>
    <w:p>
      <w:pPr>
        <w:spacing w:after="160"/>
        <w:jc w:val="both"/>
      </w:pPr>
      <w:r>
        <w:rPr>
          <w:rFonts w:ascii="Arial" w:cs="Arial" w:eastAsia="Arial" w:hAnsi="Arial"/>
          <w:sz w:val="22"/>
          <w:szCs w:val="22"/>
        </w:rPr>
        <w:t xml:space="preserve">Match-level xG totals are computed by summing shot_statsbomb_xg across all shot events for each team in each match. We define xG-parity as matches where the absolute difference in total xG between the two teams is 0.3 or less. This threshold is not arbitrary, it represents matches where the gap in chance quality is smaller than the value of a single average shot, meaning neither team held a meaningful statistical edge in how they attacked. Applying this filter yields 651 parity matches (18.8% of the dataset), providing a sufficient sample for statistical analysis.</w:t>
      </w:r>
    </w:p>
    <w:p>
      <w:pPr>
        <w:pStyle w:val="Heading2"/>
        <w:spacing w:before="240" w:after="120"/>
      </w:pPr>
      <w:r>
        <w:rPr>
          <w:rFonts w:ascii="Arial" w:cs="Arial" w:eastAsia="Arial" w:hAnsi="Arial"/>
          <w:b/>
          <w:bCs/>
          <w:sz w:val="26"/>
          <w:szCs w:val="26"/>
        </w:rPr>
        <w:t xml:space="preserve">4.3 Feature Construction</w:t>
      </w:r>
    </w:p>
    <w:p>
      <w:pPr>
        <w:pStyle w:val="Heading3"/>
        <w:spacing w:before="180" w:after="80"/>
      </w:pPr>
      <w:r>
        <w:rPr>
          <w:rFonts w:ascii="Arial" w:cs="Arial" w:eastAsia="Arial" w:hAnsi="Arial"/>
          <w:b/>
          <w:bCs/>
          <w:sz w:val="24"/>
          <w:szCs w:val="24"/>
        </w:rPr>
        <w:t xml:space="preserve">Positional Touch Share</w:t>
      </w:r>
    </w:p>
    <w:p>
      <w:pPr>
        <w:spacing w:after="160"/>
        <w:jc w:val="both"/>
      </w:pPr>
      <w:r>
        <w:rPr>
          <w:rFonts w:ascii="Arial" w:cs="Arial" w:eastAsia="Arial" w:hAnsi="Arial"/>
          <w:sz w:val="22"/>
          <w:szCs w:val="22"/>
        </w:rPr>
        <w:t xml:space="preserve">Touch events are defined as Ball Receipt, Pass, Carry, Dribble, and Shot. For each team-match, we compute the proportion of total touches taken by players in each of nine positional bins. This normalization ensures comparability across teams and matches regardless of overall possession volume, we are measuring where teams play, not how much they play.</w:t>
      </w:r>
    </w:p>
    <w:p>
      <w:pPr>
        <w:pStyle w:val="Heading3"/>
        <w:spacing w:before="180" w:after="80"/>
      </w:pPr>
      <w:r>
        <w:rPr>
          <w:rFonts w:ascii="Arial" w:cs="Arial" w:eastAsia="Arial" w:hAnsi="Arial"/>
          <w:b/>
          <w:bCs/>
          <w:sz w:val="24"/>
          <w:szCs w:val="24"/>
        </w:rPr>
        <w:t xml:space="preserve">Progressive Carry Distance</w:t>
      </w:r>
    </w:p>
    <w:p>
      <w:pPr>
        <w:spacing w:after="160"/>
        <w:jc w:val="both"/>
      </w:pPr>
      <w:r>
        <w:rPr>
          <w:rFonts w:ascii="Arial" w:cs="Arial" w:eastAsia="Arial" w:hAnsi="Arial"/>
          <w:sz w:val="22"/>
          <w:szCs w:val="22"/>
        </w:rPr>
        <w:t xml:space="preserve">For each carry event, progressive distance is defined as the yards gained toward the opponent's goal: carry_end_location_x minus location_x. Positive values indicate forward movement; negative values indicate backward movement. We aggregate this to the mean progressive distance per positional group per team-match, capturing how aggressively each position drives the ball forward.</w:t>
      </w:r>
    </w:p>
    <w:p>
      <w:pPr>
        <w:pStyle w:val="Heading3"/>
        <w:spacing w:before="180" w:after="80"/>
      </w:pPr>
      <w:r>
        <w:rPr>
          <w:rFonts w:ascii="Arial" w:cs="Arial" w:eastAsia="Arial" w:hAnsi="Arial"/>
          <w:b/>
          <w:bCs/>
          <w:sz w:val="24"/>
          <w:szCs w:val="24"/>
        </w:rPr>
        <w:t xml:space="preserve">Forward Possession Index (FPI)</w:t>
      </w:r>
    </w:p>
    <w:p>
      <w:pPr>
        <w:spacing w:after="160"/>
        <w:jc w:val="both"/>
      </w:pPr>
      <w:r>
        <w:rPr>
          <w:rFonts w:ascii="Arial" w:cs="Arial" w:eastAsia="Arial" w:hAnsi="Arial"/>
          <w:sz w:val="22"/>
          <w:szCs w:val="22"/>
        </w:rPr>
        <w:t xml:space="preserve">FPI combines the five outfield positions that survived Bonferroni correction into a single composite score. It is calculated as the sum of Attacking Midfield and Wide Forward touch shares minus the sum of Center Back, Defensive Midfield, and Fullback touch shares. A higher FPI indicates a team that concentrates possession in advanced areas relative to defensive ones. Goalkeeper touch share, while statistically significant, is excluded to keep the index focused on outfield tactical structure.</w:t>
      </w:r>
    </w:p>
    <w:p>
      <w:pPr>
        <w:pStyle w:val="Heading2"/>
        <w:spacing w:before="240" w:after="120"/>
      </w:pPr>
      <w:r>
        <w:rPr>
          <w:rFonts w:ascii="Arial" w:cs="Arial" w:eastAsia="Arial" w:hAnsi="Arial"/>
          <w:b/>
          <w:bCs/>
          <w:sz w:val="26"/>
          <w:szCs w:val="26"/>
        </w:rPr>
        <w:t xml:space="preserve">4.4 Statistical Framework</w:t>
      </w:r>
    </w:p>
    <w:p>
      <w:pPr>
        <w:spacing w:after="160"/>
        <w:jc w:val="both"/>
      </w:pPr>
      <w:r>
        <w:rPr>
          <w:rFonts w:ascii="Arial" w:cs="Arial" w:eastAsia="Arial" w:hAnsi="Arial"/>
          <w:sz w:val="22"/>
          <w:szCs w:val="22"/>
        </w:rPr>
        <w:t xml:space="preserve">We adopt a nonparametric statistical framework throughout, appropriate for bounded and skewed distributions like touch share. The Mann-Whitney U test is our primary test for position-level differences. Cohen's d quantifies effect size beyond p-values. Bonferroni correction addresses multiple comparisons risk across nine simultaneous tests. The Wilcoxon signed-rank test serves as a matched-pairs robustness check to address the statistical independence concern from paired team-match observations. Spearman correlation tests the independence of touch share and progressive distance. AUC (Area Under the ROC Curve) evaluates the predictive signal of the FPI.</w:t>
      </w:r>
    </w:p>
    <w:p>
      <w:r>
        <w:br w:type="page"/>
      </w:r>
    </w:p>
    <w:p>
      <w:pPr>
        <w:pStyle w:val="Heading1"/>
        <w:spacing w:before="360" w:after="180"/>
      </w:pPr>
      <w:r>
        <w:rPr>
          <w:rFonts w:ascii="Arial" w:cs="Arial" w:eastAsia="Arial" w:hAnsi="Arial"/>
          <w:b/>
          <w:bCs/>
          <w:color w:val="1A3A5C"/>
          <w:sz w:val="32"/>
          <w:szCs w:val="32"/>
        </w:rPr>
        <w:t xml:space="preserve">5. Exploratory Data Analysis and Findings</w:t>
      </w:r>
    </w:p>
    <w:p>
      <w:pPr>
        <w:pStyle w:val="Heading2"/>
        <w:spacing w:before="240" w:after="120"/>
      </w:pPr>
      <w:r>
        <w:rPr>
          <w:rFonts w:ascii="Arial" w:cs="Arial" w:eastAsia="Arial" w:hAnsi="Arial"/>
          <w:b/>
          <w:bCs/>
          <w:sz w:val="26"/>
          <w:szCs w:val="26"/>
        </w:rPr>
        <w:t xml:space="preserve">5.1 Validating xG-Parity as a Meaningful Regime</w:t>
      </w:r>
    </w:p>
    <w:p>
      <w:pPr>
        <w:spacing w:after="160"/>
        <w:jc w:val="both"/>
      </w:pPr>
      <w:r>
        <w:rPr>
          <w:rFonts w:ascii="Arial" w:cs="Arial" w:eastAsia="Arial" w:hAnsi="Arial"/>
          <w:sz w:val="22"/>
          <w:szCs w:val="22"/>
        </w:rPr>
        <w:t xml:space="preserve">Before analyzing what separates winners from non-winners in xG-parity matches, we first confirm that these matches are genuinely more uncertain than others. A chi-square test of independence (chi-squared = 132.30, df = 6, p &lt; 0.0001) confirms that outcome distribution varies significantly across xG categories. The most telling statistic is the draw rate: parity matches end in a draw 29.8% of the time, compared to just 11.1% in matches where one team dominates on xG, nearly three times higher.</w:t>
      </w:r>
    </w:p>
    <w:p>
      <w:pPr>
        <w:spacing w:after="160"/>
        <w:jc w:val="both"/>
      </w:pPr>
      <w:r>
        <w:rPr>
          <w:rFonts w:ascii="Arial" w:cs="Arial" w:eastAsia="Arial" w:hAnsi="Arial"/>
          <w:sz w:val="22"/>
          <w:szCs w:val="22"/>
        </w:rPr>
        <w:t xml:space="preserve">One honest nuance: the draw rate in parity matches (29.8%) is nearly identical to close matches within the 0.3-0.7 range (29.7%). The meaningful drop-off occurs when xG differences exceed 0.7, not precisely at 0.3. Our threshold captures genuinely contested matches, but it is not uniquely magical at that exact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xG Category</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Draw</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Loss</w:t>
            </w:r>
          </w:p>
        </w:tc>
        <w:tc>
          <w:tcPr>
            <w:tcW w:type="dxa" w:w="1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Draw Rate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Parity (&lt;=0.3)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 (0.3-0.7)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29.7%</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(0.7-1.5)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23.6%</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Dominant (&gt;1.5)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11.1%</w:t>
            </w:r>
          </w:p>
        </w:tc>
      </w:tr>
    </w:tbl>
    <w:p>
      <w:pPr>
        <w:spacing w:after="160"/>
        <w:jc w:val="both"/>
      </w:pPr>
      <w:r>
        <w:rPr>
          <w:rFonts w:ascii="Arial" w:cs="Arial" w:eastAsia="Arial" w:hAnsi="Arial"/>
          <w:sz w:val="22"/>
          <w:szCs w:val="22"/>
        </w:rPr>
        <w:t xml:space="preserve"/>
      </w:r>
    </w:p>
    <w:p>
      <w:pPr>
        <w:pStyle w:val="Heading2"/>
        <w:spacing w:before="240" w:after="120"/>
      </w:pPr>
      <w:r>
        <w:rPr>
          <w:rFonts w:ascii="Arial" w:cs="Arial" w:eastAsia="Arial" w:hAnsi="Arial"/>
          <w:b/>
          <w:bCs/>
          <w:sz w:val="26"/>
          <w:szCs w:val="26"/>
        </w:rPr>
        <w:t xml:space="preserve">5.2 Where Winners Play: Positional Touch Share Analysis</w:t>
      </w:r>
    </w:p>
    <w:p>
      <w:pPr>
        <w:spacing w:after="160"/>
        <w:jc w:val="both"/>
      </w:pPr>
      <w:r>
        <w:rPr>
          <w:rFonts w:ascii="Arial" w:cs="Arial" w:eastAsia="Arial" w:hAnsi="Arial"/>
          <w:sz w:val="22"/>
          <w:szCs w:val="22"/>
        </w:rPr>
        <w:t xml:space="preserve">Within 651 xG-parity matches, we compute positional touch share for all 1,302 team-match observations and compare winners against non-winners using Mann-Whitney U tests. Seven of nine positions show statistically significant differences (p &lt; 0.05), and the pattern is consistent and directional across the entire pitch.</w:t>
      </w:r>
    </w:p>
    <w:p>
      <w:pPr>
        <w:spacing w:after="160"/>
        <w:jc w:val="both"/>
      </w:pPr>
      <w:r>
        <w:rPr>
          <w:rFonts w:ascii="Arial" w:cs="Arial" w:eastAsia="Arial" w:hAnsi="Arial"/>
          <w:sz w:val="22"/>
          <w:szCs w:val="22"/>
        </w:rPr>
        <w:t xml:space="preserve">Winning teams allocate more touches to attacking midfielders, wide forwards, and goalkeepers. Non-winning teams concentrate more possession in center backs, defensive midfielders, and fullbacks. The two positions that show no significant difference, Striker and Central Midfield, occupy transitional zones of the pitch and appear to serve similar functions regardless of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100"/>
        <w:gridCol w:w="12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Win Mean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Non-Win Mean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Survives Bonferroni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Attacking Midfield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Wide Forward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Goalkeeper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Wide Midfield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0.0429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0.1749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Central Midfield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0.2220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Center 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0.0032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Defensive Midfield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0.0051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bl>
    <w:p>
      <w:pPr>
        <w:spacing w:after="160"/>
        <w:jc w:val="both"/>
      </w:pPr>
      <w:r>
        <w:rPr>
          <w:rFonts w:ascii="Arial" w:cs="Arial" w:eastAsia="Arial" w:hAnsi="Arial"/>
          <w:sz w:val="22"/>
          <w:szCs w:val="22"/>
        </w:rPr>
        <w:t xml:space="preserve"/>
      </w:r>
    </w:p>
    <w:p>
      <w:pPr>
        <w:spacing w:after="160"/>
        <w:jc w:val="both"/>
      </w:pPr>
      <w:r>
        <w:rPr>
          <w:rFonts w:ascii="Arial" w:cs="Arial" w:eastAsia="Arial" w:hAnsi="Arial"/>
          <w:sz w:val="22"/>
          <w:szCs w:val="22"/>
        </w:rPr>
        <w:t xml:space="preserve">Effect sizes measured by Cohen's d range from negligible to small (d = 0.05 to 0.35). Attacking Midfield shows the strongest effect at d = 0.35. These are modest but consistent differences, appropriate for a sport where no single tactical variable dominates outcomes.</w:t>
      </w:r>
    </w:p>
    <w:p>
      <w:pPr>
        <w:pStyle w:val="Heading2"/>
        <w:spacing w:before="240" w:after="120"/>
      </w:pPr>
      <w:r>
        <w:rPr>
          <w:rFonts w:ascii="Arial" w:cs="Arial" w:eastAsia="Arial" w:hAnsi="Arial"/>
          <w:b/>
          <w:bCs/>
          <w:sz w:val="26"/>
          <w:szCs w:val="26"/>
        </w:rPr>
        <w:t xml:space="preserve">5.3 How Winners Move: Progressive Carry Distance</w:t>
      </w:r>
    </w:p>
    <w:p>
      <w:pPr>
        <w:spacing w:after="160"/>
        <w:jc w:val="both"/>
      </w:pPr>
      <w:r>
        <w:rPr>
          <w:rFonts w:ascii="Arial" w:cs="Arial" w:eastAsia="Arial" w:hAnsi="Arial"/>
          <w:sz w:val="22"/>
          <w:szCs w:val="22"/>
        </w:rPr>
        <w:t xml:space="preserve">Knowing where winners hold the ball is one dimension of tactical structure. We also examine how aggressively they move it, focusing on carry events rather than all progressive actions. Carries are individual decisions made in real time, reflecting a player's and team's immediate tactical posture, and are more spatially precise than passes.</w:t>
      </w:r>
    </w:p>
    <w:p>
      <w:pPr>
        <w:spacing w:after="160"/>
        <w:jc w:val="both"/>
      </w:pPr>
      <w:r>
        <w:rPr>
          <w:rFonts w:ascii="Arial" w:cs="Arial" w:eastAsia="Arial" w:hAnsi="Arial"/>
          <w:sz w:val="22"/>
          <w:szCs w:val="22"/>
        </w:rPr>
        <w:t xml:space="preserve">The directional pattern mirrors touch share but with meaningful differences in detail. Attacking positions show positive differences, winners carry more aggressively forward. Defensive positions show negative differences, winners carry less aggressively from deep. Notably, Goalkeeper flips negative in progressive distance despite being positive in touch share, and Wide Midfield leads the progressive distance differences despite being marginal in touch share.</w:t>
      </w:r>
    </w:p>
    <w:p>
      <w:pPr>
        <w:pStyle w:val="Heading2"/>
        <w:spacing w:before="240" w:after="120"/>
      </w:pPr>
      <w:r>
        <w:rPr>
          <w:rFonts w:ascii="Arial" w:cs="Arial" w:eastAsia="Arial" w:hAnsi="Arial"/>
          <w:b/>
          <w:bCs/>
          <w:sz w:val="26"/>
          <w:szCs w:val="26"/>
        </w:rPr>
        <w:t xml:space="preserve">5.4 Independence of Two Tactical Dimensions</w:t>
      </w:r>
    </w:p>
    <w:p>
      <w:pPr>
        <w:spacing w:after="160"/>
        <w:jc w:val="both"/>
      </w:pPr>
      <w:r>
        <w:rPr>
          <w:rFonts w:ascii="Arial" w:cs="Arial" w:eastAsia="Arial" w:hAnsi="Arial"/>
          <w:sz w:val="22"/>
          <w:szCs w:val="22"/>
        </w:rPr>
        <w:t xml:space="preserve">These divergences raise an important question: are touch share and progressive distance measuring the same thing from different angles, or are they genuinely independent tactical dimensions? A Spearman correlation test between the two metrics across positions yields r = -0.086 with p = 0.735, essentially zero correlation.</w:t>
      </w:r>
    </w:p>
    <w:p>
      <w:pPr>
        <w:spacing w:after="160"/>
        <w:jc w:val="both"/>
      </w:pPr>
      <w:r>
        <w:rPr>
          <w:rFonts w:ascii="Arial" w:cs="Arial" w:eastAsia="Arial" w:hAnsi="Arial"/>
          <w:sz w:val="22"/>
          <w:szCs w:val="22"/>
        </w:rPr>
        <w:t xml:space="preserve">This is an important finding. Where a team holds the ball and how aggressively it moves the ball are not two descriptions of the same behavior. They are two distinct tactical choices. Winning teams in xG-parity matches tend to make both choices differently from non-winning teams, and because the choices are independent, each adds something the other cannot.</w:t>
      </w:r>
    </w:p>
    <w:p>
      <w:pPr>
        <w:pStyle w:val="Heading2"/>
        <w:spacing w:before="240" w:after="120"/>
      </w:pPr>
      <w:r>
        <w:rPr>
          <w:rFonts w:ascii="Arial" w:cs="Arial" w:eastAsia="Arial" w:hAnsi="Arial"/>
          <w:b/>
          <w:bCs/>
          <w:sz w:val="26"/>
          <w:szCs w:val="26"/>
        </w:rPr>
        <w:t xml:space="preserve">5.5 Team-Level Tactical Profiles</w:t>
      </w:r>
    </w:p>
    <w:p>
      <w:pPr>
        <w:spacing w:after="160"/>
        <w:jc w:val="both"/>
      </w:pPr>
      <w:r>
        <w:rPr>
          <w:rFonts w:ascii="Arial" w:cs="Arial" w:eastAsia="Arial" w:hAnsi="Arial"/>
          <w:sz w:val="22"/>
          <w:szCs w:val="22"/>
        </w:rPr>
        <w:t xml:space="preserve">Moving from position-level to team-level analysis, we construct four aggregate metrics: wide progression share, build-up share, progression concentration, and central midfield touch share. Three of four show statistically significant differences between winners and non-winners. Build-up share and progression concentration are the strongest signals, winning teams tend to have lower build-up share and more evenly distributed progressive actions. Wide progression share does not differ significantly, reinforcing that the direction of movement matters more than its lateral location.</w:t>
      </w:r>
    </w:p>
    <w:p>
      <w:r>
        <w:br w:type="page"/>
      </w:r>
    </w:p>
    <w:p>
      <w:pPr>
        <w:pStyle w:val="Heading1"/>
        <w:spacing w:before="360" w:after="180"/>
      </w:pPr>
      <w:r>
        <w:rPr>
          <w:rFonts w:ascii="Arial" w:cs="Arial" w:eastAsia="Arial" w:hAnsi="Arial"/>
          <w:b/>
          <w:bCs/>
          <w:color w:val="1A3A5C"/>
          <w:sz w:val="32"/>
          <w:szCs w:val="32"/>
        </w:rPr>
        <w:t xml:space="preserve">6. Statistical Rigor and Validation</w:t>
      </w:r>
    </w:p>
    <w:p>
      <w:pPr>
        <w:pStyle w:val="Heading2"/>
        <w:spacing w:before="240" w:after="120"/>
      </w:pPr>
      <w:r>
        <w:rPr>
          <w:rFonts w:ascii="Arial" w:cs="Arial" w:eastAsia="Arial" w:hAnsi="Arial"/>
          <w:b/>
          <w:bCs/>
          <w:sz w:val="26"/>
          <w:szCs w:val="26"/>
        </w:rPr>
        <w:t xml:space="preserve">6.1 Multiple Testing Correction</w:t>
      </w:r>
    </w:p>
    <w:p>
      <w:pPr>
        <w:spacing w:after="160"/>
        <w:jc w:val="both"/>
      </w:pPr>
      <w:r>
        <w:rPr>
          <w:rFonts w:ascii="Arial" w:cs="Arial" w:eastAsia="Arial" w:hAnsi="Arial"/>
          <w:sz w:val="22"/>
          <w:szCs w:val="22"/>
        </w:rPr>
        <w:t xml:space="preserve">Testing nine positions simultaneously inflates false positive risk. With each test carrying a 5% chance of a false positive, the probability of at least one spurious result across nine tests is 1 minus 0.95 to the ninth power, approximately 37%. We apply Bonferroni correction, dividing the significance threshold by nine to give an adjusted threshold of 0.0056. Six of nine positions survive this stricter standard.</w:t>
      </w:r>
    </w:p>
    <w:p>
      <w:pPr>
        <w:pStyle w:val="Heading2"/>
        <w:spacing w:before="240" w:after="120"/>
      </w:pPr>
      <w:r>
        <w:rPr>
          <w:rFonts w:ascii="Arial" w:cs="Arial" w:eastAsia="Arial" w:hAnsi="Arial"/>
          <w:b/>
          <w:bCs/>
          <w:sz w:val="26"/>
          <w:szCs w:val="26"/>
        </w:rPr>
        <w:t xml:space="preserve">6.2 Matched-Pairs Robustness Check</w:t>
      </w:r>
    </w:p>
    <w:p>
      <w:pPr>
        <w:spacing w:after="160"/>
        <w:jc w:val="both"/>
      </w:pPr>
      <w:r>
        <w:rPr>
          <w:rFonts w:ascii="Arial" w:cs="Arial" w:eastAsia="Arial" w:hAnsi="Arial"/>
          <w:sz w:val="22"/>
          <w:szCs w:val="22"/>
        </w:rPr>
        <w:t xml:space="preserve">Because our dataset contains two correlated observations per match, we run a Wilcoxon signed-rank test as a robustness check. For each match, we compute the within-match difference in touch share between the winning and non-winning team at each position. Five of nine positions survive Bonferroni correction under this stricter approach, and the directional pattern holds without exception, every position positive under Mann-Whitney remains positive under Wilcoxon, and every negative remains negative. The core finding is robust to the methodological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Statistical Test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Chi-square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xG-parity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 &lt; 0.0001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Parity confirmed as distinct regime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Mann-Whitney 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differences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 significant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Winners differ positionally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Cohen's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 magnitude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 = 0.05-0.35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but real effects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Bonferroni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6/9 survive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Results are robust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Wilcoxon signed-rank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Independence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 survive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under stricter test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Spearman 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independence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-0.086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distinct dimensions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AUC (FPI)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0.558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than random</w:t>
            </w:r>
          </w:p>
        </w:tc>
      </w:tr>
    </w:tbl>
    <w:p>
      <w:pPr>
        <w:spacing w:after="160"/>
        <w:jc w:val="both"/>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A3A5C"/>
          <w:sz w:val="32"/>
          <w:szCs w:val="32"/>
        </w:rPr>
        <w:t xml:space="preserve">7. Forward Possession Index</w:t>
      </w:r>
    </w:p>
    <w:p>
      <w:pPr>
        <w:spacing w:after="160"/>
        <w:jc w:val="both"/>
      </w:pPr>
      <w:r>
        <w:rPr>
          <w:rFonts w:ascii="Arial" w:cs="Arial" w:eastAsia="Arial" w:hAnsi="Arial"/>
          <w:sz w:val="22"/>
          <w:szCs w:val="22"/>
        </w:rPr>
        <w:t xml:space="preserve">Having established that positional structure differs between winners and non-winners across two independent dimensions, we construct a single composite metric to test whether these signals together carry practical predictive value.</w:t>
      </w:r>
    </w:p>
    <w:p>
      <w:pPr>
        <w:spacing w:after="160"/>
        <w:jc w:val="both"/>
      </w:pPr>
      <w:r>
        <w:rPr>
          <w:rFonts w:ascii="Arial" w:cs="Arial" w:eastAsia="Arial" w:hAnsi="Arial"/>
          <w:sz w:val="22"/>
          <w:szCs w:val="22"/>
        </w:rPr>
        <w:t xml:space="preserve">The Forward Possession Index (FPI) is defined as:</w:t>
      </w:r>
    </w:p>
    <w:p>
      <w:pPr>
        <w:spacing w:before="160" w:after="160"/>
        <w:jc w:val="center"/>
      </w:pPr>
      <w:r>
        <w:rPr>
          <w:rFonts w:ascii="Arial" w:cs="Arial" w:eastAsia="Arial" w:hAnsi="Arial"/>
          <w:b/>
          <w:bCs/>
          <w:i/>
          <w:iCs/>
          <w:sz w:val="22"/>
          <w:szCs w:val="22"/>
        </w:rPr>
        <w:t xml:space="preserve">FPI = (Attacking Midfield + Wide Forward touch share) minus (Center Back + Defensive Midfield + Fullback touch share)</w:t>
      </w:r>
    </w:p>
    <w:p>
      <w:pPr>
        <w:spacing w:after="160"/>
        <w:jc w:val="both"/>
      </w:pPr>
      <w:r>
        <w:rPr>
          <w:rFonts w:ascii="Arial" w:cs="Arial" w:eastAsia="Arial" w:hAnsi="Arial"/>
          <w:sz w:val="22"/>
          <w:szCs w:val="22"/>
        </w:rPr>
        <w:t xml:space="preserve">We include only the five outfield positions that survived Bonferroni correction. Goalkeeper touch share, while statistically significant, is excluded to keep the index focused on outfield tactical structure rather than build-up style.</w:t>
      </w:r>
    </w:p>
    <w:p>
      <w:pPr>
        <w:spacing w:after="160"/>
        <w:jc w:val="both"/>
      </w:pPr>
      <w:r>
        <w:rPr>
          <w:rFonts w:ascii="Arial" w:cs="Arial" w:eastAsia="Arial" w:hAnsi="Arial"/>
          <w:sz w:val="22"/>
          <w:szCs w:val="22"/>
        </w:rPr>
        <w:t xml:space="preserve">A Mann-Whitney U test confirms that FPI is significantly higher for winners than non-winners (p = 0.0006, Cohen's d = 0.21). The AUC of 0.558 means that FPI correctly identifies the winner when randomly selecting one winning and one non-winning team-match approximately 56% of the time, meaningfully better than the 50% coin flip baseline, and consistent across 1,302 team-match observations.</w:t>
      </w:r>
    </w:p>
    <w:p>
      <w:pPr>
        <w:spacing w:after="160"/>
        <w:jc w:val="both"/>
      </w:pPr>
      <w:r>
        <w:rPr>
          <w:rFonts w:ascii="Arial" w:cs="Arial" w:eastAsia="Arial" w:hAnsi="Arial"/>
          <w:sz w:val="22"/>
          <w:szCs w:val="22"/>
        </w:rPr>
        <w:t xml:space="preserve">Both Win and Non-Win FPI values are negative (-0.34 and -0.38 respectively), reflecting that all teams accumulate more touches in defensive and midfield positions than attacking ones by virtue of squad composition. The signal lies in the difference between groups, not the absolute values.</w:t>
      </w:r>
    </w:p>
    <w:p>
      <w:pPr>
        <w:spacing w:after="160"/>
        <w:jc w:val="both"/>
      </w:pPr>
      <w:r>
        <w:rPr>
          <w:rFonts w:ascii="Arial" w:cs="Arial" w:eastAsia="Arial" w:hAnsi="Arial"/>
          <w:sz w:val="22"/>
          <w:szCs w:val="22"/>
        </w:rPr>
        <w:t xml:space="preserve">An AUC of 0.558 is modest by design. Soccer outcomes in xG-parity matches are inherently uncertain, and positional structure is one signal among many. What matters is that the signal is real, robust across seven statistical tests, and consistent across a large and varied sample of professional matches.</w:t>
      </w:r>
    </w:p>
    <w:p>
      <w:r>
        <w:br w:type="page"/>
      </w:r>
    </w:p>
    <w:p>
      <w:pPr>
        <w:pStyle w:val="Heading1"/>
        <w:spacing w:before="360" w:after="180"/>
      </w:pPr>
      <w:r>
        <w:rPr>
          <w:rFonts w:ascii="Arial" w:cs="Arial" w:eastAsia="Arial" w:hAnsi="Arial"/>
          <w:b/>
          <w:bCs/>
          <w:color w:val="1A3A5C"/>
          <w:sz w:val="32"/>
          <w:szCs w:val="32"/>
        </w:rPr>
        <w:t xml:space="preserve">8. Limitations</w:t>
      </w:r>
    </w:p>
    <w:p>
      <w:pPr>
        <w:spacing w:after="160"/>
        <w:jc w:val="both"/>
      </w:pPr>
      <w:r>
        <w:rPr>
          <w:rFonts w:ascii="Arial" w:cs="Arial" w:eastAsia="Arial" w:hAnsi="Arial"/>
          <w:sz w:val="22"/>
          <w:szCs w:val="22"/>
        </w:rPr>
        <w:t xml:space="preserve">This analysis is observational. We identify associations, not causes. Several specific limitations deserve explicit acknowledgment.</w:t>
      </w:r>
    </w:p>
    <w:p>
      <w:pPr>
        <w:spacing w:after="160"/>
        <w:jc w:val="both"/>
      </w:pPr>
      <w:r>
        <w:rPr>
          <w:rFonts w:ascii="Arial" w:cs="Arial" w:eastAsia="Arial" w:hAnsi="Arial"/>
          <w:b/>
          <w:bCs/>
          <w:sz w:val="22"/>
          <w:szCs w:val="22"/>
        </w:rPr>
        <w:t xml:space="preserve">Dataset Scope:</w:t>
      </w:r>
    </w:p>
    <w:p>
      <w:pPr>
        <w:spacing w:after="160"/>
        <w:jc w:val="both"/>
      </w:pPr>
      <w:r>
        <w:rPr>
          <w:rFonts w:ascii="Arial" w:cs="Arial" w:eastAsia="Arial" w:hAnsi="Arial"/>
          <w:sz w:val="22"/>
          <w:szCs w:val="22"/>
        </w:rPr>
        <w:t xml:space="preserve">The StatsBomb open dataset covers select competitions and seasons, weighted heavily toward elite European club soccer, and notably toward Barcelona, whose extensive coverage may influence positional patterns in ways that do not generalize to all styles of play.</w:t>
      </w:r>
    </w:p>
    <w:p>
      <w:pPr>
        <w:spacing w:after="160"/>
        <w:jc w:val="both"/>
      </w:pPr>
      <w:r>
        <w:rPr>
          <w:rFonts w:ascii="Arial" w:cs="Arial" w:eastAsia="Arial" w:hAnsi="Arial"/>
          <w:b/>
          <w:bCs/>
          <w:sz w:val="22"/>
          <w:szCs w:val="22"/>
        </w:rPr>
        <w:t xml:space="preserve">The Scoreboard Effect:</w:t>
      </w:r>
    </w:p>
    <w:p>
      <w:pPr>
        <w:spacing w:after="160"/>
        <w:jc w:val="both"/>
      </w:pPr>
      <w:r>
        <w:rPr>
          <w:rFonts w:ascii="Arial" w:cs="Arial" w:eastAsia="Arial" w:hAnsi="Arial"/>
          <w:sz w:val="22"/>
          <w:szCs w:val="22"/>
        </w:rPr>
        <w:t xml:space="preserve">We do not control for game state. A team that takes an early lead may naturally shift possession higher as the opposition chases the game, meaning some of what we measure could be a consequence of winning rather than a cause. This is the most significant confound in the analysis.</w:t>
      </w:r>
    </w:p>
    <w:p>
      <w:pPr>
        <w:spacing w:after="160"/>
        <w:jc w:val="both"/>
      </w:pPr>
      <w:r>
        <w:rPr>
          <w:rFonts w:ascii="Arial" w:cs="Arial" w:eastAsia="Arial" w:hAnsi="Arial"/>
          <w:b/>
          <w:bCs/>
          <w:sz w:val="22"/>
          <w:szCs w:val="22"/>
        </w:rPr>
        <w:t xml:space="preserve">Home and Away Bias:</w:t>
      </w:r>
    </w:p>
    <w:p>
      <w:pPr>
        <w:spacing w:after="160"/>
        <w:jc w:val="both"/>
      </w:pPr>
      <w:r>
        <w:rPr>
          <w:rFonts w:ascii="Arial" w:cs="Arial" w:eastAsia="Arial" w:hAnsi="Arial"/>
          <w:sz w:val="22"/>
          <w:szCs w:val="22"/>
        </w:rPr>
        <w:t xml:space="preserve">We do not adjust for home advantage or relative team strength. We assume the xG-parity filter acts as a sufficient equalizer, but a higher-quality team playing away may generate equal xG through very different tactical means than a lower-ranked home side.</w:t>
      </w:r>
    </w:p>
    <w:p>
      <w:pPr>
        <w:spacing w:after="160"/>
        <w:jc w:val="both"/>
      </w:pPr>
      <w:r>
        <w:rPr>
          <w:rFonts w:ascii="Arial" w:cs="Arial" w:eastAsia="Arial" w:hAnsi="Arial"/>
          <w:b/>
          <w:bCs/>
          <w:sz w:val="22"/>
          <w:szCs w:val="22"/>
        </w:rPr>
        <w:t xml:space="preserve">Threshold Choice:</w:t>
      </w:r>
    </w:p>
    <w:p>
      <w:pPr>
        <w:spacing w:after="160"/>
        <w:jc w:val="both"/>
      </w:pPr>
      <w:r>
        <w:rPr>
          <w:rFonts w:ascii="Arial" w:cs="Arial" w:eastAsia="Arial" w:hAnsi="Arial"/>
          <w:sz w:val="22"/>
          <w:szCs w:val="22"/>
        </w:rPr>
        <w:t xml:space="preserve">The 0.3 xG threshold is analytically motivated but not uniquely validated. As noted in Section 5.1, draw rates are similar across the 0-0.7 range, suggesting the meaningful distinction is at a higher threshold than our definition implies.</w:t>
      </w:r>
    </w:p>
    <w:p>
      <w:pPr>
        <w:spacing w:after="160"/>
        <w:jc w:val="both"/>
      </w:pPr>
      <w:r>
        <w:rPr>
          <w:rFonts w:ascii="Arial" w:cs="Arial" w:eastAsia="Arial" w:hAnsi="Arial"/>
          <w:b/>
          <w:bCs/>
          <w:sz w:val="22"/>
          <w:szCs w:val="22"/>
        </w:rPr>
        <w:t xml:space="preserve">Effect Size:</w:t>
      </w:r>
    </w:p>
    <w:p>
      <w:pPr>
        <w:spacing w:after="160"/>
        <w:jc w:val="both"/>
      </w:pPr>
      <w:r>
        <w:rPr>
          <w:rFonts w:ascii="Arial" w:cs="Arial" w:eastAsia="Arial" w:hAnsi="Arial"/>
          <w:sz w:val="22"/>
          <w:szCs w:val="22"/>
        </w:rPr>
        <w:t xml:space="preserve">All effects are small to negligible by conventional standards. While consistent and statistically robust, these differences would not serve as reliable standalone predictors in a decision-making context.</w:t>
      </w:r>
    </w:p>
    <w:p>
      <w:r>
        <w:br w:type="page"/>
      </w:r>
    </w:p>
    <w:p>
      <w:pPr>
        <w:pStyle w:val="Heading1"/>
        <w:spacing w:before="360" w:after="180"/>
      </w:pPr>
      <w:r>
        <w:rPr>
          <w:rFonts w:ascii="Arial" w:cs="Arial" w:eastAsia="Arial" w:hAnsi="Arial"/>
          <w:b/>
          <w:bCs/>
          <w:color w:val="1A3A5C"/>
          <w:sz w:val="32"/>
          <w:szCs w:val="32"/>
        </w:rPr>
        <w:t xml:space="preserve">9. Conclusions and Future Work</w:t>
      </w:r>
    </w:p>
    <w:p>
      <w:pPr>
        <w:pStyle w:val="Heading2"/>
        <w:spacing w:before="240" w:after="120"/>
      </w:pPr>
      <w:r>
        <w:rPr>
          <w:rFonts w:ascii="Arial" w:cs="Arial" w:eastAsia="Arial" w:hAnsi="Arial"/>
          <w:b/>
          <w:bCs/>
          <w:sz w:val="26"/>
          <w:szCs w:val="26"/>
        </w:rPr>
        <w:t xml:space="preserve">9.1 Summary of Findings</w:t>
      </w:r>
    </w:p>
    <w:p>
      <w:pPr>
        <w:spacing w:after="160"/>
        <w:jc w:val="both"/>
      </w:pPr>
      <w:r>
        <w:rPr>
          <w:rFonts w:ascii="Arial" w:cs="Arial" w:eastAsia="Arial" w:hAnsi="Arial"/>
          <w:sz w:val="22"/>
          <w:szCs w:val="22"/>
        </w:rPr>
        <w:t xml:space="preserve">When xG is equal, positional structure separates winners from non-winners, though the effect is modest. Across 651 xG-parity matches, we find consistent evidence that winning teams organize their possession differently. They hold the ball in more advanced positions, move it more aggressively forward, and these two behaviors are statistically independent of each other. Combined into a Forward Possession Index, these signals predict match outcomes better than chance across 1,302 team-match observations, sustained across seven layers of statistical scrutiny.</w:t>
      </w:r>
    </w:p>
    <w:p>
      <w:pPr>
        <w:spacing w:after="160"/>
        <w:jc w:val="both"/>
      </w:pPr>
      <w:r>
        <w:rPr>
          <w:rFonts w:ascii="Arial" w:cs="Arial" w:eastAsia="Arial" w:hAnsi="Arial"/>
          <w:sz w:val="22"/>
          <w:szCs w:val="22"/>
        </w:rPr>
        <w:t xml:space="preserve">What we did not find is equally important. We did not find that positional structure determines outcomes. An AUC of 0.558 leaves enormous room for individual brilliance, set pieces, referee decisions, fatigue, and genuine randomness. Positional structure is one piece of a complex puzzle, not the puzzle itself. We also did not find that the spatial distribution of forward movement matters, wide versus central progression makes no significant difference. What matters is the direction of movement, not its lateral location.</w:t>
      </w:r>
    </w:p>
    <w:p>
      <w:pPr>
        <w:pStyle w:val="Heading2"/>
        <w:spacing w:before="240" w:after="120"/>
      </w:pPr>
      <w:r>
        <w:rPr>
          <w:rFonts w:ascii="Arial" w:cs="Arial" w:eastAsia="Arial" w:hAnsi="Arial"/>
          <w:b/>
          <w:bCs/>
          <w:sz w:val="26"/>
          <w:szCs w:val="26"/>
        </w:rPr>
        <w:t xml:space="preserve">9.2 Practical Implications</w:t>
      </w:r>
    </w:p>
    <w:p>
      <w:pPr>
        <w:spacing w:after="160"/>
        <w:jc w:val="both"/>
      </w:pPr>
      <w:r>
        <w:rPr>
          <w:rFonts w:ascii="Arial" w:cs="Arial" w:eastAsia="Arial" w:hAnsi="Arial"/>
          <w:sz w:val="22"/>
          <w:szCs w:val="22"/>
        </w:rPr>
        <w:t xml:space="preserve">For coaches and analysts, the finding is actionable: in closely contested matches where chance quality is roughly equal, the team that plays higher and drives forward more aggressively tends to win more often. This is not a guarantee, but it is a meaningful tactical signal that complements xG-based analysis rather than replacing it.</w:t>
      </w:r>
    </w:p>
    <w:p>
      <w:pPr>
        <w:pStyle w:val="Heading2"/>
        <w:spacing w:before="240" w:after="120"/>
      </w:pPr>
      <w:r>
        <w:rPr>
          <w:rFonts w:ascii="Arial" w:cs="Arial" w:eastAsia="Arial" w:hAnsi="Arial"/>
          <w:b/>
          <w:bCs/>
          <w:sz w:val="26"/>
          <w:szCs w:val="26"/>
        </w:rPr>
        <w:t xml:space="preserve">9.3 Future Work</w:t>
      </w:r>
    </w:p>
    <w:p>
      <w:pPr>
        <w:spacing w:after="160"/>
        <w:jc w:val="both"/>
      </w:pPr>
      <w:r>
        <w:rPr>
          <w:rFonts w:ascii="Arial" w:cs="Arial" w:eastAsia="Arial" w:hAnsi="Arial"/>
          <w:sz w:val="22"/>
          <w:szCs w:val="22"/>
        </w:rPr>
        <w:t xml:space="preserve">This analysis establishes a statistical foundation for a richer next phase of work. Three directions are planned:</w:t>
      </w:r>
    </w:p>
    <w:p>
      <w:pPr>
        <w:pStyle w:val="ListParagraph"/>
        <w:numPr>
          <w:ilvl w:val="0"/>
          <w:numId w:val="3"/>
        </w:numPr>
        <w:spacing w:after="80"/>
      </w:pPr>
      <w:r>
        <w:rPr>
          <w:rFonts w:ascii="Arial" w:cs="Arial" w:eastAsia="Arial" w:hAnsi="Arial"/>
          <w:sz w:val="22"/>
          <w:szCs w:val="22"/>
        </w:rPr>
        <w:t xml:space="preserve">Tactical archetype clustering, applying k-means or hierarchical clustering to team-match positional profiles to identify distinct styles of play and test whether certain archetypes win more consistently than others</w:t>
      </w:r>
    </w:p>
    <w:p>
      <w:pPr>
        <w:pStyle w:val="ListParagraph"/>
        <w:numPr>
          <w:ilvl w:val="0"/>
          <w:numId w:val="3"/>
        </w:numPr>
        <w:spacing w:after="80"/>
      </w:pPr>
      <w:r>
        <w:rPr>
          <w:rFonts w:ascii="Arial" w:cs="Arial" w:eastAsia="Arial" w:hAnsi="Arial"/>
          <w:sz w:val="22"/>
          <w:szCs w:val="22"/>
        </w:rPr>
        <w:t xml:space="preserve">Archetype outcome prediction using chi-square and logistic regression to test whether archetype membership predicts outcomes more powerfully than the linear FPI</w:t>
      </w:r>
    </w:p>
    <w:p>
      <w:pPr>
        <w:pStyle w:val="ListParagraph"/>
        <w:numPr>
          <w:ilvl w:val="0"/>
          <w:numId w:val="3"/>
        </w:numPr>
        <w:spacing w:after="80"/>
      </w:pPr>
      <w:r>
        <w:rPr>
          <w:rFonts w:ascii="Arial" w:cs="Arial" w:eastAsia="Arial" w:hAnsi="Arial"/>
          <w:sz w:val="22"/>
          <w:szCs w:val="22"/>
        </w:rPr>
        <w:t xml:space="preserve">An interactive dashboard built for coaches and scouts to identify opponent archetypes, compare teams, and browse match-level examples without requiring coding expertise</w:t>
      </w:r>
    </w:p>
    <w:p>
      <w:r>
        <w:br w:type="page"/>
      </w:r>
    </w:p>
    <w:p>
      <w:pPr>
        <w:pStyle w:val="Heading1"/>
        <w:spacing w:before="360" w:after="180"/>
      </w:pPr>
      <w:r>
        <w:rPr>
          <w:rFonts w:ascii="Arial" w:cs="Arial" w:eastAsia="Arial" w:hAnsi="Arial"/>
          <w:b/>
          <w:bCs/>
          <w:color w:val="1A3A5C"/>
          <w:sz w:val="32"/>
          <w:szCs w:val="32"/>
        </w:rPr>
        <w:t xml:space="preserve">10.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Team Member Contributions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Acquisition &amp;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Downloaded StatsBomb data, converted to parquet, filtered xG-parity matches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team members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EDA Notebook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Calculated positional touch shares, progressive carries, aggregated by outcome; feature engineering and narrative descriptions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Alex: Feature engineering, descriptions. Noah: Feature engineering, updates and edits. Thomas: Data validation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EDA Executive Notebook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Summarized EDA findings, key results, limitations, and plans of 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Alex: Updates and edits. Noah: Updates and edits. Thomas: Initial outline and content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and preparation of data visualization using Streamlit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Alex: Data pipeline. Noah: Initial creation with Streamlit. Thomas: Use cases and usability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 &amp; Midterm Deck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Assembled presentation, charts, narrative, and written report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Thomas: Initial outline and content. All: Collaborative editing and review</w:t>
            </w:r>
          </w:p>
        </w:tc>
      </w:tr>
    </w:tbl>
    <w:p>
      <w:pPr>
        <w:spacing w:after="160"/>
        <w:jc w:val="both"/>
      </w:pPr>
      <w:r>
        <w:rPr>
          <w:rFonts w:ascii="Arial" w:cs="Arial" w:eastAsia="Arial" w:hAnsi="Arial"/>
          <w:sz w:val="22"/>
          <w:szCs w:val="22"/>
        </w:rPr>
        <w:t xml:space="preserve"/>
      </w:r>
    </w:p>
    <w:p>
      <w:pPr>
        <w:spacing w:after="160"/>
        <w:jc w:val="both"/>
      </w:pPr>
      <w:r>
        <w:rPr>
          <w:rFonts w:ascii="Arial" w:cs="Arial" w:eastAsia="Arial" w:hAnsi="Arial"/>
          <w:sz w:val="22"/>
          <w:szCs w:val="22"/>
        </w:rPr>
        <w:t xml:space="preserve">This project was a contributed project through the TrilemmaFoundation soccer analytics capstone program. All statistical analysis and writing represent the team's original work, with AI assistance used for code review and narrative drafting, cited in accordance with Georgia Tech policy.</w:t>
      </w:r>
    </w:p>
    <w:p>
      <w:r>
        <w:br w:type="page"/>
      </w:r>
    </w:p>
    <w:p>
      <w:pPr>
        <w:pStyle w:val="Heading1"/>
        <w:spacing w:before="360" w:after="180"/>
      </w:pPr>
      <w:r>
        <w:rPr>
          <w:rFonts w:ascii="Arial" w:cs="Arial" w:eastAsia="Arial" w:hAnsi="Arial"/>
          <w:b/>
          <w:bCs/>
          <w:color w:val="1A3A5C"/>
          <w:sz w:val="32"/>
          <w:szCs w:val="32"/>
        </w:rPr>
        <w:t xml:space="preserve">11. References</w:t>
      </w:r>
    </w:p>
    <w:p>
      <w:pPr>
        <w:pStyle w:val="Heading2"/>
        <w:spacing w:before="240" w:after="120"/>
      </w:pPr>
      <w:r>
        <w:rPr>
          <w:rFonts w:ascii="Arial" w:cs="Arial" w:eastAsia="Arial" w:hAnsi="Arial"/>
          <w:b/>
          <w:bCs/>
          <w:sz w:val="26"/>
          <w:szCs w:val="26"/>
        </w:rPr>
        <w:t xml:space="preserve">Data Sources</w:t>
      </w:r>
    </w:p>
    <w:p>
      <w:pPr>
        <w:spacing w:after="160"/>
        <w:jc w:val="both"/>
      </w:pPr>
      <w:r>
        <w:rPr>
          <w:rFonts w:ascii="Arial" w:cs="Arial" w:eastAsia="Arial" w:hAnsi="Arial"/>
          <w:sz w:val="22"/>
          <w:szCs w:val="22"/>
        </w:rPr>
        <w:t xml:space="preserve">StatsBomb. (2024). Open Data Repository. GitHub. https://github.com/statsbomb/open-data</w:t>
      </w:r>
    </w:p>
    <w:p>
      <w:pPr>
        <w:spacing w:after="160"/>
        <w:jc w:val="both"/>
      </w:pPr>
      <w:r>
        <w:rPr>
          <w:rFonts w:ascii="Arial" w:cs="Arial" w:eastAsia="Arial" w:hAnsi="Arial"/>
          <w:sz w:val="22"/>
          <w:szCs w:val="22"/>
        </w:rPr>
        <w:t xml:space="preserve">StatsBomb. (2024). Open Data Events v4.0.0 Specification. https://github.com/statsbomb/open-data</w:t>
      </w:r>
    </w:p>
    <w:p>
      <w:pPr>
        <w:spacing w:after="160"/>
        <w:jc w:val="both"/>
      </w:pPr>
      <w:r>
        <w:rPr>
          <w:rFonts w:ascii="Arial" w:cs="Arial" w:eastAsia="Arial" w:hAnsi="Arial"/>
          <w:sz w:val="22"/>
          <w:szCs w:val="22"/>
        </w:rPr>
        <w:t xml:space="preserve">Carrasquilla, L. (2026). Complete guide on working with the StatsBomb Open Data dataset. Medium.</w:t>
      </w:r>
    </w:p>
    <w:p>
      <w:pPr>
        <w:pStyle w:val="Heading2"/>
        <w:spacing w:before="240" w:after="120"/>
      </w:pPr>
      <w:r>
        <w:rPr>
          <w:rFonts w:ascii="Arial" w:cs="Arial" w:eastAsia="Arial" w:hAnsi="Arial"/>
          <w:b/>
          <w:bCs/>
          <w:sz w:val="26"/>
          <w:szCs w:val="26"/>
        </w:rPr>
        <w:t xml:space="preserve">Expected Goals (xG)</w:t>
      </w:r>
    </w:p>
    <w:p>
      <w:pPr>
        <w:spacing w:after="160"/>
        <w:jc w:val="both"/>
      </w:pPr>
      <w:r>
        <w:rPr>
          <w:rFonts w:ascii="Arial" w:cs="Arial" w:eastAsia="Arial" w:hAnsi="Arial"/>
          <w:sz w:val="22"/>
          <w:szCs w:val="22"/>
        </w:rPr>
        <w:t xml:space="preserve">Rathke, A. (2017). An examination of expected goals and shot efficiency in soccer. Journal of Human Sport and Exercise, 12(2), 514-529.</w:t>
      </w:r>
    </w:p>
    <w:p>
      <w:pPr>
        <w:spacing w:after="160"/>
        <w:jc w:val="both"/>
      </w:pPr>
      <w:r>
        <w:rPr>
          <w:rFonts w:ascii="Arial" w:cs="Arial" w:eastAsia="Arial" w:hAnsi="Arial"/>
          <w:sz w:val="22"/>
          <w:szCs w:val="22"/>
        </w:rPr>
        <w:t xml:space="preserve">Mead, J., O'Hare, A., &amp; McMenemy, P. (2023). Expected goals in football: Improving model performance and demonstrating value. PLOS ONE, 18(4), e0282295.</w:t>
      </w:r>
    </w:p>
    <w:p>
      <w:pPr>
        <w:spacing w:after="160"/>
        <w:jc w:val="both"/>
      </w:pPr>
      <w:r>
        <w:rPr>
          <w:rFonts w:ascii="Arial" w:cs="Arial" w:eastAsia="Arial" w:hAnsi="Arial"/>
          <w:sz w:val="22"/>
          <w:szCs w:val="22"/>
        </w:rPr>
        <w:t xml:space="preserve">Green, S. (2012). Assessing the performance of Premier League goalscorers. StatsBomb Blog.</w:t>
      </w:r>
    </w:p>
    <w:p>
      <w:pPr>
        <w:spacing w:after="160"/>
        <w:jc w:val="both"/>
      </w:pPr>
      <w:r>
        <w:rPr>
          <w:rFonts w:ascii="Arial" w:cs="Arial" w:eastAsia="Arial" w:hAnsi="Arial"/>
          <w:sz w:val="22"/>
          <w:szCs w:val="22"/>
        </w:rPr>
        <w:t xml:space="preserve">Anzer, G., &amp; Bauer, P. (2021). A goal scoring probability model for shots based on synchronized positional and event data in football. Frontiers in Sports and Active Living, 3, 624475.</w:t>
      </w:r>
    </w:p>
    <w:p>
      <w:pPr>
        <w:spacing w:after="160"/>
        <w:jc w:val="both"/>
      </w:pPr>
      <w:r>
        <w:rPr>
          <w:rFonts w:ascii="Arial" w:cs="Arial" w:eastAsia="Arial" w:hAnsi="Arial"/>
          <w:sz w:val="22"/>
          <w:szCs w:val="22"/>
        </w:rPr>
        <w:t xml:space="preserve">Fernandez, J., Bornn, L., &amp; Cervone, D. (2021). A framework for the fine-grained evaluation of the instantaneous expected value of soccer possessions. Machine Learning, 110(6), 1389-1427.</w:t>
      </w:r>
    </w:p>
    <w:p>
      <w:pPr>
        <w:pStyle w:val="Heading2"/>
        <w:spacing w:before="240" w:after="120"/>
      </w:pPr>
      <w:r>
        <w:rPr>
          <w:rFonts w:ascii="Arial" w:cs="Arial" w:eastAsia="Arial" w:hAnsi="Arial"/>
          <w:b/>
          <w:bCs/>
          <w:sz w:val="26"/>
          <w:szCs w:val="26"/>
        </w:rPr>
        <w:t xml:space="preserve">Tactical Analysis</w:t>
      </w:r>
    </w:p>
    <w:p>
      <w:pPr>
        <w:spacing w:after="160"/>
        <w:jc w:val="both"/>
      </w:pPr>
      <w:r>
        <w:rPr>
          <w:rFonts w:ascii="Arial" w:cs="Arial" w:eastAsia="Arial" w:hAnsi="Arial"/>
          <w:sz w:val="22"/>
          <w:szCs w:val="22"/>
        </w:rPr>
        <w:t xml:space="preserve">Memmert, D., Lemmink, K. A., &amp; Sampaio, J. (2017). Current approaches to tactical performance analyses in soccer using position data. Sports Medicine, 47(1), 1-10.</w:t>
      </w:r>
    </w:p>
    <w:p>
      <w:pPr>
        <w:spacing w:after="160"/>
        <w:jc w:val="both"/>
      </w:pPr>
      <w:r>
        <w:rPr>
          <w:rFonts w:ascii="Arial" w:cs="Arial" w:eastAsia="Arial" w:hAnsi="Arial"/>
          <w:sz w:val="22"/>
          <w:szCs w:val="22"/>
        </w:rPr>
        <w:t xml:space="preserve">Clemente, F. M., Martins, F. M. L., &amp; Mendes, R. S. (2016). Analysis of scored and conceded goals by a football team throughout a season: A network analysis. Kinesiology, 48(1), 103-114.</w:t>
      </w:r>
    </w:p>
    <w:p>
      <w:pPr>
        <w:spacing w:after="160"/>
        <w:jc w:val="both"/>
      </w:pPr>
      <w:r>
        <w:rPr>
          <w:rFonts w:ascii="Arial" w:cs="Arial" w:eastAsia="Arial" w:hAnsi="Arial"/>
          <w:sz w:val="22"/>
          <w:szCs w:val="22"/>
        </w:rPr>
        <w:t xml:space="preserve">Romero Clavijo, F. A., et al. (2024). Identification of football teams styles of play by cluster analysis. International Journal of Performance Analysis in Sport, 24(1), 123-142.</w:t>
      </w:r>
    </w:p>
    <w:p>
      <w:pPr>
        <w:pStyle w:val="Heading2"/>
        <w:spacing w:before="240" w:after="120"/>
      </w:pPr>
      <w:r>
        <w:rPr>
          <w:rFonts w:ascii="Arial" w:cs="Arial" w:eastAsia="Arial" w:hAnsi="Arial"/>
          <w:b/>
          <w:bCs/>
          <w:sz w:val="26"/>
          <w:szCs w:val="26"/>
        </w:rPr>
        <w:t xml:space="preserve">Clustering Methods</w:t>
      </w:r>
    </w:p>
    <w:p>
      <w:pPr>
        <w:spacing w:after="160"/>
        <w:jc w:val="both"/>
      </w:pPr>
      <w:r>
        <w:rPr>
          <w:rFonts w:ascii="Arial" w:cs="Arial" w:eastAsia="Arial" w:hAnsi="Arial"/>
          <w:sz w:val="22"/>
          <w:szCs w:val="22"/>
        </w:rPr>
        <w:t xml:space="preserve">Yamamoto, Y., et al. (2019). Clustering algorithm for formations in football games. Scientific Reports, 9, 13172.</w:t>
      </w:r>
    </w:p>
    <w:p>
      <w:pPr>
        <w:spacing w:after="160"/>
        <w:jc w:val="both"/>
      </w:pPr>
      <w:r>
        <w:rPr>
          <w:rFonts w:ascii="Arial" w:cs="Arial" w:eastAsia="Arial" w:hAnsi="Arial"/>
          <w:sz w:val="22"/>
          <w:szCs w:val="22"/>
        </w:rPr>
        <w:t xml:space="preserve">Shaw, L., &amp; Glickman, M. E. (2019). Dynamic analysis of team strategy in professional football. Barca Sports Analytics Summit.</w:t>
      </w:r>
    </w:p>
    <w:p>
      <w:pPr>
        <w:pStyle w:val="Heading2"/>
        <w:spacing w:before="240" w:after="120"/>
      </w:pPr>
      <w:r>
        <w:rPr>
          <w:rFonts w:ascii="Arial" w:cs="Arial" w:eastAsia="Arial" w:hAnsi="Arial"/>
          <w:b/>
          <w:bCs/>
          <w:sz w:val="26"/>
          <w:szCs w:val="26"/>
        </w:rPr>
        <w:t xml:space="preserve">Statistical Methods</w:t>
      </w:r>
    </w:p>
    <w:p>
      <w:pPr>
        <w:spacing w:after="160"/>
        <w:jc w:val="both"/>
      </w:pPr>
      <w:r>
        <w:rPr>
          <w:rFonts w:ascii="Arial" w:cs="Arial" w:eastAsia="Arial" w:hAnsi="Arial"/>
          <w:sz w:val="22"/>
          <w:szCs w:val="22"/>
        </w:rPr>
        <w:t xml:space="preserve">Mann, H. B., &amp; Whitney, D. R. (1947). On a test of whether one of two random variables is stochastically larger than the other. Annals of Mathematical Statistics, 18(1), 50-60.</w:t>
      </w:r>
    </w:p>
    <w:p>
      <w:pPr>
        <w:spacing w:after="160"/>
        <w:jc w:val="both"/>
      </w:pPr>
      <w:r>
        <w:rPr>
          <w:rFonts w:ascii="Arial" w:cs="Arial" w:eastAsia="Arial" w:hAnsi="Arial"/>
          <w:sz w:val="22"/>
          <w:szCs w:val="22"/>
        </w:rPr>
        <w:t xml:space="preserve">Wilcoxon, F. (1945). Individual comparisons by ranking methods. Biometrics Bulletin, 1(6), 80-83.</w:t>
      </w:r>
    </w:p>
    <w:p>
      <w:pPr>
        <w:spacing w:after="160"/>
        <w:jc w:val="both"/>
      </w:pPr>
      <w:r>
        <w:rPr>
          <w:rFonts w:ascii="Arial" w:cs="Arial" w:eastAsia="Arial" w:hAnsi="Arial"/>
          <w:sz w:val="22"/>
          <w:szCs w:val="22"/>
        </w:rPr>
        <w:t xml:space="preserve">Cohen, J. (1988). Statistical Power Analysis for the Behavioral Sciences (2nd ed.). Lawrence Erlbaum Associates.</w:t>
      </w:r>
    </w:p>
    <w:p>
      <w:pPr>
        <w:pStyle w:val="Heading2"/>
        <w:spacing w:before="240" w:after="120"/>
      </w:pPr>
      <w:r>
        <w:rPr>
          <w:rFonts w:ascii="Arial" w:cs="Arial" w:eastAsia="Arial" w:hAnsi="Arial"/>
          <w:b/>
          <w:bCs/>
          <w:sz w:val="26"/>
          <w:szCs w:val="26"/>
        </w:rPr>
        <w:t xml:space="preserve">Python Libraries</w:t>
      </w:r>
    </w:p>
    <w:p>
      <w:pPr>
        <w:spacing w:after="160"/>
        <w:jc w:val="both"/>
      </w:pPr>
      <w:r>
        <w:rPr>
          <w:rFonts w:ascii="Arial" w:cs="Arial" w:eastAsia="Arial" w:hAnsi="Arial"/>
          <w:sz w:val="22"/>
          <w:szCs w:val="22"/>
        </w:rPr>
        <w:t xml:space="preserve">McKinney, W. (2010). Data structures for statistical computing in Python. Proceedings of the 9th Python in Science Conference.</w:t>
      </w:r>
    </w:p>
    <w:p>
      <w:pPr>
        <w:spacing w:after="160"/>
        <w:jc w:val="both"/>
      </w:pPr>
      <w:r>
        <w:rPr>
          <w:rFonts w:ascii="Arial" w:cs="Arial" w:eastAsia="Arial" w:hAnsi="Arial"/>
          <w:sz w:val="22"/>
          <w:szCs w:val="22"/>
        </w:rPr>
        <w:t xml:space="preserve">Harris, C. R., et al. (2020). Array programming with NumPy. Nature, 585(7825), 357-362.</w:t>
      </w:r>
    </w:p>
    <w:p>
      <w:pPr>
        <w:spacing w:after="160"/>
        <w:jc w:val="both"/>
      </w:pPr>
      <w:r>
        <w:rPr>
          <w:rFonts w:ascii="Arial" w:cs="Arial" w:eastAsia="Arial" w:hAnsi="Arial"/>
          <w:sz w:val="22"/>
          <w:szCs w:val="22"/>
        </w:rPr>
        <w:t xml:space="preserve">Hunter, J. D. (2007). Matplotlib: A 2D graphics environment. Computing in Science &amp; Engineering, 9(3), 90-95.</w:t>
      </w:r>
    </w:p>
    <w:p>
      <w:pPr>
        <w:spacing w:after="160"/>
        <w:jc w:val="both"/>
      </w:pPr>
      <w:r>
        <w:rPr>
          <w:rFonts w:ascii="Arial" w:cs="Arial" w:eastAsia="Arial" w:hAnsi="Arial"/>
          <w:sz w:val="22"/>
          <w:szCs w:val="22"/>
        </w:rPr>
        <w:t xml:space="preserve">Rowlinson, A. (2023). mplsoccer: A Python library for plotting soccer/football charts in Matplotlib. Version 1.3.0.</w:t>
      </w:r>
    </w:p>
    <w:p>
      <w:pPr>
        <w:spacing w:after="160"/>
        <w:jc w:val="both"/>
      </w:pPr>
      <w:r>
        <w:rPr>
          <w:rFonts w:ascii="Arial" w:cs="Arial" w:eastAsia="Arial" w:hAnsi="Arial"/>
          <w:sz w:val="22"/>
          <w:szCs w:val="22"/>
        </w:rPr>
        <w:t xml:space="preserve">Pedregosa, F., et al. (2011). Scikit-learn: Machine learning in Python. Journal of Machine Learning Research, 12, 2825-2830.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Team 4: Avramov, Boonin, LaRock</w:t>
    </w:r>
    <w:r>
      <w:rPr>
        <w:rFonts w:ascii="Arial" w:cs="Arial" w:eastAsia="Arial" w:hAnsi="Arial"/>
        <w:sz w:val="18"/>
        <w:szCs w:val="18"/>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Winning Without an xG Advantage</w:t>
    </w:r>
    <w:r>
      <w:rPr>
        <w:rFonts w:ascii="Arial" w:cs="Arial" w:eastAsia="Arial" w:hAnsi="Arial"/>
        <w:sz w:val="18"/>
        <w:szCs w:val="18"/>
      </w:rPr>
      <w:t xml:space="preserve">	</w:t>
    </w:r>
    <w:r>
      <w:rPr>
        <w:rFonts w:ascii="Arial" w:cs="Arial" w:eastAsia="Arial" w:hAnsi="Arial"/>
        <w:color w:val="888888"/>
        <w:sz w:val="18"/>
        <w:szCs w:val="18"/>
      </w:rPr>
      <w:t xml:space="preserve">Georgia Tech MSA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2026-04-03T18:28:59.032Z</dcterms:created>
  <dcterms:modified xsi:type="dcterms:W3CDTF">2026-04-03T18:28:59.033Z</dcterms:modified>
</cp:coreProperties>
</file>

<file path=docProps/custom.xml><?xml version="1.0" encoding="utf-8"?>
<Properties xmlns="http://schemas.openxmlformats.org/officeDocument/2006/custom-properties" xmlns:vt="http://schemas.openxmlformats.org/officeDocument/2006/docPropsVTypes"/>
</file>