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312804781"/>
        <w:docPartObj>
          <w:docPartGallery w:val="Cover Pages"/>
          <w:docPartUnique/>
        </w:docPartObj>
      </w:sdtPr>
      <w:sdtContent>
        <w:p w14:paraId="7A4C7595" w14:textId="687298E7" w:rsidR="006646A7" w:rsidRDefault="006646A7">
          <w:r>
            <w:rPr>
              <w:noProof/>
            </w:rPr>
            <mc:AlternateContent>
              <mc:Choice Requires="wpg">
                <w:drawing>
                  <wp:anchor distT="0" distB="0" distL="114300" distR="114300" simplePos="0" relativeHeight="251662336" behindDoc="0" locked="0" layoutInCell="1" allowOverlap="1" wp14:anchorId="6247BE40" wp14:editId="755A977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e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eck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DE94AD9" id="Gruppe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N0XiRqDBQAAfB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hteck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hteck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F714729" wp14:editId="27C3B9B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feld 1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0B5AB38" w14:textId="028BF428" w:rsidR="006646A7" w:rsidRDefault="006646A7">
                                    <w:pPr>
                                      <w:pStyle w:val="KeinLeerraum"/>
                                      <w:jc w:val="right"/>
                                      <w:rPr>
                                        <w:color w:val="595959" w:themeColor="text1" w:themeTint="A6"/>
                                        <w:sz w:val="28"/>
                                        <w:szCs w:val="28"/>
                                      </w:rPr>
                                    </w:pPr>
                                    <w:r>
                                      <w:rPr>
                                        <w:color w:val="595959" w:themeColor="text1" w:themeTint="A6"/>
                                        <w:sz w:val="28"/>
                                        <w:szCs w:val="28"/>
                                      </w:rPr>
                                      <w:t>mtoumanides@googlemail.com</w:t>
                                    </w:r>
                                  </w:p>
                                </w:sdtContent>
                              </w:sdt>
                              <w:p w14:paraId="447651CB" w14:textId="77777777" w:rsidR="006646A7" w:rsidRDefault="00000000">
                                <w:pPr>
                                  <w:pStyle w:val="KeinLeerraum"/>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6646A7">
                                      <w:rPr>
                                        <w:color w:val="595959" w:themeColor="text1" w:themeTint="A6"/>
                                        <w:sz w:val="18"/>
                                        <w:szCs w:val="18"/>
                                      </w:rPr>
                                      <w:t>[E-Mail-Adresse]</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F714729" id="_x0000_t202" coordsize="21600,21600" o:spt="202" path="m,l,21600r21600,l21600,xe">
                    <v:stroke joinstyle="miter"/>
                    <v:path gradientshapeok="t" o:connecttype="rect"/>
                  </v:shapetype>
                  <v:shape id="Textfeld 1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0B5AB38" w14:textId="028BF428" w:rsidR="006646A7" w:rsidRDefault="006646A7">
                              <w:pPr>
                                <w:pStyle w:val="KeinLeerraum"/>
                                <w:jc w:val="right"/>
                                <w:rPr>
                                  <w:color w:val="595959" w:themeColor="text1" w:themeTint="A6"/>
                                  <w:sz w:val="28"/>
                                  <w:szCs w:val="28"/>
                                </w:rPr>
                              </w:pPr>
                              <w:r>
                                <w:rPr>
                                  <w:color w:val="595959" w:themeColor="text1" w:themeTint="A6"/>
                                  <w:sz w:val="28"/>
                                  <w:szCs w:val="28"/>
                                </w:rPr>
                                <w:t>mtoumanides@googlemail.com</w:t>
                              </w:r>
                            </w:p>
                          </w:sdtContent>
                        </w:sdt>
                        <w:p w14:paraId="447651CB" w14:textId="77777777" w:rsidR="006646A7" w:rsidRDefault="00000000">
                          <w:pPr>
                            <w:pStyle w:val="KeinLeerraum"/>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6646A7">
                                <w:rPr>
                                  <w:color w:val="595959" w:themeColor="text1" w:themeTint="A6"/>
                                  <w:sz w:val="18"/>
                                  <w:szCs w:val="18"/>
                                </w:rPr>
                                <w:t>[E-Mail-Adresse]</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6C400E1" wp14:editId="779A383B">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feld 2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9903BC" w14:textId="4E3866BA" w:rsidR="006646A7" w:rsidRDefault="00000000">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91494">
                                      <w:rPr>
                                        <w:caps/>
                                        <w:color w:val="156082" w:themeColor="accent1"/>
                                        <w:sz w:val="64"/>
                                        <w:szCs w:val="64"/>
                                      </w:rPr>
                                      <w:t>Voiceup</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0313A5B" w14:textId="0A5E7A37" w:rsidR="006646A7" w:rsidRDefault="00091494">
                                    <w:pPr>
                                      <w:jc w:val="right"/>
                                      <w:rPr>
                                        <w:smallCaps/>
                                        <w:color w:val="404040" w:themeColor="text1" w:themeTint="BF"/>
                                        <w:sz w:val="36"/>
                                        <w:szCs w:val="36"/>
                                      </w:rPr>
                                    </w:pPr>
                                    <w:r>
                                      <w:rPr>
                                        <w:color w:val="404040" w:themeColor="text1" w:themeTint="BF"/>
                                        <w:sz w:val="36"/>
                                        <w:szCs w:val="36"/>
                                      </w:rPr>
                                      <w:t xml:space="preserve">Business </w:t>
                                    </w:r>
                                    <w:proofErr w:type="spellStart"/>
                                    <w:r>
                                      <w:rPr>
                                        <w:color w:val="404040" w:themeColor="text1" w:themeTint="BF"/>
                                        <w:sz w:val="36"/>
                                        <w:szCs w:val="36"/>
                                      </w:rPr>
                                      <w:t>model</w:t>
                                    </w:r>
                                    <w:proofErr w:type="spellEnd"/>
                                    <w:r>
                                      <w:rPr>
                                        <w:color w:val="404040" w:themeColor="text1" w:themeTint="BF"/>
                                        <w:sz w:val="36"/>
                                        <w:szCs w:val="36"/>
                                      </w:rPr>
                                      <w:t xml:space="preserve"> </w:t>
                                    </w:r>
                                    <w:proofErr w:type="spellStart"/>
                                    <w:r w:rsidR="00AA3D23">
                                      <w:rPr>
                                        <w:color w:val="404040" w:themeColor="text1" w:themeTint="BF"/>
                                        <w:sz w:val="36"/>
                                        <w:szCs w:val="36"/>
                                      </w:rPr>
                                      <w:t>c</w:t>
                                    </w:r>
                                    <w:r>
                                      <w:rPr>
                                        <w:color w:val="404040" w:themeColor="text1" w:themeTint="BF"/>
                                        <w:sz w:val="36"/>
                                        <w:szCs w:val="36"/>
                                      </w:rPr>
                                      <w:t>anvas</w:t>
                                    </w:r>
                                    <w:proofErr w:type="spellEnd"/>
                                    <w:r>
                                      <w:rPr>
                                        <w:color w:val="404040" w:themeColor="text1" w:themeTint="BF"/>
                                        <w:sz w:val="36"/>
                                        <w:szCs w:val="36"/>
                                      </w:rPr>
                                      <w:t xml:space="preserve"> </w:t>
                                    </w:r>
                                    <w:proofErr w:type="spellStart"/>
                                    <w:r>
                                      <w:rPr>
                                        <w:color w:val="404040" w:themeColor="text1" w:themeTint="BF"/>
                                        <w:sz w:val="36"/>
                                        <w:szCs w:val="36"/>
                                      </w:rPr>
                                      <w:t>analisys</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6C400E1" id="Textfeld 2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739903BC" w14:textId="4E3866BA" w:rsidR="006646A7" w:rsidRDefault="00000000">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91494">
                                <w:rPr>
                                  <w:caps/>
                                  <w:color w:val="156082" w:themeColor="accent1"/>
                                  <w:sz w:val="64"/>
                                  <w:szCs w:val="64"/>
                                </w:rPr>
                                <w:t>Voiceup</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0313A5B" w14:textId="0A5E7A37" w:rsidR="006646A7" w:rsidRDefault="00091494">
                              <w:pPr>
                                <w:jc w:val="right"/>
                                <w:rPr>
                                  <w:smallCaps/>
                                  <w:color w:val="404040" w:themeColor="text1" w:themeTint="BF"/>
                                  <w:sz w:val="36"/>
                                  <w:szCs w:val="36"/>
                                </w:rPr>
                              </w:pPr>
                              <w:r>
                                <w:rPr>
                                  <w:color w:val="404040" w:themeColor="text1" w:themeTint="BF"/>
                                  <w:sz w:val="36"/>
                                  <w:szCs w:val="36"/>
                                </w:rPr>
                                <w:t xml:space="preserve">Business </w:t>
                              </w:r>
                              <w:proofErr w:type="spellStart"/>
                              <w:r>
                                <w:rPr>
                                  <w:color w:val="404040" w:themeColor="text1" w:themeTint="BF"/>
                                  <w:sz w:val="36"/>
                                  <w:szCs w:val="36"/>
                                </w:rPr>
                                <w:t>model</w:t>
                              </w:r>
                              <w:proofErr w:type="spellEnd"/>
                              <w:r>
                                <w:rPr>
                                  <w:color w:val="404040" w:themeColor="text1" w:themeTint="BF"/>
                                  <w:sz w:val="36"/>
                                  <w:szCs w:val="36"/>
                                </w:rPr>
                                <w:t xml:space="preserve"> </w:t>
                              </w:r>
                              <w:proofErr w:type="spellStart"/>
                              <w:r w:rsidR="00AA3D23">
                                <w:rPr>
                                  <w:color w:val="404040" w:themeColor="text1" w:themeTint="BF"/>
                                  <w:sz w:val="36"/>
                                  <w:szCs w:val="36"/>
                                </w:rPr>
                                <w:t>c</w:t>
                              </w:r>
                              <w:r>
                                <w:rPr>
                                  <w:color w:val="404040" w:themeColor="text1" w:themeTint="BF"/>
                                  <w:sz w:val="36"/>
                                  <w:szCs w:val="36"/>
                                </w:rPr>
                                <w:t>anvas</w:t>
                              </w:r>
                              <w:proofErr w:type="spellEnd"/>
                              <w:r>
                                <w:rPr>
                                  <w:color w:val="404040" w:themeColor="text1" w:themeTint="BF"/>
                                  <w:sz w:val="36"/>
                                  <w:szCs w:val="36"/>
                                </w:rPr>
                                <w:t xml:space="preserve"> </w:t>
                              </w:r>
                              <w:proofErr w:type="spellStart"/>
                              <w:r>
                                <w:rPr>
                                  <w:color w:val="404040" w:themeColor="text1" w:themeTint="BF"/>
                                  <w:sz w:val="36"/>
                                  <w:szCs w:val="36"/>
                                </w:rPr>
                                <w:t>analisys</w:t>
                              </w:r>
                              <w:proofErr w:type="spellEnd"/>
                            </w:p>
                          </w:sdtContent>
                        </w:sdt>
                      </w:txbxContent>
                    </v:textbox>
                    <w10:wrap type="square" anchorx="page" anchory="page"/>
                  </v:shape>
                </w:pict>
              </mc:Fallback>
            </mc:AlternateContent>
          </w:r>
        </w:p>
        <w:p w14:paraId="03187B31" w14:textId="70174DED" w:rsidR="006646A7" w:rsidRDefault="006646A7">
          <w:r>
            <w:br w:type="page"/>
          </w:r>
        </w:p>
      </w:sdtContent>
    </w:sdt>
    <w:sdt>
      <w:sdtPr>
        <w:rPr>
          <w:rFonts w:asciiTheme="minorHAnsi" w:eastAsiaTheme="minorHAnsi" w:hAnsiTheme="minorHAnsi" w:cstheme="minorBidi"/>
          <w:b w:val="0"/>
          <w:bCs w:val="0"/>
          <w:color w:val="auto"/>
          <w:kern w:val="2"/>
          <w:sz w:val="24"/>
          <w:szCs w:val="24"/>
          <w:lang w:eastAsia="en-US"/>
          <w14:ligatures w14:val="standardContextual"/>
        </w:rPr>
        <w:id w:val="177009243"/>
        <w:docPartObj>
          <w:docPartGallery w:val="Table of Contents"/>
          <w:docPartUnique/>
        </w:docPartObj>
      </w:sdtPr>
      <w:sdtEndPr>
        <w:rPr>
          <w:noProof/>
        </w:rPr>
      </w:sdtEndPr>
      <w:sdtContent>
        <w:p w14:paraId="148492B3" w14:textId="14C9AB3D" w:rsidR="006646A7" w:rsidRDefault="00091494">
          <w:pPr>
            <w:pStyle w:val="Inhaltsverzeichnisberschrift"/>
          </w:pPr>
          <w:r>
            <w:t>Table of Contents</w:t>
          </w:r>
        </w:p>
        <w:p w14:paraId="7A6A2E68" w14:textId="7AB8285F" w:rsidR="00AA3D23" w:rsidRDefault="006646A7">
          <w:pPr>
            <w:pStyle w:val="Verzeichnis1"/>
            <w:tabs>
              <w:tab w:val="right" w:leader="dot" w:pos="9062"/>
            </w:tabs>
            <w:rPr>
              <w:rFonts w:eastAsiaTheme="minorEastAsia"/>
              <w:b w:val="0"/>
              <w:bCs w:val="0"/>
              <w:caps w:val="0"/>
              <w:noProof/>
              <w:sz w:val="24"/>
              <w:szCs w:val="24"/>
              <w:u w:val="none"/>
              <w:lang w:eastAsia="de-DE"/>
            </w:rPr>
          </w:pPr>
          <w:r>
            <w:rPr>
              <w:b w:val="0"/>
              <w:bCs w:val="0"/>
            </w:rPr>
            <w:fldChar w:fldCharType="begin"/>
          </w:r>
          <w:r>
            <w:instrText>TOC \o "1-3" \h \z \u</w:instrText>
          </w:r>
          <w:r>
            <w:rPr>
              <w:b w:val="0"/>
              <w:bCs w:val="0"/>
            </w:rPr>
            <w:fldChar w:fldCharType="separate"/>
          </w:r>
          <w:hyperlink w:anchor="_Toc237288063" w:history="1">
            <w:r w:rsidR="00AA3D23" w:rsidRPr="00503E07">
              <w:rPr>
                <w:rStyle w:val="Hyperlink"/>
                <w:noProof/>
                <w:lang w:val="en-US"/>
              </w:rPr>
              <w:t>Co-determination and participation</w:t>
            </w:r>
            <w:r w:rsidR="00AA3D23">
              <w:rPr>
                <w:noProof/>
                <w:webHidden/>
              </w:rPr>
              <w:tab/>
            </w:r>
            <w:r w:rsidR="00AA3D23">
              <w:rPr>
                <w:noProof/>
                <w:webHidden/>
              </w:rPr>
              <w:fldChar w:fldCharType="begin"/>
            </w:r>
            <w:r w:rsidR="00AA3D23">
              <w:rPr>
                <w:noProof/>
                <w:webHidden/>
              </w:rPr>
              <w:instrText xml:space="preserve"> PAGEREF _Toc237288063 \h </w:instrText>
            </w:r>
            <w:r w:rsidR="00AA3D23">
              <w:rPr>
                <w:noProof/>
                <w:webHidden/>
              </w:rPr>
            </w:r>
            <w:r w:rsidR="00AA3D23">
              <w:rPr>
                <w:noProof/>
                <w:webHidden/>
              </w:rPr>
              <w:fldChar w:fldCharType="separate"/>
            </w:r>
            <w:r w:rsidR="00AA3D23">
              <w:rPr>
                <w:noProof/>
                <w:webHidden/>
              </w:rPr>
              <w:t>3</w:t>
            </w:r>
            <w:r w:rsidR="00AA3D23">
              <w:rPr>
                <w:noProof/>
                <w:webHidden/>
              </w:rPr>
              <w:fldChar w:fldCharType="end"/>
            </w:r>
          </w:hyperlink>
        </w:p>
        <w:p w14:paraId="568335F4" w14:textId="234E9DAF" w:rsidR="00AA3D23" w:rsidRDefault="00AA3D23">
          <w:pPr>
            <w:pStyle w:val="Verzeichnis1"/>
            <w:tabs>
              <w:tab w:val="right" w:leader="dot" w:pos="9062"/>
            </w:tabs>
            <w:rPr>
              <w:rFonts w:eastAsiaTheme="minorEastAsia"/>
              <w:b w:val="0"/>
              <w:bCs w:val="0"/>
              <w:caps w:val="0"/>
              <w:noProof/>
              <w:sz w:val="24"/>
              <w:szCs w:val="24"/>
              <w:u w:val="none"/>
              <w:lang w:eastAsia="de-DE"/>
            </w:rPr>
          </w:pPr>
          <w:hyperlink w:anchor="_Toc237288064" w:history="1">
            <w:r w:rsidRPr="00503E07">
              <w:rPr>
                <w:rStyle w:val="Hyperlink"/>
                <w:noProof/>
                <w:lang w:val="en-US"/>
              </w:rPr>
              <w:t>What is "VoiceUP"? the business idea and how it works</w:t>
            </w:r>
            <w:r>
              <w:rPr>
                <w:noProof/>
                <w:webHidden/>
              </w:rPr>
              <w:tab/>
            </w:r>
            <w:r>
              <w:rPr>
                <w:noProof/>
                <w:webHidden/>
              </w:rPr>
              <w:fldChar w:fldCharType="begin"/>
            </w:r>
            <w:r>
              <w:rPr>
                <w:noProof/>
                <w:webHidden/>
              </w:rPr>
              <w:instrText xml:space="preserve"> PAGEREF _Toc237288064 \h </w:instrText>
            </w:r>
            <w:r>
              <w:rPr>
                <w:noProof/>
                <w:webHidden/>
              </w:rPr>
            </w:r>
            <w:r>
              <w:rPr>
                <w:noProof/>
                <w:webHidden/>
              </w:rPr>
              <w:fldChar w:fldCharType="separate"/>
            </w:r>
            <w:r>
              <w:rPr>
                <w:noProof/>
                <w:webHidden/>
              </w:rPr>
              <w:t>3</w:t>
            </w:r>
            <w:r>
              <w:rPr>
                <w:noProof/>
                <w:webHidden/>
              </w:rPr>
              <w:fldChar w:fldCharType="end"/>
            </w:r>
          </w:hyperlink>
        </w:p>
        <w:p w14:paraId="02B9BA52" w14:textId="268730F0"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65" w:history="1">
            <w:r w:rsidRPr="00503E07">
              <w:rPr>
                <w:rStyle w:val="Hyperlink"/>
                <w:noProof/>
                <w:lang w:val="en-US"/>
              </w:rPr>
              <w:t>Interlinking of technology and attitude</w:t>
            </w:r>
            <w:r>
              <w:rPr>
                <w:noProof/>
                <w:webHidden/>
              </w:rPr>
              <w:tab/>
            </w:r>
            <w:r>
              <w:rPr>
                <w:noProof/>
                <w:webHidden/>
              </w:rPr>
              <w:fldChar w:fldCharType="begin"/>
            </w:r>
            <w:r>
              <w:rPr>
                <w:noProof/>
                <w:webHidden/>
              </w:rPr>
              <w:instrText xml:space="preserve"> PAGEREF _Toc237288065 \h </w:instrText>
            </w:r>
            <w:r>
              <w:rPr>
                <w:noProof/>
                <w:webHidden/>
              </w:rPr>
            </w:r>
            <w:r>
              <w:rPr>
                <w:noProof/>
                <w:webHidden/>
              </w:rPr>
              <w:fldChar w:fldCharType="separate"/>
            </w:r>
            <w:r>
              <w:rPr>
                <w:noProof/>
                <w:webHidden/>
              </w:rPr>
              <w:t>4</w:t>
            </w:r>
            <w:r>
              <w:rPr>
                <w:noProof/>
                <w:webHidden/>
              </w:rPr>
              <w:fldChar w:fldCharType="end"/>
            </w:r>
          </w:hyperlink>
        </w:p>
        <w:p w14:paraId="2A2D85C0" w14:textId="16707D3B"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66" w:history="1">
            <w:r w:rsidRPr="00503E07">
              <w:rPr>
                <w:rStyle w:val="Hyperlink"/>
                <w:noProof/>
                <w:lang w:val="en-US"/>
              </w:rPr>
              <w:t>How “VoiceUp” will push trough</w:t>
            </w:r>
            <w:r>
              <w:rPr>
                <w:noProof/>
                <w:webHidden/>
              </w:rPr>
              <w:tab/>
            </w:r>
            <w:r>
              <w:rPr>
                <w:noProof/>
                <w:webHidden/>
              </w:rPr>
              <w:fldChar w:fldCharType="begin"/>
            </w:r>
            <w:r>
              <w:rPr>
                <w:noProof/>
                <w:webHidden/>
              </w:rPr>
              <w:instrText xml:space="preserve"> PAGEREF _Toc237288066 \h </w:instrText>
            </w:r>
            <w:r>
              <w:rPr>
                <w:noProof/>
                <w:webHidden/>
              </w:rPr>
            </w:r>
            <w:r>
              <w:rPr>
                <w:noProof/>
                <w:webHidden/>
              </w:rPr>
              <w:fldChar w:fldCharType="separate"/>
            </w:r>
            <w:r>
              <w:rPr>
                <w:noProof/>
                <w:webHidden/>
              </w:rPr>
              <w:t>5</w:t>
            </w:r>
            <w:r>
              <w:rPr>
                <w:noProof/>
                <w:webHidden/>
              </w:rPr>
              <w:fldChar w:fldCharType="end"/>
            </w:r>
          </w:hyperlink>
        </w:p>
        <w:p w14:paraId="2F70E5CE" w14:textId="137B936A" w:rsidR="00AA3D23" w:rsidRDefault="00AA3D23">
          <w:pPr>
            <w:pStyle w:val="Verzeichnis1"/>
            <w:tabs>
              <w:tab w:val="right" w:leader="dot" w:pos="9062"/>
            </w:tabs>
            <w:rPr>
              <w:rFonts w:eastAsiaTheme="minorEastAsia"/>
              <w:b w:val="0"/>
              <w:bCs w:val="0"/>
              <w:caps w:val="0"/>
              <w:noProof/>
              <w:sz w:val="24"/>
              <w:szCs w:val="24"/>
              <w:u w:val="none"/>
              <w:lang w:eastAsia="de-DE"/>
            </w:rPr>
          </w:pPr>
          <w:hyperlink w:anchor="_Toc237288067" w:history="1">
            <w:r w:rsidRPr="00503E07">
              <w:rPr>
                <w:rStyle w:val="Hyperlink"/>
                <w:noProof/>
                <w:lang w:val="en-US"/>
              </w:rPr>
              <w:t>“VoiceUP” as a tool for genuine complaint management in youth welfare services</w:t>
            </w:r>
            <w:r>
              <w:rPr>
                <w:noProof/>
                <w:webHidden/>
              </w:rPr>
              <w:tab/>
            </w:r>
            <w:r>
              <w:rPr>
                <w:noProof/>
                <w:webHidden/>
              </w:rPr>
              <w:fldChar w:fldCharType="begin"/>
            </w:r>
            <w:r>
              <w:rPr>
                <w:noProof/>
                <w:webHidden/>
              </w:rPr>
              <w:instrText xml:space="preserve"> PAGEREF _Toc237288067 \h </w:instrText>
            </w:r>
            <w:r>
              <w:rPr>
                <w:noProof/>
                <w:webHidden/>
              </w:rPr>
            </w:r>
            <w:r>
              <w:rPr>
                <w:noProof/>
                <w:webHidden/>
              </w:rPr>
              <w:fldChar w:fldCharType="separate"/>
            </w:r>
            <w:r>
              <w:rPr>
                <w:noProof/>
                <w:webHidden/>
              </w:rPr>
              <w:t>5</w:t>
            </w:r>
            <w:r>
              <w:rPr>
                <w:noProof/>
                <w:webHidden/>
              </w:rPr>
              <w:fldChar w:fldCharType="end"/>
            </w:r>
          </w:hyperlink>
        </w:p>
        <w:p w14:paraId="192CCC28" w14:textId="65F86FF6" w:rsidR="00AA3D23" w:rsidRDefault="00AA3D23">
          <w:pPr>
            <w:pStyle w:val="Verzeichnis1"/>
            <w:tabs>
              <w:tab w:val="right" w:leader="dot" w:pos="9062"/>
            </w:tabs>
            <w:rPr>
              <w:rFonts w:eastAsiaTheme="minorEastAsia"/>
              <w:b w:val="0"/>
              <w:bCs w:val="0"/>
              <w:caps w:val="0"/>
              <w:noProof/>
              <w:sz w:val="24"/>
              <w:szCs w:val="24"/>
              <w:u w:val="none"/>
              <w:lang w:eastAsia="de-DE"/>
            </w:rPr>
          </w:pPr>
          <w:hyperlink w:anchor="_Toc237288068" w:history="1">
            <w:r w:rsidRPr="00503E07">
              <w:rPr>
                <w:rStyle w:val="Hyperlink"/>
                <w:rFonts w:ascii="Helvetica" w:eastAsia="Calibri" w:hAnsi="Helvetica" w:cs="Calibri"/>
                <w:noProof/>
                <w:lang w:val="en-US"/>
              </w:rPr>
              <w:t>Stakeholder analysis: Who benefits most from “VoiceUP”?</w:t>
            </w:r>
            <w:r>
              <w:rPr>
                <w:noProof/>
                <w:webHidden/>
              </w:rPr>
              <w:tab/>
            </w:r>
            <w:r>
              <w:rPr>
                <w:noProof/>
                <w:webHidden/>
              </w:rPr>
              <w:fldChar w:fldCharType="begin"/>
            </w:r>
            <w:r>
              <w:rPr>
                <w:noProof/>
                <w:webHidden/>
              </w:rPr>
              <w:instrText xml:space="preserve"> PAGEREF _Toc237288068 \h </w:instrText>
            </w:r>
            <w:r>
              <w:rPr>
                <w:noProof/>
                <w:webHidden/>
              </w:rPr>
            </w:r>
            <w:r>
              <w:rPr>
                <w:noProof/>
                <w:webHidden/>
              </w:rPr>
              <w:fldChar w:fldCharType="separate"/>
            </w:r>
            <w:r>
              <w:rPr>
                <w:noProof/>
                <w:webHidden/>
              </w:rPr>
              <w:t>8</w:t>
            </w:r>
            <w:r>
              <w:rPr>
                <w:noProof/>
                <w:webHidden/>
              </w:rPr>
              <w:fldChar w:fldCharType="end"/>
            </w:r>
          </w:hyperlink>
        </w:p>
        <w:p w14:paraId="66A0D679" w14:textId="29A95569"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69" w:history="1">
            <w:r w:rsidRPr="00503E07">
              <w:rPr>
                <w:rStyle w:val="Hyperlink"/>
                <w:rFonts w:eastAsia="Times New Roman"/>
                <w:noProof/>
                <w:lang w:val="en-US" w:eastAsia="de-DE"/>
              </w:rPr>
              <w:t>Young people main beneficiaries</w:t>
            </w:r>
            <w:r>
              <w:rPr>
                <w:noProof/>
                <w:webHidden/>
              </w:rPr>
              <w:tab/>
            </w:r>
            <w:r>
              <w:rPr>
                <w:noProof/>
                <w:webHidden/>
              </w:rPr>
              <w:fldChar w:fldCharType="begin"/>
            </w:r>
            <w:r>
              <w:rPr>
                <w:noProof/>
                <w:webHidden/>
              </w:rPr>
              <w:instrText xml:space="preserve"> PAGEREF _Toc237288069 \h </w:instrText>
            </w:r>
            <w:r>
              <w:rPr>
                <w:noProof/>
                <w:webHidden/>
              </w:rPr>
            </w:r>
            <w:r>
              <w:rPr>
                <w:noProof/>
                <w:webHidden/>
              </w:rPr>
              <w:fldChar w:fldCharType="separate"/>
            </w:r>
            <w:r>
              <w:rPr>
                <w:noProof/>
                <w:webHidden/>
              </w:rPr>
              <w:t>9</w:t>
            </w:r>
            <w:r>
              <w:rPr>
                <w:noProof/>
                <w:webHidden/>
              </w:rPr>
              <w:fldChar w:fldCharType="end"/>
            </w:r>
          </w:hyperlink>
        </w:p>
        <w:p w14:paraId="4350C5C9" w14:textId="52376EF7"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70" w:history="1">
            <w:r w:rsidRPr="00503E07">
              <w:rPr>
                <w:rStyle w:val="Hyperlink"/>
                <w:rFonts w:eastAsia="Times New Roman"/>
                <w:noProof/>
                <w:lang w:val="en-US" w:eastAsia="de-DE"/>
              </w:rPr>
              <w:t>The paying customer</w:t>
            </w:r>
            <w:r>
              <w:rPr>
                <w:noProof/>
                <w:webHidden/>
              </w:rPr>
              <w:tab/>
            </w:r>
            <w:r>
              <w:rPr>
                <w:noProof/>
                <w:webHidden/>
              </w:rPr>
              <w:fldChar w:fldCharType="begin"/>
            </w:r>
            <w:r>
              <w:rPr>
                <w:noProof/>
                <w:webHidden/>
              </w:rPr>
              <w:instrText xml:space="preserve"> PAGEREF _Toc237288070 \h </w:instrText>
            </w:r>
            <w:r>
              <w:rPr>
                <w:noProof/>
                <w:webHidden/>
              </w:rPr>
            </w:r>
            <w:r>
              <w:rPr>
                <w:noProof/>
                <w:webHidden/>
              </w:rPr>
              <w:fldChar w:fldCharType="separate"/>
            </w:r>
            <w:r>
              <w:rPr>
                <w:noProof/>
                <w:webHidden/>
              </w:rPr>
              <w:t>10</w:t>
            </w:r>
            <w:r>
              <w:rPr>
                <w:noProof/>
                <w:webHidden/>
              </w:rPr>
              <w:fldChar w:fldCharType="end"/>
            </w:r>
          </w:hyperlink>
        </w:p>
        <w:p w14:paraId="0CC08418" w14:textId="7255B0D7"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71" w:history="1">
            <w:r w:rsidRPr="00503E07">
              <w:rPr>
                <w:rStyle w:val="Hyperlink"/>
                <w:rFonts w:eastAsia="Times New Roman"/>
                <w:noProof/>
                <w:lang w:val="en-US" w:eastAsia="de-DE"/>
              </w:rPr>
              <w:t>Youth welfare offices and governmental oversight bodies</w:t>
            </w:r>
            <w:r>
              <w:rPr>
                <w:noProof/>
                <w:webHidden/>
              </w:rPr>
              <w:tab/>
            </w:r>
            <w:r>
              <w:rPr>
                <w:noProof/>
                <w:webHidden/>
              </w:rPr>
              <w:fldChar w:fldCharType="begin"/>
            </w:r>
            <w:r>
              <w:rPr>
                <w:noProof/>
                <w:webHidden/>
              </w:rPr>
              <w:instrText xml:space="preserve"> PAGEREF _Toc237288071 \h </w:instrText>
            </w:r>
            <w:r>
              <w:rPr>
                <w:noProof/>
                <w:webHidden/>
              </w:rPr>
            </w:r>
            <w:r>
              <w:rPr>
                <w:noProof/>
                <w:webHidden/>
              </w:rPr>
              <w:fldChar w:fldCharType="separate"/>
            </w:r>
            <w:r>
              <w:rPr>
                <w:noProof/>
                <w:webHidden/>
              </w:rPr>
              <w:t>10</w:t>
            </w:r>
            <w:r>
              <w:rPr>
                <w:noProof/>
                <w:webHidden/>
              </w:rPr>
              <w:fldChar w:fldCharType="end"/>
            </w:r>
          </w:hyperlink>
        </w:p>
        <w:p w14:paraId="5098388D" w14:textId="094C6D9B"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72" w:history="1">
            <w:r w:rsidRPr="00503E07">
              <w:rPr>
                <w:rStyle w:val="Hyperlink"/>
                <w:rFonts w:eastAsia="Times New Roman"/>
                <w:noProof/>
                <w:lang w:val="en-US" w:eastAsia="de-DE"/>
              </w:rPr>
              <w:t>Ombudsman offices and careleaver networks</w:t>
            </w:r>
            <w:r>
              <w:rPr>
                <w:noProof/>
                <w:webHidden/>
              </w:rPr>
              <w:tab/>
            </w:r>
            <w:r>
              <w:rPr>
                <w:noProof/>
                <w:webHidden/>
              </w:rPr>
              <w:fldChar w:fldCharType="begin"/>
            </w:r>
            <w:r>
              <w:rPr>
                <w:noProof/>
                <w:webHidden/>
              </w:rPr>
              <w:instrText xml:space="preserve"> PAGEREF _Toc237288072 \h </w:instrText>
            </w:r>
            <w:r>
              <w:rPr>
                <w:noProof/>
                <w:webHidden/>
              </w:rPr>
            </w:r>
            <w:r>
              <w:rPr>
                <w:noProof/>
                <w:webHidden/>
              </w:rPr>
              <w:fldChar w:fldCharType="separate"/>
            </w:r>
            <w:r>
              <w:rPr>
                <w:noProof/>
                <w:webHidden/>
              </w:rPr>
              <w:t>11</w:t>
            </w:r>
            <w:r>
              <w:rPr>
                <w:noProof/>
                <w:webHidden/>
              </w:rPr>
              <w:fldChar w:fldCharType="end"/>
            </w:r>
          </w:hyperlink>
        </w:p>
        <w:p w14:paraId="7ABE5D06" w14:textId="57C40B7E"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73" w:history="1">
            <w:r w:rsidRPr="00503E07">
              <w:rPr>
                <w:rStyle w:val="Hyperlink"/>
                <w:rFonts w:eastAsia="Times New Roman"/>
                <w:noProof/>
                <w:lang w:val="en-US" w:eastAsia="de-DE"/>
              </w:rPr>
              <w:t>Ambivalent stakeholders</w:t>
            </w:r>
            <w:r>
              <w:rPr>
                <w:noProof/>
                <w:webHidden/>
              </w:rPr>
              <w:tab/>
            </w:r>
            <w:r>
              <w:rPr>
                <w:noProof/>
                <w:webHidden/>
              </w:rPr>
              <w:fldChar w:fldCharType="begin"/>
            </w:r>
            <w:r>
              <w:rPr>
                <w:noProof/>
                <w:webHidden/>
              </w:rPr>
              <w:instrText xml:space="preserve"> PAGEREF _Toc237288073 \h </w:instrText>
            </w:r>
            <w:r>
              <w:rPr>
                <w:noProof/>
                <w:webHidden/>
              </w:rPr>
            </w:r>
            <w:r>
              <w:rPr>
                <w:noProof/>
                <w:webHidden/>
              </w:rPr>
              <w:fldChar w:fldCharType="separate"/>
            </w:r>
            <w:r>
              <w:rPr>
                <w:noProof/>
                <w:webHidden/>
              </w:rPr>
              <w:t>11</w:t>
            </w:r>
            <w:r>
              <w:rPr>
                <w:noProof/>
                <w:webHidden/>
              </w:rPr>
              <w:fldChar w:fldCharType="end"/>
            </w:r>
          </w:hyperlink>
        </w:p>
        <w:p w14:paraId="7403AD48" w14:textId="090DE175"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74" w:history="1">
            <w:r w:rsidRPr="00503E07">
              <w:rPr>
                <w:rStyle w:val="Hyperlink"/>
                <w:rFonts w:eastAsia="Times New Roman"/>
                <w:noProof/>
                <w:lang w:val="en-US" w:eastAsia="de-DE"/>
              </w:rPr>
              <w:t>Stakeholder conclusion</w:t>
            </w:r>
            <w:r>
              <w:rPr>
                <w:noProof/>
                <w:webHidden/>
              </w:rPr>
              <w:tab/>
            </w:r>
            <w:r>
              <w:rPr>
                <w:noProof/>
                <w:webHidden/>
              </w:rPr>
              <w:fldChar w:fldCharType="begin"/>
            </w:r>
            <w:r>
              <w:rPr>
                <w:noProof/>
                <w:webHidden/>
              </w:rPr>
              <w:instrText xml:space="preserve"> PAGEREF _Toc237288074 \h </w:instrText>
            </w:r>
            <w:r>
              <w:rPr>
                <w:noProof/>
                <w:webHidden/>
              </w:rPr>
            </w:r>
            <w:r>
              <w:rPr>
                <w:noProof/>
                <w:webHidden/>
              </w:rPr>
              <w:fldChar w:fldCharType="separate"/>
            </w:r>
            <w:r>
              <w:rPr>
                <w:noProof/>
                <w:webHidden/>
              </w:rPr>
              <w:t>11</w:t>
            </w:r>
            <w:r>
              <w:rPr>
                <w:noProof/>
                <w:webHidden/>
              </w:rPr>
              <w:fldChar w:fldCharType="end"/>
            </w:r>
          </w:hyperlink>
        </w:p>
        <w:p w14:paraId="4C1B97F8" w14:textId="2A57795A" w:rsidR="00AA3D23" w:rsidRDefault="00AA3D23">
          <w:pPr>
            <w:pStyle w:val="Verzeichnis1"/>
            <w:tabs>
              <w:tab w:val="right" w:leader="dot" w:pos="9062"/>
            </w:tabs>
            <w:rPr>
              <w:rFonts w:eastAsiaTheme="minorEastAsia"/>
              <w:b w:val="0"/>
              <w:bCs w:val="0"/>
              <w:caps w:val="0"/>
              <w:noProof/>
              <w:sz w:val="24"/>
              <w:szCs w:val="24"/>
              <w:u w:val="none"/>
              <w:lang w:eastAsia="de-DE"/>
            </w:rPr>
          </w:pPr>
          <w:hyperlink w:anchor="_Toc237288075" w:history="1">
            <w:r w:rsidRPr="00503E07">
              <w:rPr>
                <w:rStyle w:val="Hyperlink"/>
                <w:noProof/>
                <w:lang w:val="en-US"/>
              </w:rPr>
              <w:t>Value proposition for paying customers: Why providers and institutions should invest in „VoiceUP"</w:t>
            </w:r>
            <w:r>
              <w:rPr>
                <w:noProof/>
                <w:webHidden/>
              </w:rPr>
              <w:tab/>
            </w:r>
            <w:r>
              <w:rPr>
                <w:noProof/>
                <w:webHidden/>
              </w:rPr>
              <w:fldChar w:fldCharType="begin"/>
            </w:r>
            <w:r>
              <w:rPr>
                <w:noProof/>
                <w:webHidden/>
              </w:rPr>
              <w:instrText xml:space="preserve"> PAGEREF _Toc237288075 \h </w:instrText>
            </w:r>
            <w:r>
              <w:rPr>
                <w:noProof/>
                <w:webHidden/>
              </w:rPr>
            </w:r>
            <w:r>
              <w:rPr>
                <w:noProof/>
                <w:webHidden/>
              </w:rPr>
              <w:fldChar w:fldCharType="separate"/>
            </w:r>
            <w:r>
              <w:rPr>
                <w:noProof/>
                <w:webHidden/>
              </w:rPr>
              <w:t>12</w:t>
            </w:r>
            <w:r>
              <w:rPr>
                <w:noProof/>
                <w:webHidden/>
              </w:rPr>
              <w:fldChar w:fldCharType="end"/>
            </w:r>
          </w:hyperlink>
        </w:p>
        <w:p w14:paraId="59A1E5D3" w14:textId="72BF4360"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76" w:history="1">
            <w:r w:rsidRPr="00503E07">
              <w:rPr>
                <w:rStyle w:val="Hyperlink"/>
                <w:noProof/>
                <w:lang w:val="en-US"/>
              </w:rPr>
              <w:t>Legal security and compliance as the core argument</w:t>
            </w:r>
            <w:r>
              <w:rPr>
                <w:noProof/>
                <w:webHidden/>
              </w:rPr>
              <w:tab/>
            </w:r>
            <w:r>
              <w:rPr>
                <w:noProof/>
                <w:webHidden/>
              </w:rPr>
              <w:fldChar w:fldCharType="begin"/>
            </w:r>
            <w:r>
              <w:rPr>
                <w:noProof/>
                <w:webHidden/>
              </w:rPr>
              <w:instrText xml:space="preserve"> PAGEREF _Toc237288076 \h </w:instrText>
            </w:r>
            <w:r>
              <w:rPr>
                <w:noProof/>
                <w:webHidden/>
              </w:rPr>
            </w:r>
            <w:r>
              <w:rPr>
                <w:noProof/>
                <w:webHidden/>
              </w:rPr>
              <w:fldChar w:fldCharType="separate"/>
            </w:r>
            <w:r>
              <w:rPr>
                <w:noProof/>
                <w:webHidden/>
              </w:rPr>
              <w:t>12</w:t>
            </w:r>
            <w:r>
              <w:rPr>
                <w:noProof/>
                <w:webHidden/>
              </w:rPr>
              <w:fldChar w:fldCharType="end"/>
            </w:r>
          </w:hyperlink>
        </w:p>
        <w:p w14:paraId="32FABC99" w14:textId="4C57BA08"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77" w:history="1">
            <w:r w:rsidRPr="00503E07">
              <w:rPr>
                <w:rStyle w:val="Hyperlink"/>
                <w:noProof/>
                <w:lang w:val="en-US"/>
              </w:rPr>
              <w:t>Risk reduction and reputational protection</w:t>
            </w:r>
            <w:r>
              <w:rPr>
                <w:noProof/>
                <w:webHidden/>
              </w:rPr>
              <w:tab/>
            </w:r>
            <w:r>
              <w:rPr>
                <w:noProof/>
                <w:webHidden/>
              </w:rPr>
              <w:fldChar w:fldCharType="begin"/>
            </w:r>
            <w:r>
              <w:rPr>
                <w:noProof/>
                <w:webHidden/>
              </w:rPr>
              <w:instrText xml:space="preserve"> PAGEREF _Toc237288077 \h </w:instrText>
            </w:r>
            <w:r>
              <w:rPr>
                <w:noProof/>
                <w:webHidden/>
              </w:rPr>
            </w:r>
            <w:r>
              <w:rPr>
                <w:noProof/>
                <w:webHidden/>
              </w:rPr>
              <w:fldChar w:fldCharType="separate"/>
            </w:r>
            <w:r>
              <w:rPr>
                <w:noProof/>
                <w:webHidden/>
              </w:rPr>
              <w:t>13</w:t>
            </w:r>
            <w:r>
              <w:rPr>
                <w:noProof/>
                <w:webHidden/>
              </w:rPr>
              <w:fldChar w:fldCharType="end"/>
            </w:r>
          </w:hyperlink>
        </w:p>
        <w:p w14:paraId="58221777" w14:textId="01EB23CB"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78" w:history="1">
            <w:r w:rsidRPr="00503E07">
              <w:rPr>
                <w:rStyle w:val="Hyperlink"/>
                <w:noProof/>
                <w:lang w:val="en-US"/>
              </w:rPr>
              <w:t>Operational relief rather than additional bureaucracy</w:t>
            </w:r>
            <w:r>
              <w:rPr>
                <w:noProof/>
                <w:webHidden/>
              </w:rPr>
              <w:tab/>
            </w:r>
            <w:r>
              <w:rPr>
                <w:noProof/>
                <w:webHidden/>
              </w:rPr>
              <w:fldChar w:fldCharType="begin"/>
            </w:r>
            <w:r>
              <w:rPr>
                <w:noProof/>
                <w:webHidden/>
              </w:rPr>
              <w:instrText xml:space="preserve"> PAGEREF _Toc237288078 \h </w:instrText>
            </w:r>
            <w:r>
              <w:rPr>
                <w:noProof/>
                <w:webHidden/>
              </w:rPr>
            </w:r>
            <w:r>
              <w:rPr>
                <w:noProof/>
                <w:webHidden/>
              </w:rPr>
              <w:fldChar w:fldCharType="separate"/>
            </w:r>
            <w:r>
              <w:rPr>
                <w:noProof/>
                <w:webHidden/>
              </w:rPr>
              <w:t>13</w:t>
            </w:r>
            <w:r>
              <w:rPr>
                <w:noProof/>
                <w:webHidden/>
              </w:rPr>
              <w:fldChar w:fldCharType="end"/>
            </w:r>
          </w:hyperlink>
        </w:p>
        <w:p w14:paraId="2EEB20ED" w14:textId="17B53B8C"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79" w:history="1">
            <w:r w:rsidRPr="00503E07">
              <w:rPr>
                <w:rStyle w:val="Hyperlink"/>
                <w:noProof/>
                <w:lang w:val="en-US"/>
              </w:rPr>
              <w:t>Data-driven quality development as strategic added value</w:t>
            </w:r>
            <w:r>
              <w:rPr>
                <w:noProof/>
                <w:webHidden/>
              </w:rPr>
              <w:tab/>
            </w:r>
            <w:r>
              <w:rPr>
                <w:noProof/>
                <w:webHidden/>
              </w:rPr>
              <w:fldChar w:fldCharType="begin"/>
            </w:r>
            <w:r>
              <w:rPr>
                <w:noProof/>
                <w:webHidden/>
              </w:rPr>
              <w:instrText xml:space="preserve"> PAGEREF _Toc237288079 \h </w:instrText>
            </w:r>
            <w:r>
              <w:rPr>
                <w:noProof/>
                <w:webHidden/>
              </w:rPr>
            </w:r>
            <w:r>
              <w:rPr>
                <w:noProof/>
                <w:webHidden/>
              </w:rPr>
              <w:fldChar w:fldCharType="separate"/>
            </w:r>
            <w:r>
              <w:rPr>
                <w:noProof/>
                <w:webHidden/>
              </w:rPr>
              <w:t>13</w:t>
            </w:r>
            <w:r>
              <w:rPr>
                <w:noProof/>
                <w:webHidden/>
              </w:rPr>
              <w:fldChar w:fldCharType="end"/>
            </w:r>
          </w:hyperlink>
        </w:p>
        <w:p w14:paraId="0D5ADEC5" w14:textId="6834992F"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80" w:history="1">
            <w:r w:rsidRPr="00503E07">
              <w:rPr>
                <w:rStyle w:val="Hyperlink"/>
                <w:noProof/>
                <w:lang w:val="en-US"/>
              </w:rPr>
              <w:t>Differentiation from the status quo</w:t>
            </w:r>
            <w:r>
              <w:rPr>
                <w:noProof/>
                <w:webHidden/>
              </w:rPr>
              <w:tab/>
            </w:r>
            <w:r>
              <w:rPr>
                <w:noProof/>
                <w:webHidden/>
              </w:rPr>
              <w:fldChar w:fldCharType="begin"/>
            </w:r>
            <w:r>
              <w:rPr>
                <w:noProof/>
                <w:webHidden/>
              </w:rPr>
              <w:instrText xml:space="preserve"> PAGEREF _Toc237288080 \h </w:instrText>
            </w:r>
            <w:r>
              <w:rPr>
                <w:noProof/>
                <w:webHidden/>
              </w:rPr>
            </w:r>
            <w:r>
              <w:rPr>
                <w:noProof/>
                <w:webHidden/>
              </w:rPr>
              <w:fldChar w:fldCharType="separate"/>
            </w:r>
            <w:r>
              <w:rPr>
                <w:noProof/>
                <w:webHidden/>
              </w:rPr>
              <w:t>14</w:t>
            </w:r>
            <w:r>
              <w:rPr>
                <w:noProof/>
                <w:webHidden/>
              </w:rPr>
              <w:fldChar w:fldCharType="end"/>
            </w:r>
          </w:hyperlink>
        </w:p>
        <w:p w14:paraId="7220E7A8" w14:textId="3545F7DE"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81" w:history="1">
            <w:r w:rsidRPr="00503E07">
              <w:rPr>
                <w:rStyle w:val="Hyperlink"/>
                <w:noProof/>
                <w:lang w:val="en-US"/>
              </w:rPr>
              <w:t>Value conclusion</w:t>
            </w:r>
            <w:r>
              <w:rPr>
                <w:noProof/>
                <w:webHidden/>
              </w:rPr>
              <w:tab/>
            </w:r>
            <w:r>
              <w:rPr>
                <w:noProof/>
                <w:webHidden/>
              </w:rPr>
              <w:fldChar w:fldCharType="begin"/>
            </w:r>
            <w:r>
              <w:rPr>
                <w:noProof/>
                <w:webHidden/>
              </w:rPr>
              <w:instrText xml:space="preserve"> PAGEREF _Toc237288081 \h </w:instrText>
            </w:r>
            <w:r>
              <w:rPr>
                <w:noProof/>
                <w:webHidden/>
              </w:rPr>
            </w:r>
            <w:r>
              <w:rPr>
                <w:noProof/>
                <w:webHidden/>
              </w:rPr>
              <w:fldChar w:fldCharType="separate"/>
            </w:r>
            <w:r>
              <w:rPr>
                <w:noProof/>
                <w:webHidden/>
              </w:rPr>
              <w:t>14</w:t>
            </w:r>
            <w:r>
              <w:rPr>
                <w:noProof/>
                <w:webHidden/>
              </w:rPr>
              <w:fldChar w:fldCharType="end"/>
            </w:r>
          </w:hyperlink>
        </w:p>
        <w:p w14:paraId="73640BCB" w14:textId="151A7F0E" w:rsidR="00AA3D23" w:rsidRDefault="00AA3D23">
          <w:pPr>
            <w:pStyle w:val="Verzeichnis1"/>
            <w:tabs>
              <w:tab w:val="right" w:leader="dot" w:pos="9062"/>
            </w:tabs>
            <w:rPr>
              <w:rFonts w:eastAsiaTheme="minorEastAsia"/>
              <w:b w:val="0"/>
              <w:bCs w:val="0"/>
              <w:caps w:val="0"/>
              <w:noProof/>
              <w:sz w:val="24"/>
              <w:szCs w:val="24"/>
              <w:u w:val="none"/>
              <w:lang w:eastAsia="de-DE"/>
            </w:rPr>
          </w:pPr>
          <w:hyperlink w:anchor="_Toc237288082" w:history="1">
            <w:r w:rsidRPr="00503E07">
              <w:rPr>
                <w:rStyle w:val="Hyperlink"/>
                <w:noProof/>
                <w:lang w:val="en-US"/>
              </w:rPr>
              <w:t>Key activities and key resources: Turning the value proposition into practice</w:t>
            </w:r>
            <w:r>
              <w:rPr>
                <w:noProof/>
                <w:webHidden/>
              </w:rPr>
              <w:tab/>
            </w:r>
            <w:r>
              <w:rPr>
                <w:noProof/>
                <w:webHidden/>
              </w:rPr>
              <w:fldChar w:fldCharType="begin"/>
            </w:r>
            <w:r>
              <w:rPr>
                <w:noProof/>
                <w:webHidden/>
              </w:rPr>
              <w:instrText xml:space="preserve"> PAGEREF _Toc237288082 \h </w:instrText>
            </w:r>
            <w:r>
              <w:rPr>
                <w:noProof/>
                <w:webHidden/>
              </w:rPr>
            </w:r>
            <w:r>
              <w:rPr>
                <w:noProof/>
                <w:webHidden/>
              </w:rPr>
              <w:fldChar w:fldCharType="separate"/>
            </w:r>
            <w:r>
              <w:rPr>
                <w:noProof/>
                <w:webHidden/>
              </w:rPr>
              <w:t>14</w:t>
            </w:r>
            <w:r>
              <w:rPr>
                <w:noProof/>
                <w:webHidden/>
              </w:rPr>
              <w:fldChar w:fldCharType="end"/>
            </w:r>
          </w:hyperlink>
        </w:p>
        <w:p w14:paraId="60255D03" w14:textId="04A5F5A0"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83" w:history="1">
            <w:r w:rsidRPr="00503E07">
              <w:rPr>
                <w:rStyle w:val="Hyperlink"/>
                <w:noProof/>
                <w:lang w:val="en-US"/>
              </w:rPr>
              <w:t>Software and trained staff</w:t>
            </w:r>
            <w:r>
              <w:rPr>
                <w:noProof/>
                <w:webHidden/>
              </w:rPr>
              <w:tab/>
            </w:r>
            <w:r>
              <w:rPr>
                <w:noProof/>
                <w:webHidden/>
              </w:rPr>
              <w:fldChar w:fldCharType="begin"/>
            </w:r>
            <w:r>
              <w:rPr>
                <w:noProof/>
                <w:webHidden/>
              </w:rPr>
              <w:instrText xml:space="preserve"> PAGEREF _Toc237288083 \h </w:instrText>
            </w:r>
            <w:r>
              <w:rPr>
                <w:noProof/>
                <w:webHidden/>
              </w:rPr>
            </w:r>
            <w:r>
              <w:rPr>
                <w:noProof/>
                <w:webHidden/>
              </w:rPr>
              <w:fldChar w:fldCharType="separate"/>
            </w:r>
            <w:r>
              <w:rPr>
                <w:noProof/>
                <w:webHidden/>
              </w:rPr>
              <w:t>15</w:t>
            </w:r>
            <w:r>
              <w:rPr>
                <w:noProof/>
                <w:webHidden/>
              </w:rPr>
              <w:fldChar w:fldCharType="end"/>
            </w:r>
          </w:hyperlink>
        </w:p>
        <w:p w14:paraId="146E1615" w14:textId="61728EAF"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84" w:history="1">
            <w:r w:rsidRPr="00503E07">
              <w:rPr>
                <w:rStyle w:val="Hyperlink"/>
                <w:noProof/>
                <w:lang w:val="en-US"/>
              </w:rPr>
              <w:t>Co-design with profiteer</w:t>
            </w:r>
            <w:r>
              <w:rPr>
                <w:noProof/>
                <w:webHidden/>
              </w:rPr>
              <w:tab/>
            </w:r>
            <w:r>
              <w:rPr>
                <w:noProof/>
                <w:webHidden/>
              </w:rPr>
              <w:fldChar w:fldCharType="begin"/>
            </w:r>
            <w:r>
              <w:rPr>
                <w:noProof/>
                <w:webHidden/>
              </w:rPr>
              <w:instrText xml:space="preserve"> PAGEREF _Toc237288084 \h </w:instrText>
            </w:r>
            <w:r>
              <w:rPr>
                <w:noProof/>
                <w:webHidden/>
              </w:rPr>
            </w:r>
            <w:r>
              <w:rPr>
                <w:noProof/>
                <w:webHidden/>
              </w:rPr>
              <w:fldChar w:fldCharType="separate"/>
            </w:r>
            <w:r>
              <w:rPr>
                <w:noProof/>
                <w:webHidden/>
              </w:rPr>
              <w:t>15</w:t>
            </w:r>
            <w:r>
              <w:rPr>
                <w:noProof/>
                <w:webHidden/>
              </w:rPr>
              <w:fldChar w:fldCharType="end"/>
            </w:r>
          </w:hyperlink>
        </w:p>
        <w:p w14:paraId="5E51DCDF" w14:textId="4E5248E2"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85" w:history="1">
            <w:r w:rsidRPr="00503E07">
              <w:rPr>
                <w:rStyle w:val="Hyperlink"/>
                <w:noProof/>
                <w:lang w:val="en-US"/>
              </w:rPr>
              <w:t>Ombuds office</w:t>
            </w:r>
            <w:r>
              <w:rPr>
                <w:noProof/>
                <w:webHidden/>
              </w:rPr>
              <w:tab/>
            </w:r>
            <w:r>
              <w:rPr>
                <w:noProof/>
                <w:webHidden/>
              </w:rPr>
              <w:fldChar w:fldCharType="begin"/>
            </w:r>
            <w:r>
              <w:rPr>
                <w:noProof/>
                <w:webHidden/>
              </w:rPr>
              <w:instrText xml:space="preserve"> PAGEREF _Toc237288085 \h </w:instrText>
            </w:r>
            <w:r>
              <w:rPr>
                <w:noProof/>
                <w:webHidden/>
              </w:rPr>
            </w:r>
            <w:r>
              <w:rPr>
                <w:noProof/>
                <w:webHidden/>
              </w:rPr>
              <w:fldChar w:fldCharType="separate"/>
            </w:r>
            <w:r>
              <w:rPr>
                <w:noProof/>
                <w:webHidden/>
              </w:rPr>
              <w:t>15</w:t>
            </w:r>
            <w:r>
              <w:rPr>
                <w:noProof/>
                <w:webHidden/>
              </w:rPr>
              <w:fldChar w:fldCharType="end"/>
            </w:r>
          </w:hyperlink>
        </w:p>
        <w:p w14:paraId="05934E87" w14:textId="62B0EB38"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86" w:history="1">
            <w:r w:rsidRPr="00503E07">
              <w:rPr>
                <w:rStyle w:val="Hyperlink"/>
                <w:noProof/>
                <w:lang w:val="en-US"/>
              </w:rPr>
              <w:t>Create synergies</w:t>
            </w:r>
            <w:r>
              <w:rPr>
                <w:noProof/>
                <w:webHidden/>
              </w:rPr>
              <w:tab/>
            </w:r>
            <w:r>
              <w:rPr>
                <w:noProof/>
                <w:webHidden/>
              </w:rPr>
              <w:fldChar w:fldCharType="begin"/>
            </w:r>
            <w:r>
              <w:rPr>
                <w:noProof/>
                <w:webHidden/>
              </w:rPr>
              <w:instrText xml:space="preserve"> PAGEREF _Toc237288086 \h </w:instrText>
            </w:r>
            <w:r>
              <w:rPr>
                <w:noProof/>
                <w:webHidden/>
              </w:rPr>
            </w:r>
            <w:r>
              <w:rPr>
                <w:noProof/>
                <w:webHidden/>
              </w:rPr>
              <w:fldChar w:fldCharType="separate"/>
            </w:r>
            <w:r>
              <w:rPr>
                <w:noProof/>
                <w:webHidden/>
              </w:rPr>
              <w:t>16</w:t>
            </w:r>
            <w:r>
              <w:rPr>
                <w:noProof/>
                <w:webHidden/>
              </w:rPr>
              <w:fldChar w:fldCharType="end"/>
            </w:r>
          </w:hyperlink>
        </w:p>
        <w:p w14:paraId="7F3839A7" w14:textId="0D2C8EC9" w:rsidR="00AA3D23" w:rsidRDefault="00AA3D23">
          <w:pPr>
            <w:pStyle w:val="Verzeichnis1"/>
            <w:tabs>
              <w:tab w:val="right" w:leader="dot" w:pos="9062"/>
            </w:tabs>
            <w:rPr>
              <w:rFonts w:eastAsiaTheme="minorEastAsia"/>
              <w:b w:val="0"/>
              <w:bCs w:val="0"/>
              <w:caps w:val="0"/>
              <w:noProof/>
              <w:sz w:val="24"/>
              <w:szCs w:val="24"/>
              <w:u w:val="none"/>
              <w:lang w:eastAsia="de-DE"/>
            </w:rPr>
          </w:pPr>
          <w:hyperlink w:anchor="_Toc237288087" w:history="1">
            <w:r w:rsidRPr="00503E07">
              <w:rPr>
                <w:rStyle w:val="Hyperlink"/>
                <w:noProof/>
                <w:lang w:val="en-US"/>
              </w:rPr>
              <w:t>Channels, cost structure, and revenue streams: completing the commercial model</w:t>
            </w:r>
            <w:r>
              <w:rPr>
                <w:noProof/>
                <w:webHidden/>
              </w:rPr>
              <w:tab/>
            </w:r>
            <w:r>
              <w:rPr>
                <w:noProof/>
                <w:webHidden/>
              </w:rPr>
              <w:fldChar w:fldCharType="begin"/>
            </w:r>
            <w:r>
              <w:rPr>
                <w:noProof/>
                <w:webHidden/>
              </w:rPr>
              <w:instrText xml:space="preserve"> PAGEREF _Toc237288087 \h </w:instrText>
            </w:r>
            <w:r>
              <w:rPr>
                <w:noProof/>
                <w:webHidden/>
              </w:rPr>
            </w:r>
            <w:r>
              <w:rPr>
                <w:noProof/>
                <w:webHidden/>
              </w:rPr>
              <w:fldChar w:fldCharType="separate"/>
            </w:r>
            <w:r>
              <w:rPr>
                <w:noProof/>
                <w:webHidden/>
              </w:rPr>
              <w:t>17</w:t>
            </w:r>
            <w:r>
              <w:rPr>
                <w:noProof/>
                <w:webHidden/>
              </w:rPr>
              <w:fldChar w:fldCharType="end"/>
            </w:r>
          </w:hyperlink>
        </w:p>
        <w:p w14:paraId="2B08A6BE" w14:textId="05972BB3"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88" w:history="1">
            <w:r w:rsidRPr="00503E07">
              <w:rPr>
                <w:rStyle w:val="Hyperlink"/>
                <w:noProof/>
              </w:rPr>
              <w:t>Channels: Reaching the paying customer</w:t>
            </w:r>
            <w:r>
              <w:rPr>
                <w:noProof/>
                <w:webHidden/>
              </w:rPr>
              <w:tab/>
            </w:r>
            <w:r>
              <w:rPr>
                <w:noProof/>
                <w:webHidden/>
              </w:rPr>
              <w:fldChar w:fldCharType="begin"/>
            </w:r>
            <w:r>
              <w:rPr>
                <w:noProof/>
                <w:webHidden/>
              </w:rPr>
              <w:instrText xml:space="preserve"> PAGEREF _Toc237288088 \h </w:instrText>
            </w:r>
            <w:r>
              <w:rPr>
                <w:noProof/>
                <w:webHidden/>
              </w:rPr>
            </w:r>
            <w:r>
              <w:rPr>
                <w:noProof/>
                <w:webHidden/>
              </w:rPr>
              <w:fldChar w:fldCharType="separate"/>
            </w:r>
            <w:r>
              <w:rPr>
                <w:noProof/>
                <w:webHidden/>
              </w:rPr>
              <w:t>17</w:t>
            </w:r>
            <w:r>
              <w:rPr>
                <w:noProof/>
                <w:webHidden/>
              </w:rPr>
              <w:fldChar w:fldCharType="end"/>
            </w:r>
          </w:hyperlink>
        </w:p>
        <w:p w14:paraId="05F1903B" w14:textId="679F1C41"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89" w:history="1">
            <w:r w:rsidRPr="00503E07">
              <w:rPr>
                <w:rStyle w:val="Hyperlink"/>
                <w:noProof/>
                <w:lang w:val="en-US"/>
              </w:rPr>
              <w:t>Cost structure: The price of genuine participation</w:t>
            </w:r>
            <w:r>
              <w:rPr>
                <w:noProof/>
                <w:webHidden/>
              </w:rPr>
              <w:tab/>
            </w:r>
            <w:r>
              <w:rPr>
                <w:noProof/>
                <w:webHidden/>
              </w:rPr>
              <w:fldChar w:fldCharType="begin"/>
            </w:r>
            <w:r>
              <w:rPr>
                <w:noProof/>
                <w:webHidden/>
              </w:rPr>
              <w:instrText xml:space="preserve"> PAGEREF _Toc237288089 \h </w:instrText>
            </w:r>
            <w:r>
              <w:rPr>
                <w:noProof/>
                <w:webHidden/>
              </w:rPr>
            </w:r>
            <w:r>
              <w:rPr>
                <w:noProof/>
                <w:webHidden/>
              </w:rPr>
              <w:fldChar w:fldCharType="separate"/>
            </w:r>
            <w:r>
              <w:rPr>
                <w:noProof/>
                <w:webHidden/>
              </w:rPr>
              <w:t>17</w:t>
            </w:r>
            <w:r>
              <w:rPr>
                <w:noProof/>
                <w:webHidden/>
              </w:rPr>
              <w:fldChar w:fldCharType="end"/>
            </w:r>
          </w:hyperlink>
        </w:p>
        <w:p w14:paraId="1F36ECAB" w14:textId="062925D7"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90" w:history="1">
            <w:r w:rsidRPr="00503E07">
              <w:rPr>
                <w:rStyle w:val="Hyperlink"/>
                <w:noProof/>
                <w:lang w:val="en-US"/>
              </w:rPr>
              <w:t>Revenue streams: Aligning revenue with value</w:t>
            </w:r>
            <w:r>
              <w:rPr>
                <w:noProof/>
                <w:webHidden/>
              </w:rPr>
              <w:tab/>
            </w:r>
            <w:r>
              <w:rPr>
                <w:noProof/>
                <w:webHidden/>
              </w:rPr>
              <w:fldChar w:fldCharType="begin"/>
            </w:r>
            <w:r>
              <w:rPr>
                <w:noProof/>
                <w:webHidden/>
              </w:rPr>
              <w:instrText xml:space="preserve"> PAGEREF _Toc237288090 \h </w:instrText>
            </w:r>
            <w:r>
              <w:rPr>
                <w:noProof/>
                <w:webHidden/>
              </w:rPr>
            </w:r>
            <w:r>
              <w:rPr>
                <w:noProof/>
                <w:webHidden/>
              </w:rPr>
              <w:fldChar w:fldCharType="separate"/>
            </w:r>
            <w:r>
              <w:rPr>
                <w:noProof/>
                <w:webHidden/>
              </w:rPr>
              <w:t>18</w:t>
            </w:r>
            <w:r>
              <w:rPr>
                <w:noProof/>
                <w:webHidden/>
              </w:rPr>
              <w:fldChar w:fldCharType="end"/>
            </w:r>
          </w:hyperlink>
        </w:p>
        <w:p w14:paraId="19222FAB" w14:textId="74CACAC2" w:rsidR="00AA3D23" w:rsidRDefault="00AA3D23">
          <w:pPr>
            <w:pStyle w:val="Verzeichnis2"/>
            <w:tabs>
              <w:tab w:val="right" w:leader="dot" w:pos="9062"/>
            </w:tabs>
            <w:rPr>
              <w:rFonts w:eastAsiaTheme="minorEastAsia"/>
              <w:b w:val="0"/>
              <w:bCs w:val="0"/>
              <w:smallCaps w:val="0"/>
              <w:noProof/>
              <w:sz w:val="24"/>
              <w:szCs w:val="24"/>
              <w:lang w:eastAsia="de-DE"/>
            </w:rPr>
          </w:pPr>
          <w:hyperlink w:anchor="_Toc237288091" w:history="1">
            <w:r w:rsidRPr="00503E07">
              <w:rPr>
                <w:rStyle w:val="Hyperlink"/>
                <w:noProof/>
                <w:lang w:val="en-US"/>
              </w:rPr>
              <w:t>Commercial conclusion</w:t>
            </w:r>
            <w:r>
              <w:rPr>
                <w:noProof/>
                <w:webHidden/>
              </w:rPr>
              <w:tab/>
            </w:r>
            <w:r>
              <w:rPr>
                <w:noProof/>
                <w:webHidden/>
              </w:rPr>
              <w:fldChar w:fldCharType="begin"/>
            </w:r>
            <w:r>
              <w:rPr>
                <w:noProof/>
                <w:webHidden/>
              </w:rPr>
              <w:instrText xml:space="preserve"> PAGEREF _Toc237288091 \h </w:instrText>
            </w:r>
            <w:r>
              <w:rPr>
                <w:noProof/>
                <w:webHidden/>
              </w:rPr>
            </w:r>
            <w:r>
              <w:rPr>
                <w:noProof/>
                <w:webHidden/>
              </w:rPr>
              <w:fldChar w:fldCharType="separate"/>
            </w:r>
            <w:r>
              <w:rPr>
                <w:noProof/>
                <w:webHidden/>
              </w:rPr>
              <w:t>18</w:t>
            </w:r>
            <w:r>
              <w:rPr>
                <w:noProof/>
                <w:webHidden/>
              </w:rPr>
              <w:fldChar w:fldCharType="end"/>
            </w:r>
          </w:hyperlink>
        </w:p>
        <w:p w14:paraId="3CFC9825" w14:textId="4F8B7AE7" w:rsidR="006646A7" w:rsidRDefault="006646A7">
          <w:r>
            <w:rPr>
              <w:b/>
              <w:bCs/>
              <w:noProof/>
            </w:rPr>
            <w:fldChar w:fldCharType="end"/>
          </w:r>
        </w:p>
      </w:sdtContent>
    </w:sdt>
    <w:p w14:paraId="4B25DA2D" w14:textId="062FC120" w:rsidR="00091494" w:rsidRDefault="00091494"/>
    <w:p w14:paraId="60432498" w14:textId="24D6451B" w:rsidR="00970EBB" w:rsidRDefault="00970EBB">
      <w:pPr>
        <w:pStyle w:val="Abbildungsverzeichnis"/>
        <w:tabs>
          <w:tab w:val="right" w:leader="dot" w:pos="9062"/>
        </w:tabs>
        <w:rPr>
          <w:noProof/>
        </w:rPr>
      </w:pPr>
      <w:r>
        <w:fldChar w:fldCharType="begin"/>
      </w:r>
      <w:r>
        <w:instrText xml:space="preserve"> TOC \h \z \c "Figure" </w:instrText>
      </w:r>
      <w:r>
        <w:fldChar w:fldCharType="separate"/>
      </w:r>
      <w:hyperlink w:anchor="_Toc237084255" w:history="1">
        <w:r w:rsidRPr="004F1840">
          <w:rPr>
            <w:rStyle w:val="Hyperlink"/>
            <w:noProof/>
          </w:rPr>
          <w:t>Figure 1Sta</w:t>
        </w:r>
        <w:r w:rsidRPr="004F1840">
          <w:rPr>
            <w:rStyle w:val="Hyperlink"/>
            <w:noProof/>
          </w:rPr>
          <w:t>k</w:t>
        </w:r>
        <w:r w:rsidRPr="004F1840">
          <w:rPr>
            <w:rStyle w:val="Hyperlink"/>
            <w:noProof/>
          </w:rPr>
          <w:t>eholder diagram</w:t>
        </w:r>
        <w:r>
          <w:rPr>
            <w:noProof/>
            <w:webHidden/>
          </w:rPr>
          <w:tab/>
        </w:r>
        <w:r>
          <w:rPr>
            <w:noProof/>
            <w:webHidden/>
          </w:rPr>
          <w:fldChar w:fldCharType="begin"/>
        </w:r>
        <w:r>
          <w:rPr>
            <w:noProof/>
            <w:webHidden/>
          </w:rPr>
          <w:instrText xml:space="preserve"> PAGEREF _Toc237084255 \h </w:instrText>
        </w:r>
        <w:r>
          <w:rPr>
            <w:noProof/>
            <w:webHidden/>
          </w:rPr>
        </w:r>
        <w:r>
          <w:rPr>
            <w:noProof/>
            <w:webHidden/>
          </w:rPr>
          <w:fldChar w:fldCharType="separate"/>
        </w:r>
        <w:r>
          <w:rPr>
            <w:noProof/>
            <w:webHidden/>
          </w:rPr>
          <w:t>7</w:t>
        </w:r>
        <w:r>
          <w:rPr>
            <w:noProof/>
            <w:webHidden/>
          </w:rPr>
          <w:fldChar w:fldCharType="end"/>
        </w:r>
      </w:hyperlink>
    </w:p>
    <w:p w14:paraId="4C79ECD2" w14:textId="0ADFB702" w:rsidR="006646A7" w:rsidRDefault="00970EBB">
      <w:r>
        <w:fldChar w:fldCharType="end"/>
      </w:r>
    </w:p>
    <w:p w14:paraId="778CE531" w14:textId="77777777" w:rsidR="006646A7" w:rsidRDefault="006646A7">
      <w:r>
        <w:br w:type="page"/>
      </w:r>
    </w:p>
    <w:p w14:paraId="74E8A862" w14:textId="74051E82" w:rsidR="006646A7" w:rsidRPr="00F34F38" w:rsidRDefault="00984394" w:rsidP="006D3F77">
      <w:pPr>
        <w:pStyle w:val="berschrift1"/>
        <w:rPr>
          <w:lang w:val="en-US"/>
        </w:rPr>
      </w:pPr>
      <w:bookmarkStart w:id="0" w:name="_Toc237288063"/>
      <w:r>
        <w:rPr>
          <w:rStyle w:val="Fett"/>
          <w:b w:val="0"/>
          <w:bCs w:val="0"/>
          <w:lang w:val="en-US"/>
        </w:rPr>
        <w:lastRenderedPageBreak/>
        <w:t>Co-determination and participation</w:t>
      </w:r>
      <w:bookmarkEnd w:id="0"/>
    </w:p>
    <w:p w14:paraId="0451B0DA" w14:textId="3A3B1C5F" w:rsidR="00A608C2" w:rsidRPr="00C92357" w:rsidRDefault="00A608C2" w:rsidP="00C92357">
      <w:pPr>
        <w:pStyle w:val="StandardWeb"/>
        <w:spacing w:line="360" w:lineRule="auto"/>
        <w:rPr>
          <w:rFonts w:ascii="Helvetica" w:hAnsi="Helvetica"/>
          <w:color w:val="000000" w:themeColor="text1"/>
          <w:sz w:val="22"/>
          <w:szCs w:val="22"/>
          <w:lang w:val="en-US"/>
        </w:rPr>
      </w:pPr>
      <w:r w:rsidRPr="00A608C2">
        <w:rPr>
          <w:rFonts w:ascii="Helvetica" w:hAnsi="Helvetica"/>
          <w:color w:val="000000" w:themeColor="text1"/>
          <w:sz w:val="22"/>
          <w:szCs w:val="22"/>
          <w:lang w:val="en-US"/>
        </w:rPr>
        <w:t>The participation of children and young people in youth welfare institutions is a fundamental pillar for realizing their rights and fostering self-responsibility. Yet, despite theoretical recognition and legal anchoring</w:t>
      </w:r>
      <w:r w:rsidR="00C92357">
        <w:rPr>
          <w:rFonts w:ascii="Helvetica" w:hAnsi="Helvetica"/>
          <w:color w:val="000000" w:themeColor="text1"/>
          <w:sz w:val="22"/>
          <w:szCs w:val="22"/>
          <w:lang w:val="en-US"/>
        </w:rPr>
        <w:t xml:space="preserve">, </w:t>
      </w:r>
      <w:r w:rsidRPr="00A608C2">
        <w:rPr>
          <w:rFonts w:ascii="Helvetica" w:hAnsi="Helvetica"/>
          <w:color w:val="000000" w:themeColor="text1"/>
          <w:sz w:val="22"/>
          <w:szCs w:val="22"/>
          <w:lang w:val="en-US"/>
        </w:rPr>
        <w:t>such as in § 8 of the German Social Code (SGB VIII)</w:t>
      </w:r>
      <w:r w:rsidR="00C92357">
        <w:rPr>
          <w:rFonts w:ascii="Helvetica" w:hAnsi="Helvetica"/>
          <w:color w:val="000000" w:themeColor="text1"/>
          <w:sz w:val="22"/>
          <w:szCs w:val="22"/>
          <w:lang w:val="en-US"/>
        </w:rPr>
        <w:t xml:space="preserve">, </w:t>
      </w:r>
      <w:r w:rsidRPr="00A608C2">
        <w:rPr>
          <w:rFonts w:ascii="Helvetica" w:hAnsi="Helvetica"/>
          <w:color w:val="000000" w:themeColor="text1"/>
          <w:sz w:val="22"/>
          <w:szCs w:val="22"/>
          <w:lang w:val="en-US"/>
        </w:rPr>
        <w:t xml:space="preserve">traditional complaint management systems often reach their limits in practice. Complex hierarchies, limited accessibility, or a lack of anonymity hinder genuine participation for young individuals. This gap becomes particularly evident in the age of digitalization: while other areas of life are transformed by technological innovation, participation in youth welfare </w:t>
      </w:r>
      <w:r w:rsidRPr="00C92357">
        <w:rPr>
          <w:rFonts w:ascii="Helvetica" w:hAnsi="Helvetica"/>
          <w:color w:val="000000" w:themeColor="text1"/>
          <w:sz w:val="22"/>
          <w:szCs w:val="22"/>
          <w:lang w:val="en-US"/>
        </w:rPr>
        <w:t>often lags behind the possibilities.</w:t>
      </w:r>
    </w:p>
    <w:p w14:paraId="36490186" w14:textId="41E1F388" w:rsidR="00C92357" w:rsidRPr="00C92357" w:rsidRDefault="00C92357" w:rsidP="00C92357">
      <w:pPr>
        <w:pStyle w:val="StandardWeb"/>
        <w:spacing w:line="360" w:lineRule="auto"/>
        <w:rPr>
          <w:rFonts w:ascii="Helvetica" w:hAnsi="Helvetica"/>
          <w:color w:val="000000" w:themeColor="text1"/>
          <w:sz w:val="22"/>
          <w:szCs w:val="22"/>
          <w:lang w:val="en-US"/>
        </w:rPr>
      </w:pPr>
      <w:r w:rsidRPr="00C92357">
        <w:rPr>
          <w:rFonts w:ascii="Helvetica" w:hAnsi="Helvetica"/>
          <w:color w:val="000000" w:themeColor="text1"/>
          <w:sz w:val="22"/>
          <w:szCs w:val="22"/>
          <w:lang w:val="en-US"/>
        </w:rPr>
        <w:t>In Germany, institutions providing child and youth welfare services must demonstrate, as a prerequisite for obtaining an operating license, that they guarantee young people the right to co-determination, participation, and access to complaint mechanisms, as stipulated in</w:t>
      </w:r>
      <w:r w:rsidRPr="00C92357">
        <w:rPr>
          <w:rStyle w:val="apple-converted-space"/>
          <w:rFonts w:ascii="Helvetica" w:hAnsi="Helvetica"/>
          <w:color w:val="000000" w:themeColor="text1"/>
          <w:sz w:val="22"/>
          <w:szCs w:val="22"/>
          <w:lang w:val="en-US"/>
        </w:rPr>
        <w:t> </w:t>
      </w:r>
      <w:r w:rsidRPr="00C92357">
        <w:rPr>
          <w:rStyle w:val="Fett"/>
          <w:rFonts w:ascii="Helvetica" w:hAnsi="Helvetica"/>
          <w:b w:val="0"/>
          <w:bCs w:val="0"/>
          <w:color w:val="000000" w:themeColor="text1"/>
          <w:sz w:val="22"/>
          <w:szCs w:val="22"/>
          <w:lang w:val="en-US"/>
        </w:rPr>
        <w:t>§ 45 SGB VIII</w:t>
      </w:r>
      <w:r w:rsidRPr="00C92357">
        <w:rPr>
          <w:rFonts w:ascii="Helvetica" w:hAnsi="Helvetica"/>
          <w:b/>
          <w:bCs/>
          <w:color w:val="000000" w:themeColor="text1"/>
          <w:sz w:val="22"/>
          <w:szCs w:val="22"/>
          <w:lang w:val="en-US"/>
        </w:rPr>
        <w:t>.</w:t>
      </w:r>
      <w:r w:rsidRPr="00C92357">
        <w:rPr>
          <w:rFonts w:ascii="Helvetica" w:hAnsi="Helvetica"/>
          <w:color w:val="000000" w:themeColor="text1"/>
          <w:sz w:val="22"/>
          <w:szCs w:val="22"/>
          <w:lang w:val="en-US"/>
        </w:rPr>
        <w:t xml:space="preserve"> These regulations are regularly reviewed by governmental oversight bodies to ensure compliance. However, the conventional methods of complaint management often prove inefficient and fail to provide genuine security for young people. In many cases, the individuals responsible for handling complaints are the same ones against whom the complaints are directed. For example, physical suggestion boxes for handwritten complaint notes may be accessible, but they lack confidentiality and independence, as staff members, who may be the subject of the complaints, often manage the process. This structural conflict undermines trust and discourages young people from voicing their concerns openly.</w:t>
      </w:r>
    </w:p>
    <w:p w14:paraId="3B387C2E" w14:textId="7AA5660D" w:rsidR="00A608C2" w:rsidRDefault="00A608C2" w:rsidP="00C92357">
      <w:pPr>
        <w:pStyle w:val="StandardWeb"/>
        <w:spacing w:line="360" w:lineRule="auto"/>
        <w:rPr>
          <w:rFonts w:ascii="Helvetica" w:hAnsi="Helvetica"/>
          <w:color w:val="000000" w:themeColor="text1"/>
          <w:sz w:val="22"/>
          <w:szCs w:val="22"/>
          <w:lang w:val="en-US"/>
        </w:rPr>
      </w:pPr>
      <w:r w:rsidRPr="00C92357">
        <w:rPr>
          <w:rFonts w:ascii="Helvetica" w:hAnsi="Helvetica"/>
          <w:color w:val="000000" w:themeColor="text1"/>
          <w:sz w:val="22"/>
          <w:szCs w:val="22"/>
          <w:lang w:val="en-US"/>
        </w:rPr>
        <w:t>With</w:t>
      </w:r>
      <w:r w:rsidRPr="00C92357">
        <w:rPr>
          <w:rStyle w:val="apple-converted-space"/>
          <w:rFonts w:ascii="Helvetica" w:hAnsi="Helvetica"/>
          <w:color w:val="000000" w:themeColor="text1"/>
          <w:sz w:val="22"/>
          <w:szCs w:val="22"/>
          <w:lang w:val="en-US"/>
        </w:rPr>
        <w:t> „</w:t>
      </w:r>
      <w:proofErr w:type="spellStart"/>
      <w:r w:rsidRPr="00C92357">
        <w:rPr>
          <w:rStyle w:val="Fett"/>
          <w:rFonts w:ascii="Helvetica" w:hAnsi="Helvetica"/>
          <w:b w:val="0"/>
          <w:bCs w:val="0"/>
          <w:color w:val="000000" w:themeColor="text1"/>
          <w:sz w:val="22"/>
          <w:szCs w:val="22"/>
          <w:lang w:val="en-US"/>
        </w:rPr>
        <w:t>VoiceUP</w:t>
      </w:r>
      <w:proofErr w:type="spellEnd"/>
      <w:r w:rsidRPr="00C92357">
        <w:rPr>
          <w:rStyle w:val="Fett"/>
          <w:rFonts w:ascii="Helvetica" w:hAnsi="Helvetica"/>
          <w:b w:val="0"/>
          <w:bCs w:val="0"/>
          <w:color w:val="000000" w:themeColor="text1"/>
          <w:sz w:val="22"/>
          <w:szCs w:val="22"/>
          <w:lang w:val="en-US"/>
        </w:rPr>
        <w:t>”</w:t>
      </w:r>
      <w:r w:rsidRPr="00C92357">
        <w:rPr>
          <w:rFonts w:ascii="Helvetica" w:hAnsi="Helvetica"/>
          <w:color w:val="000000" w:themeColor="text1"/>
          <w:sz w:val="22"/>
          <w:szCs w:val="22"/>
          <w:lang w:val="en-US"/>
        </w:rPr>
        <w:t xml:space="preserve">, I aim to bridge this gap by leveraging the </w:t>
      </w:r>
      <w:r w:rsidRPr="00A608C2">
        <w:rPr>
          <w:rFonts w:ascii="Helvetica" w:hAnsi="Helvetica"/>
          <w:color w:val="000000" w:themeColor="text1"/>
          <w:sz w:val="22"/>
          <w:szCs w:val="22"/>
          <w:lang w:val="en-US"/>
        </w:rPr>
        <w:t>potential of digital solutions. The idea emerged from my long-standing engagement with complaint management during my bachelor’s studies, where I repeatedly encountered structural barriers.</w:t>
      </w:r>
      <w:r w:rsidRPr="00A608C2">
        <w:rPr>
          <w:rStyle w:val="apple-converted-space"/>
          <w:rFonts w:ascii="Helvetica" w:hAnsi="Helvetica"/>
          <w:color w:val="000000" w:themeColor="text1"/>
          <w:sz w:val="22"/>
          <w:szCs w:val="22"/>
          <w:lang w:val="en-US"/>
        </w:rPr>
        <w:t> </w:t>
      </w:r>
      <w:r w:rsidRPr="00A608C2">
        <w:rPr>
          <w:rStyle w:val="Fett"/>
          <w:rFonts w:ascii="Helvetica" w:hAnsi="Helvetica"/>
          <w:b w:val="0"/>
          <w:bCs w:val="0"/>
          <w:color w:val="000000" w:themeColor="text1"/>
          <w:sz w:val="22"/>
          <w:szCs w:val="22"/>
          <w:lang w:val="en-US"/>
        </w:rPr>
        <w:t xml:space="preserve">The objective of this paper is to examine the feasibility and viability of </w:t>
      </w:r>
      <w:r w:rsidR="00C92357">
        <w:rPr>
          <w:rStyle w:val="Fett"/>
          <w:rFonts w:ascii="Helvetica" w:hAnsi="Helvetica"/>
          <w:b w:val="0"/>
          <w:bCs w:val="0"/>
          <w:color w:val="000000" w:themeColor="text1"/>
          <w:sz w:val="22"/>
          <w:szCs w:val="22"/>
          <w:lang w:val="en-US"/>
        </w:rPr>
        <w:t>“</w:t>
      </w:r>
      <w:proofErr w:type="spellStart"/>
      <w:r w:rsidRPr="00A608C2">
        <w:rPr>
          <w:rStyle w:val="Fett"/>
          <w:rFonts w:ascii="Helvetica" w:hAnsi="Helvetica"/>
          <w:b w:val="0"/>
          <w:bCs w:val="0"/>
          <w:color w:val="000000" w:themeColor="text1"/>
          <w:sz w:val="22"/>
          <w:szCs w:val="22"/>
          <w:lang w:val="en-US"/>
        </w:rPr>
        <w:t>VoiceUP</w:t>
      </w:r>
      <w:proofErr w:type="spellEnd"/>
      <w:r w:rsidR="00C92357">
        <w:rPr>
          <w:rStyle w:val="Fett"/>
          <w:rFonts w:ascii="Helvetica" w:hAnsi="Helvetica"/>
          <w:b w:val="0"/>
          <w:bCs w:val="0"/>
          <w:color w:val="000000" w:themeColor="text1"/>
          <w:sz w:val="22"/>
          <w:szCs w:val="22"/>
          <w:lang w:val="en-US"/>
        </w:rPr>
        <w:t>”</w:t>
      </w:r>
      <w:r w:rsidRPr="00A608C2">
        <w:rPr>
          <w:rStyle w:val="Fett"/>
          <w:rFonts w:ascii="Helvetica" w:hAnsi="Helvetica"/>
          <w:b w:val="0"/>
          <w:bCs w:val="0"/>
          <w:color w:val="000000" w:themeColor="text1"/>
          <w:sz w:val="22"/>
          <w:szCs w:val="22"/>
          <w:lang w:val="en-US"/>
        </w:rPr>
        <w:t xml:space="preserve"> as a digital participation platform.</w:t>
      </w:r>
      <w:r w:rsidRPr="00A608C2">
        <w:rPr>
          <w:rStyle w:val="apple-converted-space"/>
          <w:rFonts w:ascii="Helvetica" w:hAnsi="Helvetica"/>
          <w:b/>
          <w:bCs/>
          <w:color w:val="000000" w:themeColor="text1"/>
          <w:sz w:val="22"/>
          <w:szCs w:val="22"/>
          <w:lang w:val="en-US"/>
        </w:rPr>
        <w:t> </w:t>
      </w:r>
      <w:r w:rsidRPr="00A608C2">
        <w:rPr>
          <w:rFonts w:ascii="Helvetica" w:hAnsi="Helvetica"/>
          <w:color w:val="000000" w:themeColor="text1"/>
          <w:sz w:val="22"/>
          <w:szCs w:val="22"/>
          <w:lang w:val="en-US"/>
        </w:rPr>
        <w:t>Using the</w:t>
      </w:r>
      <w:r w:rsidRPr="00A608C2">
        <w:rPr>
          <w:rStyle w:val="apple-converted-space"/>
          <w:rFonts w:ascii="Helvetica" w:hAnsi="Helvetica"/>
          <w:b/>
          <w:bCs/>
          <w:color w:val="000000" w:themeColor="text1"/>
          <w:sz w:val="22"/>
          <w:szCs w:val="22"/>
          <w:lang w:val="en-US"/>
        </w:rPr>
        <w:t> </w:t>
      </w:r>
      <w:r w:rsidRPr="00A608C2">
        <w:rPr>
          <w:rStyle w:val="Fett"/>
          <w:rFonts w:ascii="Helvetica" w:hAnsi="Helvetica"/>
          <w:b w:val="0"/>
          <w:bCs w:val="0"/>
          <w:color w:val="000000" w:themeColor="text1"/>
          <w:sz w:val="22"/>
          <w:szCs w:val="22"/>
          <w:lang w:val="en-US"/>
        </w:rPr>
        <w:t>Business Model Canvas</w:t>
      </w:r>
      <w:r w:rsidRPr="00A608C2">
        <w:rPr>
          <w:rFonts w:ascii="Helvetica" w:hAnsi="Helvetica"/>
          <w:color w:val="000000" w:themeColor="text1"/>
          <w:sz w:val="22"/>
          <w:szCs w:val="22"/>
          <w:lang w:val="en-US"/>
        </w:rPr>
        <w:t>, I systematically analyze various aspects of its conceptualization</w:t>
      </w:r>
      <w:r w:rsidR="00C92357">
        <w:rPr>
          <w:rFonts w:ascii="Helvetica" w:hAnsi="Helvetica"/>
          <w:color w:val="000000" w:themeColor="text1"/>
          <w:sz w:val="22"/>
          <w:szCs w:val="22"/>
          <w:lang w:val="en-US"/>
        </w:rPr>
        <w:t xml:space="preserve">, </w:t>
      </w:r>
      <w:r w:rsidRPr="00A608C2">
        <w:rPr>
          <w:rFonts w:ascii="Helvetica" w:hAnsi="Helvetica"/>
          <w:color w:val="000000" w:themeColor="text1"/>
          <w:sz w:val="22"/>
          <w:szCs w:val="22"/>
          <w:lang w:val="en-US"/>
        </w:rPr>
        <w:t>ranging from the target group and value proposition to channels, customer relationships, cost structure, and revenue streams. In doing so, I critically engage with the strengths, weaknesses, and risks of the idea to assess its practical implementation.</w:t>
      </w:r>
    </w:p>
    <w:p w14:paraId="30546D7D" w14:textId="0F67FFB1" w:rsidR="0053092C" w:rsidRPr="0053092C" w:rsidRDefault="0053092C" w:rsidP="0053092C">
      <w:pPr>
        <w:pStyle w:val="berschrift1"/>
        <w:rPr>
          <w:lang w:val="en-US"/>
        </w:rPr>
      </w:pPr>
      <w:bookmarkStart w:id="1" w:name="_Toc237288064"/>
      <w:r w:rsidRPr="0053092C">
        <w:rPr>
          <w:rStyle w:val="Fett"/>
          <w:b w:val="0"/>
          <w:bCs w:val="0"/>
          <w:lang w:val="en-US"/>
        </w:rPr>
        <w:t>What is "</w:t>
      </w:r>
      <w:proofErr w:type="spellStart"/>
      <w:r w:rsidRPr="0053092C">
        <w:rPr>
          <w:rStyle w:val="Fett"/>
          <w:b w:val="0"/>
          <w:bCs w:val="0"/>
          <w:lang w:val="en-US"/>
        </w:rPr>
        <w:t>VoiceUP</w:t>
      </w:r>
      <w:proofErr w:type="spellEnd"/>
      <w:r w:rsidRPr="0053092C">
        <w:rPr>
          <w:rStyle w:val="Fett"/>
          <w:b w:val="0"/>
          <w:bCs w:val="0"/>
          <w:lang w:val="en-US"/>
        </w:rPr>
        <w:t xml:space="preserve">"? </w:t>
      </w:r>
      <w:r w:rsidR="00852761">
        <w:rPr>
          <w:rStyle w:val="Fett"/>
          <w:b w:val="0"/>
          <w:bCs w:val="0"/>
          <w:lang w:val="en-US"/>
        </w:rPr>
        <w:t>t</w:t>
      </w:r>
      <w:r w:rsidRPr="0053092C">
        <w:rPr>
          <w:rStyle w:val="Fett"/>
          <w:b w:val="0"/>
          <w:bCs w:val="0"/>
          <w:lang w:val="en-US"/>
        </w:rPr>
        <w:t xml:space="preserve">he </w:t>
      </w:r>
      <w:r w:rsidR="00852761">
        <w:rPr>
          <w:rStyle w:val="Fett"/>
          <w:b w:val="0"/>
          <w:bCs w:val="0"/>
          <w:lang w:val="en-US"/>
        </w:rPr>
        <w:t>b</w:t>
      </w:r>
      <w:r w:rsidRPr="0053092C">
        <w:rPr>
          <w:rStyle w:val="Fett"/>
          <w:b w:val="0"/>
          <w:bCs w:val="0"/>
          <w:lang w:val="en-US"/>
        </w:rPr>
        <w:t xml:space="preserve">usiness </w:t>
      </w:r>
      <w:r w:rsidR="00852761">
        <w:rPr>
          <w:rStyle w:val="Fett"/>
          <w:b w:val="0"/>
          <w:bCs w:val="0"/>
          <w:lang w:val="en-US"/>
        </w:rPr>
        <w:t>i</w:t>
      </w:r>
      <w:r w:rsidRPr="0053092C">
        <w:rPr>
          <w:rStyle w:val="Fett"/>
          <w:b w:val="0"/>
          <w:bCs w:val="0"/>
          <w:lang w:val="en-US"/>
        </w:rPr>
        <w:t xml:space="preserve">dea and </w:t>
      </w:r>
      <w:r w:rsidR="00852761">
        <w:rPr>
          <w:rStyle w:val="Fett"/>
          <w:b w:val="0"/>
          <w:bCs w:val="0"/>
          <w:lang w:val="en-US"/>
        </w:rPr>
        <w:t>h</w:t>
      </w:r>
      <w:r w:rsidRPr="0053092C">
        <w:rPr>
          <w:rStyle w:val="Fett"/>
          <w:b w:val="0"/>
          <w:bCs w:val="0"/>
          <w:lang w:val="en-US"/>
        </w:rPr>
        <w:t xml:space="preserve">ow </w:t>
      </w:r>
      <w:r w:rsidR="00852761">
        <w:rPr>
          <w:rStyle w:val="Fett"/>
          <w:b w:val="0"/>
          <w:bCs w:val="0"/>
          <w:lang w:val="en-US"/>
        </w:rPr>
        <w:t>i</w:t>
      </w:r>
      <w:r w:rsidRPr="0053092C">
        <w:rPr>
          <w:rStyle w:val="Fett"/>
          <w:b w:val="0"/>
          <w:bCs w:val="0"/>
          <w:lang w:val="en-US"/>
        </w:rPr>
        <w:t xml:space="preserve">t </w:t>
      </w:r>
      <w:r w:rsidR="00852761">
        <w:rPr>
          <w:rStyle w:val="Fett"/>
          <w:b w:val="0"/>
          <w:bCs w:val="0"/>
          <w:lang w:val="en-US"/>
        </w:rPr>
        <w:t>w</w:t>
      </w:r>
      <w:r w:rsidRPr="0053092C">
        <w:rPr>
          <w:rStyle w:val="Fett"/>
          <w:b w:val="0"/>
          <w:bCs w:val="0"/>
          <w:lang w:val="en-US"/>
        </w:rPr>
        <w:t>orks</w:t>
      </w:r>
      <w:bookmarkEnd w:id="1"/>
    </w:p>
    <w:p w14:paraId="31F915C0" w14:textId="77777777" w:rsidR="0053092C" w:rsidRDefault="0053092C" w:rsidP="0053092C">
      <w:pPr>
        <w:pStyle w:val="StandardWeb"/>
        <w:spacing w:line="360" w:lineRule="auto"/>
        <w:rPr>
          <w:rFonts w:ascii="Helvetica" w:hAnsi="Helvetica"/>
          <w:color w:val="000000" w:themeColor="text1"/>
          <w:sz w:val="22"/>
          <w:szCs w:val="22"/>
          <w:lang w:val="en-US"/>
        </w:rPr>
      </w:pPr>
      <w:r w:rsidRPr="0053092C">
        <w:rPr>
          <w:rFonts w:ascii="Helvetica" w:hAnsi="Helvetica"/>
          <w:color w:val="000000" w:themeColor="text1"/>
          <w:sz w:val="22"/>
          <w:szCs w:val="22"/>
          <w:lang w:val="en-US"/>
        </w:rPr>
        <w:t>"</w:t>
      </w:r>
      <w:proofErr w:type="spellStart"/>
      <w:r w:rsidRPr="0053092C">
        <w:rPr>
          <w:rFonts w:ascii="Helvetica" w:hAnsi="Helvetica"/>
          <w:color w:val="000000" w:themeColor="text1"/>
          <w:sz w:val="22"/>
          <w:szCs w:val="22"/>
          <w:lang w:val="en-US"/>
        </w:rPr>
        <w:t>VoiceUP</w:t>
      </w:r>
      <w:proofErr w:type="spellEnd"/>
      <w:r w:rsidRPr="0053092C">
        <w:rPr>
          <w:rFonts w:ascii="Helvetica" w:hAnsi="Helvetica"/>
          <w:color w:val="000000" w:themeColor="text1"/>
          <w:sz w:val="22"/>
          <w:szCs w:val="22"/>
          <w:lang w:val="en-US"/>
        </w:rPr>
        <w:t xml:space="preserve">" is a digital participation and complaint management platform designed specifically for institutions of child and youth welfare, including residential homes, boarding schools, and </w:t>
      </w:r>
      <w:r w:rsidRPr="0053092C">
        <w:rPr>
          <w:rFonts w:ascii="Helvetica" w:hAnsi="Helvetica"/>
          <w:color w:val="000000" w:themeColor="text1"/>
          <w:sz w:val="22"/>
          <w:szCs w:val="22"/>
          <w:lang w:val="en-US"/>
        </w:rPr>
        <w:lastRenderedPageBreak/>
        <w:t>foster care networks. At its core, "</w:t>
      </w:r>
      <w:proofErr w:type="spellStart"/>
      <w:r w:rsidRPr="0053092C">
        <w:rPr>
          <w:rFonts w:ascii="Helvetica" w:hAnsi="Helvetica"/>
          <w:color w:val="000000" w:themeColor="text1"/>
          <w:sz w:val="22"/>
          <w:szCs w:val="22"/>
          <w:lang w:val="en-US"/>
        </w:rPr>
        <w:t>VoiceUP</w:t>
      </w:r>
      <w:proofErr w:type="spellEnd"/>
      <w:r w:rsidRPr="0053092C">
        <w:rPr>
          <w:rFonts w:ascii="Helvetica" w:hAnsi="Helvetica"/>
          <w:color w:val="000000" w:themeColor="text1"/>
          <w:sz w:val="22"/>
          <w:szCs w:val="22"/>
          <w:lang w:val="en-US"/>
        </w:rPr>
        <w:t xml:space="preserve">" is not simply a reporting tool but an infrastructure that connects three </w:t>
      </w:r>
      <w:proofErr w:type="spellStart"/>
      <w:r w:rsidRPr="0053092C">
        <w:rPr>
          <w:rFonts w:ascii="Helvetica" w:hAnsi="Helvetica"/>
          <w:color w:val="000000" w:themeColor="text1"/>
          <w:sz w:val="22"/>
          <w:szCs w:val="22"/>
          <w:lang w:val="en-US"/>
        </w:rPr>
        <w:t>previously</w:t>
      </w:r>
      <w:proofErr w:type="spellEnd"/>
      <w:r w:rsidRPr="0053092C">
        <w:rPr>
          <w:rFonts w:ascii="Helvetica" w:hAnsi="Helvetica"/>
          <w:color w:val="000000" w:themeColor="text1"/>
          <w:sz w:val="22"/>
          <w:szCs w:val="22"/>
          <w:lang w:val="en-US"/>
        </w:rPr>
        <w:t xml:space="preserve"> disconnected elements of complaint handling: the young person raising a concern, the institution responsible for addressing it, and an independent body capable of intervening when internal resolution fails or is not trusted. The business idea rests on the premise that the persistent gap between the legal mandate of § 45 SGB VIII and its practical implementation is not primarily a technology problem, but a structural one, and that a well-designed digital tool can nonetheless close much of this gap by removing the barriers of accessibility, confidentiality, and accountability that undermine conventional systems.</w:t>
      </w:r>
    </w:p>
    <w:p w14:paraId="7A34D0EF" w14:textId="56EF9587" w:rsidR="00852761" w:rsidRDefault="00852761" w:rsidP="0053092C">
      <w:pPr>
        <w:pStyle w:val="StandardWeb"/>
        <w:spacing w:line="360" w:lineRule="auto"/>
        <w:rPr>
          <w:rFonts w:ascii="Helvetica" w:hAnsi="Helvetica"/>
          <w:color w:val="000000" w:themeColor="text1"/>
          <w:sz w:val="22"/>
          <w:szCs w:val="22"/>
          <w:lang w:val="en-US"/>
        </w:rPr>
      </w:pPr>
    </w:p>
    <w:p w14:paraId="646A0170" w14:textId="264D5557" w:rsidR="0053092C" w:rsidRPr="0053092C" w:rsidRDefault="0053092C" w:rsidP="0053092C">
      <w:pPr>
        <w:pStyle w:val="berschrift2"/>
        <w:rPr>
          <w:lang w:val="en-US"/>
        </w:rPr>
      </w:pPr>
      <w:bookmarkStart w:id="2" w:name="_Toc237288065"/>
      <w:r w:rsidRPr="0053092C">
        <w:rPr>
          <w:lang w:val="en-US"/>
        </w:rPr>
        <w:t>Interlinking of technology and attitude</w:t>
      </w:r>
      <w:bookmarkEnd w:id="2"/>
    </w:p>
    <w:p w14:paraId="3BC42936" w14:textId="77777777" w:rsidR="0053092C" w:rsidRPr="0053092C" w:rsidRDefault="0053092C" w:rsidP="0053092C">
      <w:pPr>
        <w:pStyle w:val="StandardWeb"/>
        <w:spacing w:line="360" w:lineRule="auto"/>
        <w:rPr>
          <w:rFonts w:ascii="Helvetica" w:hAnsi="Helvetica"/>
          <w:color w:val="000000" w:themeColor="text1"/>
          <w:sz w:val="22"/>
          <w:szCs w:val="22"/>
          <w:lang w:val="en-US"/>
        </w:rPr>
      </w:pPr>
      <w:r w:rsidRPr="0053092C">
        <w:rPr>
          <w:rFonts w:ascii="Helvetica" w:hAnsi="Helvetica"/>
          <w:color w:val="000000" w:themeColor="text1"/>
          <w:sz w:val="22"/>
          <w:szCs w:val="22"/>
          <w:lang w:val="en-US"/>
        </w:rPr>
        <w:t>Functionally, "</w:t>
      </w:r>
      <w:proofErr w:type="spellStart"/>
      <w:r w:rsidRPr="0053092C">
        <w:rPr>
          <w:rFonts w:ascii="Helvetica" w:hAnsi="Helvetica"/>
          <w:color w:val="000000" w:themeColor="text1"/>
          <w:sz w:val="22"/>
          <w:szCs w:val="22"/>
          <w:lang w:val="en-US"/>
        </w:rPr>
        <w:t>VoiceUP</w:t>
      </w:r>
      <w:proofErr w:type="spellEnd"/>
      <w:r w:rsidRPr="0053092C">
        <w:rPr>
          <w:rFonts w:ascii="Helvetica" w:hAnsi="Helvetica"/>
          <w:color w:val="000000" w:themeColor="text1"/>
          <w:sz w:val="22"/>
          <w:szCs w:val="22"/>
          <w:lang w:val="en-US"/>
        </w:rPr>
        <w:t>" consists of an app and a companion web platform. Young people access "</w:t>
      </w:r>
      <w:proofErr w:type="spellStart"/>
      <w:r w:rsidRPr="0053092C">
        <w:rPr>
          <w:rFonts w:ascii="Helvetica" w:hAnsi="Helvetica"/>
          <w:color w:val="000000" w:themeColor="text1"/>
          <w:sz w:val="22"/>
          <w:szCs w:val="22"/>
          <w:lang w:val="en-US"/>
        </w:rPr>
        <w:t>VoiceUP</w:t>
      </w:r>
      <w:proofErr w:type="spellEnd"/>
      <w:r w:rsidRPr="0053092C">
        <w:rPr>
          <w:rFonts w:ascii="Helvetica" w:hAnsi="Helvetica"/>
          <w:color w:val="000000" w:themeColor="text1"/>
          <w:sz w:val="22"/>
          <w:szCs w:val="22"/>
          <w:lang w:val="en-US"/>
        </w:rPr>
        <w:t>" via smartphone, tablet, or computer, using a low-threshold, multilingual interface that allows them to submit a complaint or concern in a few steps, either identifying themselves or fully anonymously. A concern can be entered as free text, selected from guided categories (for example, conflicts with staff, spatial or organizational deficiencies, or safety concerns), or, depending on the age and needs of the user, supported by simplified visual or voice-based input formats. Once submitted, the complaint does not disappear into an opaque internal process. Instead, "</w:t>
      </w:r>
      <w:proofErr w:type="spellStart"/>
      <w:r w:rsidRPr="0053092C">
        <w:rPr>
          <w:rFonts w:ascii="Helvetica" w:hAnsi="Helvetica"/>
          <w:color w:val="000000" w:themeColor="text1"/>
          <w:sz w:val="22"/>
          <w:szCs w:val="22"/>
          <w:lang w:val="en-US"/>
        </w:rPr>
        <w:t>VoiceUP</w:t>
      </w:r>
      <w:proofErr w:type="spellEnd"/>
      <w:r w:rsidRPr="0053092C">
        <w:rPr>
          <w:rFonts w:ascii="Helvetica" w:hAnsi="Helvetica"/>
          <w:color w:val="000000" w:themeColor="text1"/>
          <w:sz w:val="22"/>
          <w:szCs w:val="22"/>
          <w:lang w:val="en-US"/>
        </w:rPr>
        <w:t>" immediately confirms receipt and assigns the case a trackable status, allowing the young person to see, in real time, whether their concern has been received, is being reviewed, or has been resolved.</w:t>
      </w:r>
    </w:p>
    <w:p w14:paraId="6F6DDAE0" w14:textId="77777777" w:rsidR="0053092C" w:rsidRPr="0053092C" w:rsidRDefault="0053092C" w:rsidP="0053092C">
      <w:pPr>
        <w:pStyle w:val="StandardWeb"/>
        <w:spacing w:line="360" w:lineRule="auto"/>
        <w:rPr>
          <w:rFonts w:ascii="Helvetica" w:hAnsi="Helvetica"/>
          <w:color w:val="000000" w:themeColor="text1"/>
          <w:sz w:val="22"/>
          <w:szCs w:val="22"/>
          <w:lang w:val="en-US"/>
        </w:rPr>
      </w:pPr>
      <w:r w:rsidRPr="0053092C">
        <w:rPr>
          <w:rFonts w:ascii="Helvetica" w:hAnsi="Helvetica"/>
          <w:color w:val="000000" w:themeColor="text1"/>
          <w:sz w:val="22"/>
          <w:szCs w:val="22"/>
          <w:lang w:val="en-US"/>
        </w:rPr>
        <w:t>Behind this front-end lies the routing logic that distinguishes "</w:t>
      </w:r>
      <w:proofErr w:type="spellStart"/>
      <w:r w:rsidRPr="0053092C">
        <w:rPr>
          <w:rFonts w:ascii="Helvetica" w:hAnsi="Helvetica"/>
          <w:color w:val="000000" w:themeColor="text1"/>
          <w:sz w:val="22"/>
          <w:szCs w:val="22"/>
          <w:lang w:val="en-US"/>
        </w:rPr>
        <w:t>VoiceUP</w:t>
      </w:r>
      <w:proofErr w:type="spellEnd"/>
      <w:r w:rsidRPr="0053092C">
        <w:rPr>
          <w:rFonts w:ascii="Helvetica" w:hAnsi="Helvetica"/>
          <w:color w:val="000000" w:themeColor="text1"/>
          <w:sz w:val="22"/>
          <w:szCs w:val="22"/>
          <w:lang w:val="en-US"/>
        </w:rPr>
        <w:t>" from a conventional suggestion box or internal form. Depending on the nature and severity of the complaint, as well as the preference expressed by the young person, a submission can be routed in one of two directions: to a designated internal contact within the institution for cases suited to direct resolution, or, where independence and distance from the institution are required, directly to an external, independent ombuds office connected to the platform. This second pathway is central to the business idea, since it structurally removes the conflict of interest that arises when the person handling a complaint is also its subject. Youth welfare offices and oversight bodies do not receive individual complaints directly, but gain access to aggregated, anonymized data that documents how complaint procedures are functioning at an institution, supporting their supervisory role without compromising confidentiality at the individual level.</w:t>
      </w:r>
    </w:p>
    <w:p w14:paraId="6472B08B" w14:textId="77777777" w:rsidR="0053092C" w:rsidRPr="0053092C" w:rsidRDefault="0053092C" w:rsidP="0053092C">
      <w:pPr>
        <w:pStyle w:val="StandardWeb"/>
        <w:spacing w:line="360" w:lineRule="auto"/>
        <w:rPr>
          <w:rFonts w:ascii="Helvetica" w:hAnsi="Helvetica"/>
          <w:color w:val="000000" w:themeColor="text1"/>
          <w:sz w:val="22"/>
          <w:szCs w:val="22"/>
          <w:lang w:val="en-US"/>
        </w:rPr>
      </w:pPr>
      <w:r w:rsidRPr="0053092C">
        <w:rPr>
          <w:rFonts w:ascii="Helvetica" w:hAnsi="Helvetica"/>
          <w:color w:val="000000" w:themeColor="text1"/>
          <w:sz w:val="22"/>
          <w:szCs w:val="22"/>
          <w:lang w:val="en-US"/>
        </w:rPr>
        <w:lastRenderedPageBreak/>
        <w:t>On the institutional side, "</w:t>
      </w:r>
      <w:proofErr w:type="spellStart"/>
      <w:r w:rsidRPr="0053092C">
        <w:rPr>
          <w:rFonts w:ascii="Helvetica" w:hAnsi="Helvetica"/>
          <w:color w:val="000000" w:themeColor="text1"/>
          <w:sz w:val="22"/>
          <w:szCs w:val="22"/>
          <w:lang w:val="en-US"/>
        </w:rPr>
        <w:t>VoiceUP</w:t>
      </w:r>
      <w:proofErr w:type="spellEnd"/>
      <w:r w:rsidRPr="0053092C">
        <w:rPr>
          <w:rFonts w:ascii="Helvetica" w:hAnsi="Helvetica"/>
          <w:color w:val="000000" w:themeColor="text1"/>
          <w:sz w:val="22"/>
          <w:szCs w:val="22"/>
          <w:lang w:val="en-US"/>
        </w:rPr>
        <w:t>" provides a management dashboard through which designated staff can track open cases, document their handling, and generate the aggregated reports required for internal quality development and external oversight. Crucially, the platform is deployed together with a participation toolkit and staff training, rather than as standalone software, since the underlying assumption of the business idea is that lasting change requires not only a new channel for complaints, but a shift in how institutions receive and act on them</w:t>
      </w:r>
    </w:p>
    <w:p w14:paraId="473F19ED" w14:textId="523751FF" w:rsidR="0053092C" w:rsidRDefault="0053092C" w:rsidP="0053092C">
      <w:pPr>
        <w:pStyle w:val="berschrift2"/>
        <w:rPr>
          <w:lang w:val="en-US"/>
        </w:rPr>
      </w:pPr>
      <w:bookmarkStart w:id="3" w:name="_Toc237288066"/>
      <w:r>
        <w:rPr>
          <w:lang w:val="en-US"/>
        </w:rPr>
        <w:t>How “</w:t>
      </w:r>
      <w:proofErr w:type="spellStart"/>
      <w:r>
        <w:rPr>
          <w:lang w:val="en-US"/>
        </w:rPr>
        <w:t>VoiceUp</w:t>
      </w:r>
      <w:proofErr w:type="spellEnd"/>
      <w:r>
        <w:rPr>
          <w:lang w:val="en-US"/>
        </w:rPr>
        <w:t>” will push trough</w:t>
      </w:r>
      <w:bookmarkEnd w:id="3"/>
    </w:p>
    <w:p w14:paraId="1A85978B" w14:textId="0EDCCA07" w:rsidR="0053092C" w:rsidRPr="0053092C" w:rsidRDefault="0053092C" w:rsidP="00C92357">
      <w:pPr>
        <w:pStyle w:val="StandardWeb"/>
        <w:spacing w:line="360" w:lineRule="auto"/>
        <w:rPr>
          <w:rFonts w:ascii="Helvetica" w:hAnsi="Helvetica"/>
          <w:color w:val="000000" w:themeColor="text1"/>
          <w:sz w:val="22"/>
          <w:szCs w:val="22"/>
          <w:lang w:val="en-US"/>
        </w:rPr>
      </w:pPr>
      <w:r w:rsidRPr="0053092C">
        <w:rPr>
          <w:rFonts w:ascii="Helvetica" w:hAnsi="Helvetica"/>
          <w:color w:val="000000" w:themeColor="text1"/>
          <w:sz w:val="22"/>
          <w:szCs w:val="22"/>
          <w:lang w:val="en-US"/>
        </w:rPr>
        <w:t>The long-term success of this business idea hinges on a further mechanism beyond individual institutional adoption: the ambition to establish "</w:t>
      </w:r>
      <w:proofErr w:type="spellStart"/>
      <w:r w:rsidRPr="0053092C">
        <w:rPr>
          <w:rFonts w:ascii="Helvetica" w:hAnsi="Helvetica"/>
          <w:color w:val="000000" w:themeColor="text1"/>
          <w:sz w:val="22"/>
          <w:szCs w:val="22"/>
          <w:lang w:val="en-US"/>
        </w:rPr>
        <w:t>VoiceUP</w:t>
      </w:r>
      <w:proofErr w:type="spellEnd"/>
      <w:r w:rsidRPr="0053092C">
        <w:rPr>
          <w:rFonts w:ascii="Helvetica" w:hAnsi="Helvetica"/>
          <w:color w:val="000000" w:themeColor="text1"/>
          <w:sz w:val="22"/>
          <w:szCs w:val="22"/>
          <w:lang w:val="en-US"/>
        </w:rPr>
        <w:t>" as a recognized quality seal in the eyes of the authorities responsible for granting and renewing operating licenses. Since § 45 SGB VIII already requires providers to demonstrate functioning participation and complaint procedures as a precondition for obtaining their Betriebserlaubnis, "</w:t>
      </w:r>
      <w:proofErr w:type="spellStart"/>
      <w:r w:rsidRPr="0053092C">
        <w:rPr>
          <w:rFonts w:ascii="Helvetica" w:hAnsi="Helvetica"/>
          <w:color w:val="000000" w:themeColor="text1"/>
          <w:sz w:val="22"/>
          <w:szCs w:val="22"/>
          <w:lang w:val="en-US"/>
        </w:rPr>
        <w:t>VoiceUP</w:t>
      </w:r>
      <w:proofErr w:type="spellEnd"/>
      <w:r w:rsidRPr="0053092C">
        <w:rPr>
          <w:rFonts w:ascii="Helvetica" w:hAnsi="Helvetica"/>
          <w:color w:val="000000" w:themeColor="text1"/>
          <w:sz w:val="22"/>
          <w:szCs w:val="22"/>
          <w:lang w:val="en-US"/>
        </w:rPr>
        <w:t xml:space="preserve">" is positioned to become the de facto standard against which this requirement is measured. If licensing authorities and </w:t>
      </w:r>
      <w:proofErr w:type="spellStart"/>
      <w:r w:rsidRPr="0053092C">
        <w:rPr>
          <w:rFonts w:ascii="Helvetica" w:hAnsi="Helvetica"/>
          <w:color w:val="000000" w:themeColor="text1"/>
          <w:sz w:val="22"/>
          <w:szCs w:val="22"/>
          <w:lang w:val="en-US"/>
        </w:rPr>
        <w:t>Landesjugendämter</w:t>
      </w:r>
      <w:proofErr w:type="spellEnd"/>
      <w:r w:rsidRPr="0053092C">
        <w:rPr>
          <w:rFonts w:ascii="Helvetica" w:hAnsi="Helvetica"/>
          <w:color w:val="000000" w:themeColor="text1"/>
          <w:sz w:val="22"/>
          <w:szCs w:val="22"/>
          <w:lang w:val="en-US"/>
        </w:rPr>
        <w:t xml:space="preserve"> come to recognize "</w:t>
      </w:r>
      <w:proofErr w:type="spellStart"/>
      <w:r w:rsidRPr="0053092C">
        <w:rPr>
          <w:rFonts w:ascii="Helvetica" w:hAnsi="Helvetica"/>
          <w:color w:val="000000" w:themeColor="text1"/>
          <w:sz w:val="22"/>
          <w:szCs w:val="22"/>
          <w:lang w:val="en-US"/>
        </w:rPr>
        <w:t>VoiceUP</w:t>
      </w:r>
      <w:proofErr w:type="spellEnd"/>
      <w:r w:rsidRPr="0053092C">
        <w:rPr>
          <w:rFonts w:ascii="Helvetica" w:hAnsi="Helvetica"/>
          <w:color w:val="000000" w:themeColor="text1"/>
          <w:sz w:val="22"/>
          <w:szCs w:val="22"/>
          <w:lang w:val="en-US"/>
        </w:rPr>
        <w:t>" as a reliable, auditable fulfillment of this legal obligation, its adoption shifts from being merely advisable to being, in practice, a near-prerequisite for obtaining or retaining an operating license. This dynamic would give "</w:t>
      </w:r>
      <w:proofErr w:type="spellStart"/>
      <w:r w:rsidRPr="0053092C">
        <w:rPr>
          <w:rFonts w:ascii="Helvetica" w:hAnsi="Helvetica"/>
          <w:color w:val="000000" w:themeColor="text1"/>
          <w:sz w:val="22"/>
          <w:szCs w:val="22"/>
          <w:lang w:val="en-US"/>
        </w:rPr>
        <w:t>VoiceUP</w:t>
      </w:r>
      <w:proofErr w:type="spellEnd"/>
      <w:r w:rsidRPr="0053092C">
        <w:rPr>
          <w:rFonts w:ascii="Helvetica" w:hAnsi="Helvetica"/>
          <w:color w:val="000000" w:themeColor="text1"/>
          <w:sz w:val="22"/>
          <w:szCs w:val="22"/>
          <w:lang w:val="en-US"/>
        </w:rPr>
        <w:t>" a structural advantage that a purely voluntary quality tool could never achieve: rather than competing solely on the merits of its features, it would benefit from its entanglement with a regulatory process that every provider must pass through, making adoption less a matter of individual conviction and more a matter of institutional necessity.</w:t>
      </w:r>
    </w:p>
    <w:p w14:paraId="1BC2AF63" w14:textId="268B31E3" w:rsidR="006D3F77" w:rsidRPr="006D3F77" w:rsidRDefault="006D3F77" w:rsidP="006D3F77">
      <w:pPr>
        <w:pStyle w:val="berschrift1"/>
        <w:rPr>
          <w:lang w:val="en-US"/>
        </w:rPr>
      </w:pPr>
      <w:bookmarkStart w:id="4" w:name="_Toc237288067"/>
      <w:r>
        <w:rPr>
          <w:lang w:val="en-US"/>
        </w:rPr>
        <w:t>“</w:t>
      </w:r>
      <w:proofErr w:type="spellStart"/>
      <w:r w:rsidRPr="006D3F77">
        <w:rPr>
          <w:lang w:val="en-US"/>
        </w:rPr>
        <w:t>VoiceUP</w:t>
      </w:r>
      <w:proofErr w:type="spellEnd"/>
      <w:r>
        <w:rPr>
          <w:lang w:val="en-US"/>
        </w:rPr>
        <w:t>”</w:t>
      </w:r>
      <w:r w:rsidRPr="006D3F77">
        <w:rPr>
          <w:lang w:val="en-US"/>
        </w:rPr>
        <w:t xml:space="preserve"> as a </w:t>
      </w:r>
      <w:r w:rsidR="00852761">
        <w:rPr>
          <w:lang w:val="en-US"/>
        </w:rPr>
        <w:t>t</w:t>
      </w:r>
      <w:r w:rsidRPr="006D3F77">
        <w:rPr>
          <w:lang w:val="en-US"/>
        </w:rPr>
        <w:t xml:space="preserve">ool for </w:t>
      </w:r>
      <w:r w:rsidR="00852761">
        <w:rPr>
          <w:lang w:val="en-US"/>
        </w:rPr>
        <w:t>g</w:t>
      </w:r>
      <w:r w:rsidRPr="006D3F77">
        <w:rPr>
          <w:lang w:val="en-US"/>
        </w:rPr>
        <w:t xml:space="preserve">enuine </w:t>
      </w:r>
      <w:r w:rsidR="00852761">
        <w:rPr>
          <w:lang w:val="en-US"/>
        </w:rPr>
        <w:t>c</w:t>
      </w:r>
      <w:r w:rsidRPr="006D3F77">
        <w:rPr>
          <w:lang w:val="en-US"/>
        </w:rPr>
        <w:t xml:space="preserve">omplaint </w:t>
      </w:r>
      <w:r w:rsidR="00852761">
        <w:rPr>
          <w:lang w:val="en-US"/>
        </w:rPr>
        <w:t>m</w:t>
      </w:r>
      <w:r w:rsidRPr="006D3F77">
        <w:rPr>
          <w:lang w:val="en-US"/>
        </w:rPr>
        <w:t xml:space="preserve">anagement in </w:t>
      </w:r>
      <w:r w:rsidR="00852761">
        <w:rPr>
          <w:lang w:val="en-US"/>
        </w:rPr>
        <w:t>y</w:t>
      </w:r>
      <w:r w:rsidRPr="006D3F77">
        <w:rPr>
          <w:lang w:val="en-US"/>
        </w:rPr>
        <w:t xml:space="preserve">outh </w:t>
      </w:r>
      <w:r w:rsidR="00852761">
        <w:rPr>
          <w:lang w:val="en-US"/>
        </w:rPr>
        <w:t>w</w:t>
      </w:r>
      <w:r w:rsidRPr="006D3F77">
        <w:rPr>
          <w:lang w:val="en-US"/>
        </w:rPr>
        <w:t xml:space="preserve">elfare </w:t>
      </w:r>
      <w:r w:rsidR="00852761">
        <w:rPr>
          <w:lang w:val="en-US"/>
        </w:rPr>
        <w:t>s</w:t>
      </w:r>
      <w:r w:rsidRPr="006D3F77">
        <w:rPr>
          <w:lang w:val="en-US"/>
        </w:rPr>
        <w:t>ervices</w:t>
      </w:r>
      <w:bookmarkEnd w:id="4"/>
    </w:p>
    <w:p w14:paraId="16CF2CED" w14:textId="358D4D3E" w:rsidR="006D3F77" w:rsidRPr="006D3F77" w:rsidRDefault="006D3F77" w:rsidP="006D3F77">
      <w:pPr>
        <w:pStyle w:val="StandardWeb"/>
        <w:spacing w:line="360" w:lineRule="auto"/>
        <w:rPr>
          <w:rFonts w:ascii="Helvetica" w:hAnsi="Helvetica"/>
          <w:color w:val="000000" w:themeColor="text1"/>
          <w:sz w:val="22"/>
          <w:szCs w:val="22"/>
          <w:lang w:val="en-US"/>
        </w:rPr>
      </w:pPr>
      <w:r w:rsidRPr="006D3F77">
        <w:rPr>
          <w:rFonts w:ascii="Helvetica" w:hAnsi="Helvetica"/>
          <w:color w:val="000000" w:themeColor="text1"/>
          <w:sz w:val="22"/>
          <w:szCs w:val="22"/>
          <w:lang w:val="en-US"/>
        </w:rPr>
        <w:t xml:space="preserve">Genuine complaint management in child and youth welfare services fundamentally differs from mere bureaucratic compliance. While the latter perceives complaints as a tedious obligation or even a disruption, a lived complaint management system views criticism as a valuable impulse, a demand for rights, and an opportunity for continuous quality development. </w:t>
      </w:r>
      <w:r>
        <w:rPr>
          <w:rFonts w:ascii="Helvetica" w:hAnsi="Helvetica"/>
          <w:color w:val="000000" w:themeColor="text1"/>
          <w:sz w:val="22"/>
          <w:szCs w:val="22"/>
          <w:lang w:val="en-US"/>
        </w:rPr>
        <w:t>“</w:t>
      </w:r>
      <w:proofErr w:type="spellStart"/>
      <w:r w:rsidRPr="006D3F77">
        <w:rPr>
          <w:rFonts w:ascii="Helvetica" w:hAnsi="Helvetica"/>
          <w:color w:val="000000" w:themeColor="text1"/>
          <w:sz w:val="22"/>
          <w:szCs w:val="22"/>
          <w:lang w:val="en-US"/>
        </w:rPr>
        <w:t>VoiceUP</w:t>
      </w:r>
      <w:proofErr w:type="spellEnd"/>
      <w:r>
        <w:rPr>
          <w:rFonts w:ascii="Helvetica" w:hAnsi="Helvetica"/>
          <w:color w:val="000000" w:themeColor="text1"/>
          <w:sz w:val="22"/>
          <w:szCs w:val="22"/>
          <w:lang w:val="en-US"/>
        </w:rPr>
        <w:t>”</w:t>
      </w:r>
      <w:r w:rsidRPr="006D3F77">
        <w:rPr>
          <w:rFonts w:ascii="Helvetica" w:hAnsi="Helvetica"/>
          <w:color w:val="000000" w:themeColor="text1"/>
          <w:sz w:val="22"/>
          <w:szCs w:val="22"/>
          <w:lang w:val="en-US"/>
        </w:rPr>
        <w:t xml:space="preserve"> embodies this approach and thus provides an answer to a qualitative problem in youth welfare: the discrepancy between legal requirements and actual practice. Although § 45 of the German Social Code (SGB VIII) mandates the establishment </w:t>
      </w:r>
      <w:r w:rsidRPr="006D3F77">
        <w:rPr>
          <w:rFonts w:ascii="Helvetica" w:hAnsi="Helvetica"/>
          <w:color w:val="000000" w:themeColor="text1"/>
          <w:sz w:val="22"/>
          <w:szCs w:val="22"/>
          <w:lang w:val="en-US"/>
        </w:rPr>
        <w:lastRenderedPageBreak/>
        <w:t>of complaint procedures and § 79a SGB VIII emphasizes quality development, many systems fail in implementation due to structural, cultural, or practical barriers.</w:t>
      </w:r>
    </w:p>
    <w:p w14:paraId="24FB5046" w14:textId="3958CE15" w:rsidR="006D3F77" w:rsidRPr="006D3F77" w:rsidRDefault="006D3F77" w:rsidP="006D3F77">
      <w:pPr>
        <w:pStyle w:val="StandardWeb"/>
        <w:spacing w:line="360" w:lineRule="auto"/>
        <w:rPr>
          <w:rFonts w:ascii="Helvetica" w:hAnsi="Helvetica"/>
          <w:color w:val="000000" w:themeColor="text1"/>
          <w:sz w:val="22"/>
          <w:szCs w:val="22"/>
          <w:lang w:val="en-US"/>
        </w:rPr>
      </w:pPr>
      <w:r w:rsidRPr="006D3F77">
        <w:rPr>
          <w:rFonts w:ascii="Helvetica" w:hAnsi="Helvetica"/>
          <w:color w:val="000000" w:themeColor="text1"/>
          <w:sz w:val="22"/>
          <w:szCs w:val="22"/>
          <w:lang w:val="en-US"/>
        </w:rPr>
        <w:t>The problems with conventional complaint systems are multifaceted and deeply rooted. A central deficit lies in the attitude toward complaints. In many institutions, criticism or dissatisfaction expressed by young people is not perceived as a legitimate concern but rather as a personal attack or a disruption of daily care routines. This attitude leads young people to refrain from voicing their concerns</w:t>
      </w:r>
      <w:r>
        <w:rPr>
          <w:rFonts w:ascii="Helvetica" w:hAnsi="Helvetica"/>
          <w:color w:val="000000" w:themeColor="text1"/>
          <w:sz w:val="22"/>
          <w:szCs w:val="22"/>
          <w:lang w:val="en-US"/>
        </w:rPr>
        <w:t xml:space="preserve">, </w:t>
      </w:r>
      <w:r w:rsidRPr="006D3F77">
        <w:rPr>
          <w:rFonts w:ascii="Helvetica" w:hAnsi="Helvetica"/>
          <w:color w:val="000000" w:themeColor="text1"/>
          <w:sz w:val="22"/>
          <w:szCs w:val="22"/>
          <w:lang w:val="en-US"/>
        </w:rPr>
        <w:t>out of fear of negative consequences, stigmatization, or devaluation. The result is learned helplessness: children and adolescents come to believe that their voices have no impact and withdraw. This not only undermines trust in the institution but also fails as an early warning system for misconduct. When complaints are systematically ignored or covered up, issues such as institutional violence or boundary violations can spread unchecked without timely intervention.</w:t>
      </w:r>
    </w:p>
    <w:p w14:paraId="58434E8B" w14:textId="77777777" w:rsidR="006D3F77" w:rsidRPr="006D3F77" w:rsidRDefault="006D3F77" w:rsidP="006D3F77">
      <w:pPr>
        <w:pStyle w:val="StandardWeb"/>
        <w:spacing w:line="360" w:lineRule="auto"/>
        <w:rPr>
          <w:rFonts w:ascii="Helvetica" w:hAnsi="Helvetica"/>
          <w:color w:val="000000" w:themeColor="text1"/>
          <w:sz w:val="22"/>
          <w:szCs w:val="22"/>
          <w:lang w:val="en-US"/>
        </w:rPr>
      </w:pPr>
      <w:r w:rsidRPr="006D3F77">
        <w:rPr>
          <w:rFonts w:ascii="Helvetica" w:hAnsi="Helvetica"/>
          <w:color w:val="000000" w:themeColor="text1"/>
          <w:sz w:val="22"/>
          <w:szCs w:val="22"/>
          <w:lang w:val="en-US"/>
        </w:rPr>
        <w:t>Another problem lies in accessibility barriers. Many complaint procedures are designed in ways that make them difficult for young people to use. Written forms, complicated processes, or the requirement to approach specific contact persons deter young people—especially younger children or those with language barriers or cognitive limitations. Even when complaints are submitted, there is often a lack of transparency. The subsequent process takes place behind closed doors, with no feedback on progress or outcomes for those who filed the complaint. This reinforces the feeling of not being taken seriously.</w:t>
      </w:r>
    </w:p>
    <w:p w14:paraId="2928FE6B" w14:textId="77777777" w:rsidR="006D3F77" w:rsidRPr="006D3F77" w:rsidRDefault="006D3F77" w:rsidP="006D3F77">
      <w:pPr>
        <w:pStyle w:val="StandardWeb"/>
        <w:spacing w:line="360" w:lineRule="auto"/>
        <w:rPr>
          <w:rFonts w:ascii="Helvetica" w:hAnsi="Helvetica"/>
          <w:color w:val="000000" w:themeColor="text1"/>
          <w:sz w:val="22"/>
          <w:szCs w:val="22"/>
          <w:lang w:val="en-US"/>
        </w:rPr>
      </w:pPr>
      <w:r w:rsidRPr="006D3F77">
        <w:rPr>
          <w:rFonts w:ascii="Helvetica" w:hAnsi="Helvetica"/>
          <w:color w:val="000000" w:themeColor="text1"/>
          <w:sz w:val="22"/>
          <w:szCs w:val="22"/>
          <w:lang w:val="en-US"/>
        </w:rPr>
        <w:t>Additionally, there is often a lack of a constructive error culture. In many institutions, criticism is perceived not as an opportunity for improvement but as a threat. Instead of making structural adjustments to prevent recurrence, a defensive attitude often prevails: blame is shifted onto the young people ("difficult behavior"), or complaints are suppressed to protect the institution's reputation. The result is tokenistic protection concepts that exist on paper but have no relevance in daily practice. Institutions not only risk losing credibility but also miss the opportunity to evolve and address the needs of young people.</w:t>
      </w:r>
    </w:p>
    <w:p w14:paraId="24B51322" w14:textId="6B6743A6" w:rsidR="006D3F77" w:rsidRPr="006D3F77" w:rsidRDefault="008B7918" w:rsidP="006D3F77">
      <w:pPr>
        <w:pStyle w:val="StandardWeb"/>
        <w:spacing w:line="360" w:lineRule="auto"/>
        <w:rPr>
          <w:rFonts w:ascii="Helvetica" w:hAnsi="Helvetica"/>
          <w:color w:val="000000" w:themeColor="text1"/>
          <w:sz w:val="22"/>
          <w:szCs w:val="22"/>
          <w:lang w:val="en-US"/>
        </w:rPr>
      </w:pPr>
      <w:r>
        <w:rPr>
          <w:rFonts w:ascii="Helvetica" w:hAnsi="Helvetica"/>
          <w:color w:val="000000" w:themeColor="text1"/>
          <w:sz w:val="22"/>
          <w:szCs w:val="22"/>
          <w:lang w:val="en-US"/>
        </w:rPr>
        <w:t>“</w:t>
      </w:r>
      <w:proofErr w:type="spellStart"/>
      <w:r w:rsidR="006D3F77" w:rsidRPr="006D3F77">
        <w:rPr>
          <w:rFonts w:ascii="Helvetica" w:hAnsi="Helvetica"/>
          <w:color w:val="000000" w:themeColor="text1"/>
          <w:sz w:val="22"/>
          <w:szCs w:val="22"/>
          <w:lang w:val="en-US"/>
        </w:rPr>
        <w:t>VoiceUP</w:t>
      </w:r>
      <w:proofErr w:type="spellEnd"/>
      <w:r>
        <w:rPr>
          <w:rFonts w:ascii="Helvetica" w:hAnsi="Helvetica"/>
          <w:color w:val="000000" w:themeColor="text1"/>
          <w:sz w:val="22"/>
          <w:szCs w:val="22"/>
          <w:lang w:val="en-US"/>
        </w:rPr>
        <w:t>”</w:t>
      </w:r>
      <w:r w:rsidR="006D3F77" w:rsidRPr="006D3F77">
        <w:rPr>
          <w:rFonts w:ascii="Helvetica" w:hAnsi="Helvetica"/>
          <w:color w:val="000000" w:themeColor="text1"/>
          <w:sz w:val="22"/>
          <w:szCs w:val="22"/>
          <w:lang w:val="en-US"/>
        </w:rPr>
        <w:t xml:space="preserve"> addresses these very issues and offers solutions that enable genuine complaint management. A key advantage of the tool is its low-threshold accessibility. Through its digital platform, young people can express complaints in a way that aligns with their daily lives</w:t>
      </w:r>
      <w:r w:rsidR="006D3F77">
        <w:rPr>
          <w:rFonts w:ascii="Helvetica" w:hAnsi="Helvetica"/>
          <w:color w:val="000000" w:themeColor="text1"/>
          <w:sz w:val="22"/>
          <w:szCs w:val="22"/>
          <w:lang w:val="en-US"/>
        </w:rPr>
        <w:t xml:space="preserve">, </w:t>
      </w:r>
      <w:r w:rsidR="006D3F77" w:rsidRPr="006D3F77">
        <w:rPr>
          <w:rFonts w:ascii="Helvetica" w:hAnsi="Helvetica"/>
          <w:color w:val="000000" w:themeColor="text1"/>
          <w:sz w:val="22"/>
          <w:szCs w:val="22"/>
          <w:lang w:val="en-US"/>
        </w:rPr>
        <w:t>via smartphones, tablets, or computers</w:t>
      </w:r>
      <w:r w:rsidR="006D3F77">
        <w:rPr>
          <w:rFonts w:ascii="Helvetica" w:hAnsi="Helvetica"/>
          <w:color w:val="000000" w:themeColor="text1"/>
          <w:sz w:val="22"/>
          <w:szCs w:val="22"/>
          <w:lang w:val="en-US"/>
        </w:rPr>
        <w:t xml:space="preserve">, </w:t>
      </w:r>
      <w:r w:rsidR="006D3F77" w:rsidRPr="006D3F77">
        <w:rPr>
          <w:rFonts w:ascii="Helvetica" w:hAnsi="Helvetica"/>
          <w:color w:val="000000" w:themeColor="text1"/>
          <w:sz w:val="22"/>
          <w:szCs w:val="22"/>
          <w:lang w:val="en-US"/>
        </w:rPr>
        <w:t>without complicated forms or bureaucratic hurdles. The interface is intuitive and multilingual, making it accessible to young people with migration backgrounds or language barriers.</w:t>
      </w:r>
    </w:p>
    <w:p w14:paraId="51ABC509" w14:textId="3C48258B" w:rsidR="006D3F77" w:rsidRPr="006D3F77" w:rsidRDefault="006D3F77" w:rsidP="006D3F77">
      <w:pPr>
        <w:pStyle w:val="StandardWeb"/>
        <w:spacing w:line="360" w:lineRule="auto"/>
        <w:rPr>
          <w:rFonts w:ascii="Helvetica" w:hAnsi="Helvetica"/>
          <w:color w:val="000000" w:themeColor="text1"/>
          <w:sz w:val="22"/>
          <w:szCs w:val="22"/>
          <w:lang w:val="en-US"/>
        </w:rPr>
      </w:pPr>
      <w:r w:rsidRPr="006D3F77">
        <w:rPr>
          <w:rFonts w:ascii="Helvetica" w:hAnsi="Helvetica"/>
          <w:color w:val="000000" w:themeColor="text1"/>
          <w:sz w:val="22"/>
          <w:szCs w:val="22"/>
          <w:lang w:val="en-US"/>
        </w:rPr>
        <w:lastRenderedPageBreak/>
        <w:t xml:space="preserve">Another decisive aspect is the transparency that </w:t>
      </w:r>
      <w:r>
        <w:rPr>
          <w:rFonts w:ascii="Helvetica" w:hAnsi="Helvetica"/>
          <w:color w:val="000000" w:themeColor="text1"/>
          <w:sz w:val="22"/>
          <w:szCs w:val="22"/>
          <w:lang w:val="en-US"/>
        </w:rPr>
        <w:t>“</w:t>
      </w:r>
      <w:proofErr w:type="spellStart"/>
      <w:r w:rsidRPr="006D3F77">
        <w:rPr>
          <w:rFonts w:ascii="Helvetica" w:hAnsi="Helvetica"/>
          <w:color w:val="000000" w:themeColor="text1"/>
          <w:sz w:val="22"/>
          <w:szCs w:val="22"/>
          <w:lang w:val="en-US"/>
        </w:rPr>
        <w:t>VoiceUP</w:t>
      </w:r>
      <w:proofErr w:type="spellEnd"/>
      <w:r>
        <w:rPr>
          <w:rFonts w:ascii="Helvetica" w:hAnsi="Helvetica"/>
          <w:color w:val="000000" w:themeColor="text1"/>
          <w:sz w:val="22"/>
          <w:szCs w:val="22"/>
          <w:lang w:val="en-US"/>
        </w:rPr>
        <w:t>”</w:t>
      </w:r>
      <w:r w:rsidRPr="006D3F77">
        <w:rPr>
          <w:rFonts w:ascii="Helvetica" w:hAnsi="Helvetica"/>
          <w:color w:val="000000" w:themeColor="text1"/>
          <w:sz w:val="22"/>
          <w:szCs w:val="22"/>
          <w:lang w:val="en-US"/>
        </w:rPr>
        <w:t xml:space="preserve"> brings to the complaint process. Young people receive immediate confirmation that their complaint has been submitted and can track its processing status in real time. This builds trust and shows that their voices are being heard. At the same time, the tool enables systematic evaluation of complaints. By collecting and analyzing data, patterns can be identified</w:t>
      </w:r>
      <w:r>
        <w:rPr>
          <w:rFonts w:ascii="Helvetica" w:hAnsi="Helvetica"/>
          <w:color w:val="000000" w:themeColor="text1"/>
          <w:sz w:val="22"/>
          <w:szCs w:val="22"/>
          <w:lang w:val="en-US"/>
        </w:rPr>
        <w:t xml:space="preserve">, </w:t>
      </w:r>
      <w:r w:rsidRPr="006D3F77">
        <w:rPr>
          <w:rFonts w:ascii="Helvetica" w:hAnsi="Helvetica"/>
          <w:color w:val="000000" w:themeColor="text1"/>
          <w:sz w:val="22"/>
          <w:szCs w:val="22"/>
          <w:lang w:val="en-US"/>
        </w:rPr>
        <w:t>such as recurring conflicts with specific staff members, spatial deficiencies, or organizational issues. This allows institutions to make structural adjustments and address problems at their root rather than merely reacting to individual cases.</w:t>
      </w:r>
    </w:p>
    <w:p w14:paraId="45B2C143" w14:textId="6BE06E87" w:rsidR="006D3F77" w:rsidRPr="006D3F77" w:rsidRDefault="006D3F77" w:rsidP="006D3F77">
      <w:pPr>
        <w:pStyle w:val="StandardWeb"/>
        <w:spacing w:line="360" w:lineRule="auto"/>
        <w:rPr>
          <w:rFonts w:ascii="Helvetica" w:hAnsi="Helvetica"/>
          <w:color w:val="000000" w:themeColor="text1"/>
          <w:sz w:val="22"/>
          <w:szCs w:val="22"/>
          <w:lang w:val="en-US"/>
        </w:rPr>
      </w:pPr>
      <w:r w:rsidRPr="006D3F77">
        <w:rPr>
          <w:rFonts w:ascii="Helvetica" w:hAnsi="Helvetica"/>
          <w:color w:val="000000" w:themeColor="text1"/>
          <w:sz w:val="22"/>
          <w:szCs w:val="22"/>
          <w:lang w:val="en-US"/>
        </w:rPr>
        <w:t xml:space="preserve">Another feature of </w:t>
      </w:r>
      <w:r>
        <w:rPr>
          <w:rFonts w:ascii="Helvetica" w:hAnsi="Helvetica"/>
          <w:color w:val="000000" w:themeColor="text1"/>
          <w:sz w:val="22"/>
          <w:szCs w:val="22"/>
          <w:lang w:val="en-US"/>
        </w:rPr>
        <w:t>“</w:t>
      </w:r>
      <w:proofErr w:type="spellStart"/>
      <w:r w:rsidRPr="006D3F77">
        <w:rPr>
          <w:rFonts w:ascii="Helvetica" w:hAnsi="Helvetica"/>
          <w:color w:val="000000" w:themeColor="text1"/>
          <w:sz w:val="22"/>
          <w:szCs w:val="22"/>
          <w:lang w:val="en-US"/>
        </w:rPr>
        <w:t>VoiceUP</w:t>
      </w:r>
      <w:proofErr w:type="spellEnd"/>
      <w:r>
        <w:rPr>
          <w:rFonts w:ascii="Helvetica" w:hAnsi="Helvetica"/>
          <w:color w:val="000000" w:themeColor="text1"/>
          <w:sz w:val="22"/>
          <w:szCs w:val="22"/>
          <w:lang w:val="en-US"/>
        </w:rPr>
        <w:t>”</w:t>
      </w:r>
      <w:r w:rsidRPr="006D3F77">
        <w:rPr>
          <w:rFonts w:ascii="Helvetica" w:hAnsi="Helvetica"/>
          <w:color w:val="000000" w:themeColor="text1"/>
          <w:sz w:val="22"/>
          <w:szCs w:val="22"/>
          <w:lang w:val="en-US"/>
        </w:rPr>
        <w:t xml:space="preserve"> is protection against reprisals. By allowing complaints to be submitted anonymously, young people do not have to fear negative consequences. This is particularly important in hierarchical structures where power imbalances between adults and young people already create barriers. Additionally, </w:t>
      </w:r>
      <w:r>
        <w:rPr>
          <w:rFonts w:ascii="Helvetica" w:hAnsi="Helvetica"/>
          <w:color w:val="000000" w:themeColor="text1"/>
          <w:sz w:val="22"/>
          <w:szCs w:val="22"/>
          <w:lang w:val="en-US"/>
        </w:rPr>
        <w:t>“</w:t>
      </w:r>
      <w:proofErr w:type="spellStart"/>
      <w:r w:rsidRPr="006D3F77">
        <w:rPr>
          <w:rFonts w:ascii="Helvetica" w:hAnsi="Helvetica"/>
          <w:color w:val="000000" w:themeColor="text1"/>
          <w:sz w:val="22"/>
          <w:szCs w:val="22"/>
          <w:lang w:val="en-US"/>
        </w:rPr>
        <w:t>VoiceUP</w:t>
      </w:r>
      <w:proofErr w:type="spellEnd"/>
      <w:r>
        <w:rPr>
          <w:rFonts w:ascii="Helvetica" w:hAnsi="Helvetica"/>
          <w:color w:val="000000" w:themeColor="text1"/>
          <w:sz w:val="22"/>
          <w:szCs w:val="22"/>
          <w:lang w:val="en-US"/>
        </w:rPr>
        <w:t>”</w:t>
      </w:r>
      <w:r w:rsidRPr="006D3F77">
        <w:rPr>
          <w:rFonts w:ascii="Helvetica" w:hAnsi="Helvetica"/>
          <w:color w:val="000000" w:themeColor="text1"/>
          <w:sz w:val="22"/>
          <w:szCs w:val="22"/>
          <w:lang w:val="en-US"/>
        </w:rPr>
        <w:t xml:space="preserve"> can be linked to independent ombudsman offices, which serve as additional trust-building bodies. This ensures that complaints are not internally suppressed but can be externally reviewed. This strengthens young people's trust in the system and demonstrates that their concerns are taken seriously.</w:t>
      </w:r>
    </w:p>
    <w:p w14:paraId="75ACFCC1" w14:textId="01A968E6" w:rsidR="006D3F77" w:rsidRPr="006D3F77" w:rsidRDefault="006D3F77" w:rsidP="006D3F77">
      <w:pPr>
        <w:pStyle w:val="StandardWeb"/>
        <w:spacing w:line="360" w:lineRule="auto"/>
        <w:rPr>
          <w:rFonts w:ascii="Helvetica" w:hAnsi="Helvetica"/>
          <w:color w:val="000000" w:themeColor="text1"/>
          <w:sz w:val="22"/>
          <w:szCs w:val="22"/>
          <w:lang w:val="en-US"/>
        </w:rPr>
      </w:pPr>
      <w:r w:rsidRPr="006D3F77">
        <w:rPr>
          <w:rFonts w:ascii="Helvetica" w:hAnsi="Helvetica"/>
          <w:color w:val="000000" w:themeColor="text1"/>
          <w:sz w:val="22"/>
          <w:szCs w:val="22"/>
          <w:lang w:val="en-US"/>
        </w:rPr>
        <w:t xml:space="preserve">However, the introduction of </w:t>
      </w:r>
      <w:r>
        <w:rPr>
          <w:rFonts w:ascii="Helvetica" w:hAnsi="Helvetica"/>
          <w:color w:val="000000" w:themeColor="text1"/>
          <w:sz w:val="22"/>
          <w:szCs w:val="22"/>
          <w:lang w:val="en-US"/>
        </w:rPr>
        <w:t>“</w:t>
      </w:r>
      <w:proofErr w:type="spellStart"/>
      <w:r w:rsidRPr="006D3F77">
        <w:rPr>
          <w:rFonts w:ascii="Helvetica" w:hAnsi="Helvetica"/>
          <w:color w:val="000000" w:themeColor="text1"/>
          <w:sz w:val="22"/>
          <w:szCs w:val="22"/>
          <w:lang w:val="en-US"/>
        </w:rPr>
        <w:t>VoiceUP</w:t>
      </w:r>
      <w:proofErr w:type="spellEnd"/>
      <w:r>
        <w:rPr>
          <w:rFonts w:ascii="Helvetica" w:hAnsi="Helvetica"/>
          <w:color w:val="000000" w:themeColor="text1"/>
          <w:sz w:val="22"/>
          <w:szCs w:val="22"/>
          <w:lang w:val="en-US"/>
        </w:rPr>
        <w:t>”</w:t>
      </w:r>
      <w:r w:rsidRPr="006D3F77">
        <w:rPr>
          <w:rFonts w:ascii="Helvetica" w:hAnsi="Helvetica"/>
          <w:color w:val="000000" w:themeColor="text1"/>
          <w:sz w:val="22"/>
          <w:szCs w:val="22"/>
          <w:lang w:val="en-US"/>
        </w:rPr>
        <w:t xml:space="preserve"> is more than just a technical solution</w:t>
      </w:r>
      <w:r>
        <w:rPr>
          <w:rFonts w:ascii="Helvetica" w:hAnsi="Helvetica"/>
          <w:color w:val="000000" w:themeColor="text1"/>
          <w:sz w:val="22"/>
          <w:szCs w:val="22"/>
          <w:lang w:val="en-US"/>
        </w:rPr>
        <w:t xml:space="preserve">, </w:t>
      </w:r>
      <w:r w:rsidRPr="006D3F77">
        <w:rPr>
          <w:rFonts w:ascii="Helvetica" w:hAnsi="Helvetica"/>
          <w:color w:val="000000" w:themeColor="text1"/>
          <w:sz w:val="22"/>
          <w:szCs w:val="22"/>
          <w:lang w:val="en-US"/>
        </w:rPr>
        <w:t>it represents a cultural shif</w:t>
      </w:r>
      <w:r w:rsidRPr="006D3F77">
        <w:rPr>
          <w:rFonts w:ascii="Helvetica" w:hAnsi="Helvetica"/>
          <w:b/>
          <w:bCs/>
          <w:color w:val="000000" w:themeColor="text1"/>
          <w:sz w:val="22"/>
          <w:szCs w:val="22"/>
          <w:lang w:val="en-US"/>
        </w:rPr>
        <w:t>t</w:t>
      </w:r>
      <w:r w:rsidRPr="006D3F77">
        <w:rPr>
          <w:rFonts w:ascii="Helvetica" w:hAnsi="Helvetica"/>
          <w:color w:val="000000" w:themeColor="text1"/>
          <w:sz w:val="22"/>
          <w:szCs w:val="22"/>
          <w:lang w:val="en-US"/>
        </w:rPr>
        <w:t xml:space="preserve">. It signals to young people that their criticism is welcome and effective. At the same time, it relieves staff members, who can respond to complaints in a structured and accountable manner through the tool. For providers and institutions, using </w:t>
      </w:r>
      <w:r>
        <w:rPr>
          <w:rFonts w:ascii="Helvetica" w:hAnsi="Helvetica"/>
          <w:color w:val="000000" w:themeColor="text1"/>
          <w:sz w:val="22"/>
          <w:szCs w:val="22"/>
          <w:lang w:val="en-US"/>
        </w:rPr>
        <w:t>“</w:t>
      </w:r>
      <w:proofErr w:type="spellStart"/>
      <w:r w:rsidRPr="006D3F77">
        <w:rPr>
          <w:rFonts w:ascii="Helvetica" w:hAnsi="Helvetica"/>
          <w:color w:val="000000" w:themeColor="text1"/>
          <w:sz w:val="22"/>
          <w:szCs w:val="22"/>
          <w:lang w:val="en-US"/>
        </w:rPr>
        <w:t>VoiceUP</w:t>
      </w:r>
      <w:proofErr w:type="spellEnd"/>
      <w:r>
        <w:rPr>
          <w:rFonts w:ascii="Helvetica" w:hAnsi="Helvetica"/>
          <w:color w:val="000000" w:themeColor="text1"/>
          <w:sz w:val="22"/>
          <w:szCs w:val="22"/>
          <w:lang w:val="en-US"/>
        </w:rPr>
        <w:t>”</w:t>
      </w:r>
      <w:r w:rsidRPr="006D3F77">
        <w:rPr>
          <w:rFonts w:ascii="Helvetica" w:hAnsi="Helvetica"/>
          <w:color w:val="000000" w:themeColor="text1"/>
          <w:sz w:val="22"/>
          <w:szCs w:val="22"/>
          <w:lang w:val="en-US"/>
        </w:rPr>
        <w:t xml:space="preserve"> is a step toward a lived culture of participation that not only meets legal requirements but also brings them to life. After all, genuine complaint management is characterized not just by the existence of a procedure but by its lived practice.</w:t>
      </w:r>
    </w:p>
    <w:p w14:paraId="08697B04" w14:textId="66E6FFAA" w:rsidR="006D3F77" w:rsidRPr="006D3F77" w:rsidRDefault="006D3F77" w:rsidP="006D3F77">
      <w:pPr>
        <w:pStyle w:val="StandardWeb"/>
        <w:spacing w:line="360" w:lineRule="auto"/>
        <w:rPr>
          <w:rFonts w:ascii="Helvetica" w:hAnsi="Helvetica"/>
          <w:color w:val="000000" w:themeColor="text1"/>
          <w:sz w:val="22"/>
          <w:szCs w:val="22"/>
          <w:lang w:val="en-US"/>
        </w:rPr>
      </w:pPr>
      <w:r w:rsidRPr="006D3F77">
        <w:rPr>
          <w:rFonts w:ascii="Helvetica" w:hAnsi="Helvetica"/>
          <w:color w:val="000000" w:themeColor="text1"/>
          <w:sz w:val="22"/>
          <w:szCs w:val="22"/>
          <w:lang w:val="en-US"/>
        </w:rPr>
        <w:t xml:space="preserve">Another advantage of </w:t>
      </w:r>
      <w:r>
        <w:rPr>
          <w:rFonts w:ascii="Helvetica" w:hAnsi="Helvetica"/>
          <w:color w:val="000000" w:themeColor="text1"/>
          <w:sz w:val="22"/>
          <w:szCs w:val="22"/>
          <w:lang w:val="en-US"/>
        </w:rPr>
        <w:t>“</w:t>
      </w:r>
      <w:proofErr w:type="spellStart"/>
      <w:r w:rsidRPr="006D3F77">
        <w:rPr>
          <w:rFonts w:ascii="Helvetica" w:hAnsi="Helvetica"/>
          <w:color w:val="000000" w:themeColor="text1"/>
          <w:sz w:val="22"/>
          <w:szCs w:val="22"/>
          <w:lang w:val="en-US"/>
        </w:rPr>
        <w:t>VoiceUP</w:t>
      </w:r>
      <w:proofErr w:type="spellEnd"/>
      <w:r>
        <w:rPr>
          <w:rFonts w:ascii="Helvetica" w:hAnsi="Helvetica"/>
          <w:color w:val="000000" w:themeColor="text1"/>
          <w:sz w:val="22"/>
          <w:szCs w:val="22"/>
          <w:lang w:val="en-US"/>
        </w:rPr>
        <w:t>”</w:t>
      </w:r>
      <w:r w:rsidRPr="006D3F77">
        <w:rPr>
          <w:rFonts w:ascii="Helvetica" w:hAnsi="Helvetica"/>
          <w:color w:val="000000" w:themeColor="text1"/>
          <w:sz w:val="22"/>
          <w:szCs w:val="22"/>
          <w:lang w:val="en-US"/>
        </w:rPr>
        <w:t xml:space="preserve"> is its flexibility and scalability. The tool can be adapted to the specific needs and circumstances of an institution</w:t>
      </w:r>
      <w:r>
        <w:rPr>
          <w:rFonts w:ascii="Helvetica" w:hAnsi="Helvetica"/>
          <w:color w:val="000000" w:themeColor="text1"/>
          <w:sz w:val="22"/>
          <w:szCs w:val="22"/>
          <w:lang w:val="en-US"/>
        </w:rPr>
        <w:t xml:space="preserve">, </w:t>
      </w:r>
      <w:r w:rsidRPr="006D3F77">
        <w:rPr>
          <w:rFonts w:ascii="Helvetica" w:hAnsi="Helvetica"/>
          <w:color w:val="000000" w:themeColor="text1"/>
          <w:sz w:val="22"/>
          <w:szCs w:val="22"/>
          <w:lang w:val="en-US"/>
        </w:rPr>
        <w:t xml:space="preserve">whether through customized complaint categories, integration with existing systems, or connections to external bodies. This makes it a practical solution for institutions of all sizes and types. At the same time, </w:t>
      </w:r>
      <w:r>
        <w:rPr>
          <w:rFonts w:ascii="Helvetica" w:hAnsi="Helvetica"/>
          <w:color w:val="000000" w:themeColor="text1"/>
          <w:sz w:val="22"/>
          <w:szCs w:val="22"/>
          <w:lang w:val="en-US"/>
        </w:rPr>
        <w:t>“</w:t>
      </w:r>
      <w:proofErr w:type="spellStart"/>
      <w:r w:rsidRPr="006D3F77">
        <w:rPr>
          <w:rFonts w:ascii="Helvetica" w:hAnsi="Helvetica"/>
          <w:color w:val="000000" w:themeColor="text1"/>
          <w:sz w:val="22"/>
          <w:szCs w:val="22"/>
          <w:lang w:val="en-US"/>
        </w:rPr>
        <w:t>VoiceUP</w:t>
      </w:r>
      <w:proofErr w:type="spellEnd"/>
      <w:r>
        <w:rPr>
          <w:rFonts w:ascii="Helvetica" w:hAnsi="Helvetica"/>
          <w:color w:val="000000" w:themeColor="text1"/>
          <w:sz w:val="22"/>
          <w:szCs w:val="22"/>
          <w:lang w:val="en-US"/>
        </w:rPr>
        <w:t>”</w:t>
      </w:r>
      <w:r w:rsidRPr="006D3F77">
        <w:rPr>
          <w:rFonts w:ascii="Helvetica" w:hAnsi="Helvetica"/>
          <w:color w:val="000000" w:themeColor="text1"/>
          <w:sz w:val="22"/>
          <w:szCs w:val="22"/>
          <w:lang w:val="en-US"/>
        </w:rPr>
        <w:t xml:space="preserve"> enables data-driven quality development. By analyzing complaints, institutions can not only respond to acute issues but also identify long-term trends and continuously improve their work.</w:t>
      </w:r>
    </w:p>
    <w:p w14:paraId="51A10884" w14:textId="77D9680E" w:rsidR="006D3F77" w:rsidRPr="006D3F77" w:rsidRDefault="006D3F77" w:rsidP="006D3F77">
      <w:pPr>
        <w:pStyle w:val="StandardWeb"/>
        <w:spacing w:line="360" w:lineRule="auto"/>
        <w:rPr>
          <w:rFonts w:ascii="Helvetica" w:hAnsi="Helvetica"/>
          <w:color w:val="000000" w:themeColor="text1"/>
          <w:sz w:val="22"/>
          <w:szCs w:val="22"/>
          <w:lang w:val="en-US"/>
        </w:rPr>
      </w:pPr>
      <w:r w:rsidRPr="006D3F77">
        <w:rPr>
          <w:rFonts w:ascii="Helvetica" w:hAnsi="Helvetica"/>
          <w:color w:val="000000" w:themeColor="text1"/>
          <w:sz w:val="22"/>
          <w:szCs w:val="22"/>
          <w:lang w:val="en-US"/>
        </w:rPr>
        <w:t xml:space="preserve">In an era where digital solutions are increasingly important, </w:t>
      </w:r>
      <w:r>
        <w:rPr>
          <w:rFonts w:ascii="Helvetica" w:hAnsi="Helvetica"/>
          <w:color w:val="000000" w:themeColor="text1"/>
          <w:sz w:val="22"/>
          <w:szCs w:val="22"/>
          <w:lang w:val="en-US"/>
        </w:rPr>
        <w:t>“</w:t>
      </w:r>
      <w:proofErr w:type="spellStart"/>
      <w:r w:rsidRPr="006D3F77">
        <w:rPr>
          <w:rFonts w:ascii="Helvetica" w:hAnsi="Helvetica"/>
          <w:color w:val="000000" w:themeColor="text1"/>
          <w:sz w:val="22"/>
          <w:szCs w:val="22"/>
          <w:lang w:val="en-US"/>
        </w:rPr>
        <w:t>VoiceUP</w:t>
      </w:r>
      <w:proofErr w:type="spellEnd"/>
      <w:r>
        <w:rPr>
          <w:rFonts w:ascii="Helvetica" w:hAnsi="Helvetica"/>
          <w:color w:val="000000" w:themeColor="text1"/>
          <w:sz w:val="22"/>
          <w:szCs w:val="22"/>
          <w:lang w:val="en-US"/>
        </w:rPr>
        <w:t>”</w:t>
      </w:r>
      <w:r w:rsidRPr="006D3F77">
        <w:rPr>
          <w:rFonts w:ascii="Helvetica" w:hAnsi="Helvetica"/>
          <w:color w:val="000000" w:themeColor="text1"/>
          <w:sz w:val="22"/>
          <w:szCs w:val="22"/>
          <w:lang w:val="en-US"/>
        </w:rPr>
        <w:t xml:space="preserve"> provides a modern and effective response to the challenges of complaint management in youth welfare. It is a tool that not only solves problems but also fosters a culture of openness, respect, and participation. For young people, </w:t>
      </w:r>
      <w:r w:rsidR="00896EB4">
        <w:rPr>
          <w:rFonts w:ascii="Helvetica" w:hAnsi="Helvetica"/>
          <w:color w:val="000000" w:themeColor="text1"/>
          <w:sz w:val="22"/>
          <w:szCs w:val="22"/>
          <w:lang w:val="en-US"/>
        </w:rPr>
        <w:t>“</w:t>
      </w:r>
      <w:proofErr w:type="spellStart"/>
      <w:r w:rsidRPr="006D3F77">
        <w:rPr>
          <w:rFonts w:ascii="Helvetica" w:hAnsi="Helvetica"/>
          <w:color w:val="000000" w:themeColor="text1"/>
          <w:sz w:val="22"/>
          <w:szCs w:val="22"/>
          <w:lang w:val="en-US"/>
        </w:rPr>
        <w:t>VoiceUP</w:t>
      </w:r>
      <w:proofErr w:type="spellEnd"/>
      <w:r w:rsidR="00896EB4">
        <w:rPr>
          <w:rFonts w:ascii="Helvetica" w:hAnsi="Helvetica"/>
          <w:color w:val="000000" w:themeColor="text1"/>
          <w:sz w:val="22"/>
          <w:szCs w:val="22"/>
          <w:lang w:val="en-US"/>
        </w:rPr>
        <w:t>”</w:t>
      </w:r>
      <w:r w:rsidRPr="006D3F77">
        <w:rPr>
          <w:rFonts w:ascii="Helvetica" w:hAnsi="Helvetica"/>
          <w:color w:val="000000" w:themeColor="text1"/>
          <w:sz w:val="22"/>
          <w:szCs w:val="22"/>
          <w:lang w:val="en-US"/>
        </w:rPr>
        <w:t xml:space="preserve"> means the opportunity to raise their voices and </w:t>
      </w:r>
      <w:r w:rsidRPr="006D3F77">
        <w:rPr>
          <w:rFonts w:ascii="Helvetica" w:hAnsi="Helvetica"/>
          <w:color w:val="000000" w:themeColor="text1"/>
          <w:sz w:val="22"/>
          <w:szCs w:val="22"/>
          <w:lang w:val="en-US"/>
        </w:rPr>
        <w:lastRenderedPageBreak/>
        <w:t>be heard. For institutions, it means the chance to improve quality and strengthen the trust of young people. And for youth welfare as a whole, it represents a step toward a </w:t>
      </w:r>
      <w:r w:rsidRPr="006D3F77">
        <w:rPr>
          <w:rFonts w:ascii="Helvetica" w:hAnsi="Helvetica"/>
          <w:b/>
          <w:bCs/>
          <w:color w:val="000000" w:themeColor="text1"/>
          <w:sz w:val="22"/>
          <w:szCs w:val="22"/>
          <w:lang w:val="en-US"/>
        </w:rPr>
        <w:t>l</w:t>
      </w:r>
      <w:r w:rsidRPr="006D3F77">
        <w:rPr>
          <w:rFonts w:ascii="Helvetica" w:hAnsi="Helvetica"/>
          <w:color w:val="000000" w:themeColor="text1"/>
          <w:sz w:val="22"/>
          <w:szCs w:val="22"/>
          <w:lang w:val="en-US"/>
        </w:rPr>
        <w:t>ived democracy where the rights and needs of children and adolescents are at the center.</w:t>
      </w:r>
    </w:p>
    <w:p w14:paraId="29D09568" w14:textId="2950ED5A" w:rsidR="006D3F77" w:rsidRPr="006D3F77" w:rsidRDefault="006D3F77" w:rsidP="006D3F77">
      <w:pPr>
        <w:pStyle w:val="StandardWeb"/>
        <w:spacing w:line="360" w:lineRule="auto"/>
        <w:rPr>
          <w:rFonts w:ascii="Helvetica" w:hAnsi="Helvetica"/>
          <w:color w:val="000000" w:themeColor="text1"/>
          <w:sz w:val="22"/>
          <w:szCs w:val="22"/>
          <w:lang w:val="en-US"/>
        </w:rPr>
      </w:pPr>
      <w:r w:rsidRPr="006D3F77">
        <w:rPr>
          <w:rFonts w:ascii="Helvetica" w:hAnsi="Helvetica"/>
          <w:color w:val="000000" w:themeColor="text1"/>
          <w:sz w:val="22"/>
          <w:szCs w:val="22"/>
          <w:lang w:val="en-US"/>
        </w:rPr>
        <w:t xml:space="preserve">Ultimately, </w:t>
      </w:r>
      <w:r w:rsidR="00896EB4">
        <w:rPr>
          <w:rFonts w:ascii="Helvetica" w:hAnsi="Helvetica"/>
          <w:color w:val="000000" w:themeColor="text1"/>
          <w:sz w:val="22"/>
          <w:szCs w:val="22"/>
          <w:lang w:val="en-US"/>
        </w:rPr>
        <w:t>“</w:t>
      </w:r>
      <w:proofErr w:type="spellStart"/>
      <w:r w:rsidRPr="006D3F77">
        <w:rPr>
          <w:rFonts w:ascii="Helvetica" w:hAnsi="Helvetica"/>
          <w:color w:val="000000" w:themeColor="text1"/>
          <w:sz w:val="22"/>
          <w:szCs w:val="22"/>
          <w:lang w:val="en-US"/>
        </w:rPr>
        <w:t>VoiceUP</w:t>
      </w:r>
      <w:proofErr w:type="spellEnd"/>
      <w:r w:rsidR="00896EB4">
        <w:rPr>
          <w:rFonts w:ascii="Helvetica" w:hAnsi="Helvetica"/>
          <w:color w:val="000000" w:themeColor="text1"/>
          <w:sz w:val="22"/>
          <w:szCs w:val="22"/>
          <w:lang w:val="en-US"/>
        </w:rPr>
        <w:t>”</w:t>
      </w:r>
      <w:r w:rsidRPr="006D3F77">
        <w:rPr>
          <w:rFonts w:ascii="Helvetica" w:hAnsi="Helvetica"/>
          <w:color w:val="000000" w:themeColor="text1"/>
          <w:sz w:val="22"/>
          <w:szCs w:val="22"/>
          <w:lang w:val="en-US"/>
        </w:rPr>
        <w:t xml:space="preserve"> demonstrates that complaint management does not have to be a necessary evil but can be an opportunity to make youth welfare better, safer, and more participatory. It is a tool that not only meets legal requirements but exceeds them by giving young people a real voice and supporting institutions in continuously improving their work.</w:t>
      </w:r>
    </w:p>
    <w:p w14:paraId="0F454B10" w14:textId="272E7CC1" w:rsidR="00F34F38" w:rsidRPr="008B7918" w:rsidRDefault="00F34F38" w:rsidP="00F34F38">
      <w:pPr>
        <w:pStyle w:val="berschrift1"/>
        <w:spacing w:before="400" w:after="240"/>
        <w:rPr>
          <w:rFonts w:ascii="Helvetica" w:hAnsi="Helvetica"/>
          <w:lang w:val="en-US"/>
        </w:rPr>
      </w:pPr>
      <w:bookmarkStart w:id="5" w:name="_Toc237288068"/>
      <w:r w:rsidRPr="008B7918">
        <w:rPr>
          <w:rFonts w:ascii="Helvetica" w:eastAsia="Calibri" w:hAnsi="Helvetica" w:cs="Calibri"/>
          <w:b/>
          <w:bCs/>
          <w:sz w:val="32"/>
          <w:szCs w:val="32"/>
          <w:lang w:val="en-US"/>
        </w:rPr>
        <w:t xml:space="preserve">Stakeholder </w:t>
      </w:r>
      <w:r w:rsidR="00F20B08">
        <w:rPr>
          <w:rFonts w:ascii="Helvetica" w:eastAsia="Calibri" w:hAnsi="Helvetica" w:cs="Calibri"/>
          <w:b/>
          <w:bCs/>
          <w:sz w:val="32"/>
          <w:szCs w:val="32"/>
          <w:lang w:val="en-US"/>
        </w:rPr>
        <w:t>a</w:t>
      </w:r>
      <w:r w:rsidRPr="008B7918">
        <w:rPr>
          <w:rFonts w:ascii="Helvetica" w:eastAsia="Calibri" w:hAnsi="Helvetica" w:cs="Calibri"/>
          <w:b/>
          <w:bCs/>
          <w:sz w:val="32"/>
          <w:szCs w:val="32"/>
          <w:lang w:val="en-US"/>
        </w:rPr>
        <w:t xml:space="preserve">nalysis: Who </w:t>
      </w:r>
      <w:r w:rsidR="00F20B08">
        <w:rPr>
          <w:rFonts w:ascii="Helvetica" w:eastAsia="Calibri" w:hAnsi="Helvetica" w:cs="Calibri"/>
          <w:b/>
          <w:bCs/>
          <w:sz w:val="32"/>
          <w:szCs w:val="32"/>
          <w:lang w:val="en-US"/>
        </w:rPr>
        <w:t>b</w:t>
      </w:r>
      <w:r w:rsidRPr="008B7918">
        <w:rPr>
          <w:rFonts w:ascii="Helvetica" w:eastAsia="Calibri" w:hAnsi="Helvetica" w:cs="Calibri"/>
          <w:b/>
          <w:bCs/>
          <w:sz w:val="32"/>
          <w:szCs w:val="32"/>
          <w:lang w:val="en-US"/>
        </w:rPr>
        <w:t xml:space="preserve">enefits </w:t>
      </w:r>
      <w:r w:rsidR="00F20B08">
        <w:rPr>
          <w:rFonts w:ascii="Helvetica" w:eastAsia="Calibri" w:hAnsi="Helvetica" w:cs="Calibri"/>
          <w:b/>
          <w:bCs/>
          <w:sz w:val="32"/>
          <w:szCs w:val="32"/>
          <w:lang w:val="en-US"/>
        </w:rPr>
        <w:t>m</w:t>
      </w:r>
      <w:r w:rsidRPr="008B7918">
        <w:rPr>
          <w:rFonts w:ascii="Helvetica" w:eastAsia="Calibri" w:hAnsi="Helvetica" w:cs="Calibri"/>
          <w:b/>
          <w:bCs/>
          <w:sz w:val="32"/>
          <w:szCs w:val="32"/>
          <w:lang w:val="en-US"/>
        </w:rPr>
        <w:t xml:space="preserve">ost from </w:t>
      </w:r>
      <w:r w:rsidR="00896EB4" w:rsidRPr="008B7918">
        <w:rPr>
          <w:rFonts w:ascii="Helvetica" w:eastAsia="Calibri" w:hAnsi="Helvetica" w:cs="Calibri"/>
          <w:b/>
          <w:bCs/>
          <w:sz w:val="32"/>
          <w:szCs w:val="32"/>
          <w:lang w:val="en-US"/>
        </w:rPr>
        <w:t>“</w:t>
      </w:r>
      <w:proofErr w:type="spellStart"/>
      <w:r w:rsidRPr="008B7918">
        <w:rPr>
          <w:rFonts w:ascii="Helvetica" w:eastAsia="Calibri" w:hAnsi="Helvetica" w:cs="Calibri"/>
          <w:b/>
          <w:bCs/>
          <w:sz w:val="32"/>
          <w:szCs w:val="32"/>
          <w:lang w:val="en-US"/>
        </w:rPr>
        <w:t>VoiceUP</w:t>
      </w:r>
      <w:proofErr w:type="spellEnd"/>
      <w:r w:rsidR="00896EB4" w:rsidRPr="008B7918">
        <w:rPr>
          <w:rFonts w:ascii="Helvetica" w:eastAsia="Calibri" w:hAnsi="Helvetica" w:cs="Calibri"/>
          <w:b/>
          <w:bCs/>
          <w:sz w:val="32"/>
          <w:szCs w:val="32"/>
          <w:lang w:val="en-US"/>
        </w:rPr>
        <w:t>”</w:t>
      </w:r>
      <w:r w:rsidRPr="008B7918">
        <w:rPr>
          <w:rFonts w:ascii="Helvetica" w:eastAsia="Calibri" w:hAnsi="Helvetica" w:cs="Calibri"/>
          <w:b/>
          <w:bCs/>
          <w:sz w:val="32"/>
          <w:szCs w:val="32"/>
          <w:lang w:val="en-US"/>
        </w:rPr>
        <w:t>?</w:t>
      </w:r>
      <w:bookmarkEnd w:id="5"/>
    </w:p>
    <w:p w14:paraId="705D6972" w14:textId="49FBF983" w:rsidR="00F34F38" w:rsidRPr="008B7918" w:rsidRDefault="00F34F38" w:rsidP="00F34F38">
      <w:pPr>
        <w:spacing w:after="200" w:line="360" w:lineRule="auto"/>
        <w:jc w:val="both"/>
        <w:rPr>
          <w:rFonts w:ascii="Helvetica" w:eastAsia="Times New Roman" w:hAnsi="Helvetica" w:cs="Times New Roman"/>
          <w:color w:val="000000" w:themeColor="text1"/>
          <w:kern w:val="0"/>
          <w:sz w:val="22"/>
          <w:szCs w:val="22"/>
          <w:lang w:val="en-US" w:eastAsia="de-DE"/>
          <w14:ligatures w14:val="none"/>
        </w:rPr>
      </w:pPr>
      <w:r w:rsidRPr="008B7918">
        <w:rPr>
          <w:rFonts w:ascii="Helvetica" w:eastAsia="Times New Roman" w:hAnsi="Helvetica" w:cs="Times New Roman"/>
          <w:color w:val="000000" w:themeColor="text1"/>
          <w:kern w:val="0"/>
          <w:sz w:val="22"/>
          <w:szCs w:val="22"/>
          <w:lang w:val="en-US" w:eastAsia="de-DE"/>
          <w14:ligatures w14:val="none"/>
        </w:rPr>
        <w:t xml:space="preserve">Before elaborating on the individual building blocks of the Business Model Canvas, it is necessary to clarify a distinction that raised as a central question during the development of this paper: who is the customer of </w:t>
      </w:r>
      <w:r w:rsidR="00896EB4"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896EB4"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and who is its beneficiary? In many social enterprises, and </w:t>
      </w:r>
      <w:r w:rsidR="00896EB4"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896EB4"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is no exception, these two roles fall to different actors. The institution that signs the license agreement is not the same entity that experiences the everyday value of the product. Untangling this distinction is not a mere academic exercise; it determines how the value propositions, channels, and customer relationships in the Business Model Canvas must be designed, because a single, undifferentiated value proposition risks satisfying neither party fully. The following stakeholder analysis therefore examines the different groups touched by </w:t>
      </w:r>
      <w:r w:rsidR="00896EB4"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896EB4"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before returning to the question of who ultimately benefits most.</w:t>
      </w:r>
    </w:p>
    <w:p w14:paraId="798CC045" w14:textId="77777777" w:rsidR="00970EBB" w:rsidRDefault="00970EBB" w:rsidP="00F34F38">
      <w:pPr>
        <w:spacing w:after="200" w:line="360" w:lineRule="auto"/>
        <w:jc w:val="both"/>
        <w:rPr>
          <w:rFonts w:ascii="Calibri" w:eastAsia="Calibri" w:hAnsi="Calibri" w:cs="Calibri"/>
          <w:lang w:val="en-US"/>
        </w:rPr>
      </w:pPr>
    </w:p>
    <w:p w14:paraId="700A12BF" w14:textId="77777777" w:rsidR="00970EBB" w:rsidRDefault="00970EBB" w:rsidP="00970EBB">
      <w:pPr>
        <w:keepNext/>
        <w:spacing w:after="200" w:line="360" w:lineRule="auto"/>
        <w:jc w:val="both"/>
      </w:pPr>
      <w:r>
        <w:rPr>
          <w:noProof/>
          <w:lang w:val="en-US"/>
        </w:rPr>
        <w:lastRenderedPageBreak/>
        <w:drawing>
          <wp:inline distT="0" distB="0" distL="0" distR="0" wp14:anchorId="6D43A513" wp14:editId="171CA22B">
            <wp:extent cx="5760720" cy="3642995"/>
            <wp:effectExtent l="0" t="0" r="0" b="0"/>
            <wp:docPr id="48809893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98933" name="Grafik 4880989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642995"/>
                    </a:xfrm>
                    <a:prstGeom prst="rect">
                      <a:avLst/>
                    </a:prstGeom>
                  </pic:spPr>
                </pic:pic>
              </a:graphicData>
            </a:graphic>
          </wp:inline>
        </w:drawing>
      </w:r>
    </w:p>
    <w:p w14:paraId="012C15EC" w14:textId="2EFD301B" w:rsidR="00970EBB" w:rsidRPr="008B7918" w:rsidRDefault="00970EBB" w:rsidP="00970EBB">
      <w:pPr>
        <w:pStyle w:val="Beschriftung"/>
        <w:jc w:val="both"/>
        <w:rPr>
          <w:rFonts w:ascii="Helvetica" w:hAnsi="Helvetica"/>
          <w:lang w:val="en-US"/>
        </w:rPr>
      </w:pPr>
      <w:bookmarkStart w:id="6" w:name="_Toc237084255"/>
      <w:r w:rsidRPr="00125877">
        <w:rPr>
          <w:rFonts w:ascii="Helvetica" w:hAnsi="Helvetica"/>
          <w:lang w:val="en-US"/>
        </w:rPr>
        <w:t xml:space="preserve">Figure </w:t>
      </w:r>
      <w:r w:rsidRPr="008B7918">
        <w:rPr>
          <w:rFonts w:ascii="Helvetica" w:hAnsi="Helvetica"/>
        </w:rPr>
        <w:fldChar w:fldCharType="begin"/>
      </w:r>
      <w:r w:rsidRPr="00125877">
        <w:rPr>
          <w:rFonts w:ascii="Helvetica" w:hAnsi="Helvetica"/>
          <w:lang w:val="en-US"/>
        </w:rPr>
        <w:instrText xml:space="preserve"> SEQ Figure \* ARABIC </w:instrText>
      </w:r>
      <w:r w:rsidRPr="008B7918">
        <w:rPr>
          <w:rFonts w:ascii="Helvetica" w:hAnsi="Helvetica"/>
        </w:rPr>
        <w:fldChar w:fldCharType="separate"/>
      </w:r>
      <w:r w:rsidRPr="00125877">
        <w:rPr>
          <w:rFonts w:ascii="Helvetica" w:hAnsi="Helvetica"/>
          <w:noProof/>
          <w:lang w:val="en-US"/>
        </w:rPr>
        <w:t>1</w:t>
      </w:r>
      <w:r w:rsidRPr="008B7918">
        <w:rPr>
          <w:rFonts w:ascii="Helvetica" w:hAnsi="Helvetica"/>
        </w:rPr>
        <w:fldChar w:fldCharType="end"/>
      </w:r>
      <w:r w:rsidRPr="00125877">
        <w:rPr>
          <w:rFonts w:ascii="Helvetica" w:hAnsi="Helvetica"/>
          <w:lang w:val="en-US"/>
        </w:rPr>
        <w:t>Stakeholder diagram</w:t>
      </w:r>
      <w:bookmarkEnd w:id="6"/>
    </w:p>
    <w:p w14:paraId="0A77A0DF" w14:textId="04C2AB1B" w:rsidR="00125877" w:rsidRDefault="00125877" w:rsidP="00125877">
      <w:pPr>
        <w:pStyle w:val="berschrift2"/>
        <w:rPr>
          <w:rFonts w:eastAsia="Times New Roman"/>
          <w:lang w:val="en-US" w:eastAsia="de-DE"/>
        </w:rPr>
      </w:pPr>
      <w:bookmarkStart w:id="7" w:name="_Toc237288069"/>
      <w:r>
        <w:rPr>
          <w:rFonts w:eastAsia="Times New Roman"/>
          <w:lang w:val="en-US" w:eastAsia="de-DE"/>
        </w:rPr>
        <w:t>Young people main beneficiaries</w:t>
      </w:r>
      <w:bookmarkEnd w:id="7"/>
    </w:p>
    <w:p w14:paraId="4AC38E20" w14:textId="23C8E685" w:rsidR="00125877" w:rsidRDefault="00F34F38" w:rsidP="00F34F38">
      <w:pPr>
        <w:spacing w:after="200" w:line="360" w:lineRule="auto"/>
        <w:jc w:val="both"/>
        <w:rPr>
          <w:rFonts w:ascii="Helvetica" w:eastAsia="Times New Roman" w:hAnsi="Helvetica" w:cs="Times New Roman"/>
          <w:color w:val="000000" w:themeColor="text1"/>
          <w:kern w:val="0"/>
          <w:sz w:val="22"/>
          <w:szCs w:val="22"/>
          <w:lang w:val="en-US" w:eastAsia="de-DE"/>
          <w14:ligatures w14:val="none"/>
        </w:rPr>
      </w:pPr>
      <w:r w:rsidRPr="008B7918">
        <w:rPr>
          <w:rFonts w:ascii="Helvetica" w:eastAsia="Times New Roman" w:hAnsi="Helvetica" w:cs="Times New Roman"/>
          <w:color w:val="000000" w:themeColor="text1"/>
          <w:kern w:val="0"/>
          <w:sz w:val="22"/>
          <w:szCs w:val="22"/>
          <w:lang w:val="en-US" w:eastAsia="de-DE"/>
          <w14:ligatures w14:val="none"/>
        </w:rPr>
        <w:t xml:space="preserve">The most direct beneficiaries of </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Pr="008B7918">
        <w:rPr>
          <w:rFonts w:ascii="Helvetica" w:eastAsia="Times New Roman" w:hAnsi="Helvetica" w:cs="Times New Roman"/>
          <w:color w:val="000000" w:themeColor="text1"/>
          <w:kern w:val="0"/>
          <w:sz w:val="22"/>
          <w:szCs w:val="22"/>
          <w:lang w:val="en-US" w:eastAsia="de-DE"/>
          <w14:ligatures w14:val="none"/>
        </w:rPr>
        <w:t xml:space="preserve"> are the young people living in residential homes, boarding schools, and foster care networks, the customer segments identified in the Business Model Canvas. For them, </w:t>
      </w:r>
      <w:r w:rsidR="00896EB4"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896EB4"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translates into concrete, lived experience: the ability to raise a complaint anonymously and without fear of retaliation, the certainty that a submitted concern will actually be tracked and answered, and the structural protection that comes from linking the platform to independent ombudsman offices. As the Introduction argues, the current system frequently produces learned helplessness, where young people stop voicing concerns because they have come to expect that nothing will change. </w:t>
      </w:r>
      <w:r w:rsidR="00896EB4"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896EB4"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directly targets this psychological and structural barrier. Yet this group holds no purchasing power. They do not sign contracts, they do not evaluate return on investment, and they are, in the strict business-model sense, not customers at all. They are what Kristin Bell's question describes as beneficiaries: the party for whom the value proposition is ultimately created, but who is absent from the commercial transaction.</w:t>
      </w:r>
      <w:r w:rsidR="00896EB4" w:rsidRPr="008B7918">
        <w:rPr>
          <w:rFonts w:ascii="Helvetica" w:eastAsia="Times New Roman" w:hAnsi="Helvetica" w:cs="Times New Roman"/>
          <w:color w:val="000000" w:themeColor="text1"/>
          <w:kern w:val="0"/>
          <w:sz w:val="22"/>
          <w:szCs w:val="22"/>
          <w:lang w:val="en-US" w:eastAsia="de-DE"/>
          <w14:ligatures w14:val="none"/>
        </w:rPr>
        <w:t xml:space="preserve"> They are what could be described as beneficiaries: the party for whom the value proposition is ultimately created, but who is absent from the commercial transaction</w:t>
      </w:r>
    </w:p>
    <w:p w14:paraId="129D0A78" w14:textId="38432FAC" w:rsidR="00125877" w:rsidRPr="008B7918" w:rsidRDefault="00125877" w:rsidP="00125877">
      <w:pPr>
        <w:pStyle w:val="berschrift2"/>
        <w:rPr>
          <w:rFonts w:eastAsia="Times New Roman"/>
          <w:lang w:val="en-US" w:eastAsia="de-DE"/>
        </w:rPr>
      </w:pPr>
      <w:bookmarkStart w:id="8" w:name="_Toc237288070"/>
      <w:r>
        <w:rPr>
          <w:rFonts w:eastAsia="Times New Roman"/>
          <w:lang w:val="en-US" w:eastAsia="de-DE"/>
        </w:rPr>
        <w:lastRenderedPageBreak/>
        <w:t>The paying customer</w:t>
      </w:r>
      <w:bookmarkEnd w:id="8"/>
      <w:r>
        <w:rPr>
          <w:rFonts w:eastAsia="Times New Roman"/>
          <w:lang w:val="en-US" w:eastAsia="de-DE"/>
        </w:rPr>
        <w:t xml:space="preserve"> </w:t>
      </w:r>
    </w:p>
    <w:p w14:paraId="6F803A02" w14:textId="7A0A8E36" w:rsidR="00F34F38" w:rsidRPr="008B7918" w:rsidRDefault="00F34F38" w:rsidP="00F34F38">
      <w:pPr>
        <w:spacing w:after="200" w:line="360" w:lineRule="auto"/>
        <w:jc w:val="both"/>
        <w:rPr>
          <w:rFonts w:ascii="Helvetica" w:eastAsia="Times New Roman" w:hAnsi="Helvetica" w:cs="Times New Roman"/>
          <w:color w:val="000000" w:themeColor="text1"/>
          <w:kern w:val="0"/>
          <w:sz w:val="22"/>
          <w:szCs w:val="22"/>
          <w:lang w:val="en-US" w:eastAsia="de-DE"/>
          <w14:ligatures w14:val="none"/>
        </w:rPr>
      </w:pPr>
      <w:r w:rsidRPr="008B7918">
        <w:rPr>
          <w:rFonts w:ascii="Helvetica" w:eastAsia="Times New Roman" w:hAnsi="Helvetica" w:cs="Times New Roman"/>
          <w:color w:val="000000" w:themeColor="text1"/>
          <w:kern w:val="0"/>
          <w:sz w:val="22"/>
          <w:szCs w:val="22"/>
          <w:lang w:val="en-US" w:eastAsia="de-DE"/>
          <w14:ligatures w14:val="none"/>
        </w:rPr>
        <w:t xml:space="preserve">The commercial relationship instead runs through the providers and institutions of child and youth welfare services, listed in the Business Model Canvas as the customer segment that purchases licenses. Their motivation to adopt </w:t>
      </w:r>
      <w:r w:rsidR="00896EB4"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896EB4"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differs meaningfully from that of the young people it serves. Institutions benefit primarily through risk reduction and legal security: demonstrable compliance with § 45 SGB VIII, a documented and auditable complaint process that can be presented to oversight bodies, and protection against reputational damage should misconduct come to light. They also benefit operationally, since a structured digital tool relieves staff of ad-hoc, poorly documented complaint handling and provides management with aggregated data on recurring problems, whether tied to specific staff members, locations, or organizational routines. These are real and substantial benefits, but they are, in essence, defensive and administrative rather than experiential. An institution does not feel heard the way a young person does when submitting a complaint; it feels protected, compliant, and better informed. This implies that the Business Model Canvas needs two parallel value propositions rather than one: a value proposition of voice and protection for young people, and a value proposition of compliance, trust-building, and quality management for institutions.</w:t>
      </w:r>
      <w:r w:rsidR="00896EB4" w:rsidRPr="008B7918">
        <w:rPr>
          <w:rFonts w:ascii="Helvetica" w:eastAsia="Times New Roman" w:hAnsi="Helvetica" w:cs="Times New Roman"/>
          <w:color w:val="000000" w:themeColor="text1"/>
          <w:kern w:val="0"/>
          <w:sz w:val="22"/>
          <w:szCs w:val="22"/>
          <w:lang w:val="en-US" w:eastAsia="de-DE"/>
          <w14:ligatures w14:val="none"/>
        </w:rPr>
        <w:t xml:space="preserve"> </w:t>
      </w:r>
    </w:p>
    <w:p w14:paraId="253E635A" w14:textId="31FFB087" w:rsidR="00F34F38" w:rsidRDefault="00F34F38" w:rsidP="00F34F38">
      <w:pPr>
        <w:spacing w:after="200" w:line="360" w:lineRule="auto"/>
        <w:jc w:val="both"/>
        <w:rPr>
          <w:rFonts w:ascii="Helvetica" w:eastAsia="Times New Roman" w:hAnsi="Helvetica" w:cs="Times New Roman"/>
          <w:color w:val="000000" w:themeColor="text1"/>
          <w:kern w:val="0"/>
          <w:sz w:val="22"/>
          <w:szCs w:val="22"/>
          <w:lang w:val="en-US" w:eastAsia="de-DE"/>
          <w14:ligatures w14:val="none"/>
        </w:rPr>
      </w:pPr>
      <w:r w:rsidRPr="008B7918">
        <w:rPr>
          <w:rFonts w:ascii="Helvetica" w:eastAsia="Times New Roman" w:hAnsi="Helvetica" w:cs="Times New Roman"/>
          <w:color w:val="000000" w:themeColor="text1"/>
          <w:kern w:val="0"/>
          <w:sz w:val="22"/>
          <w:szCs w:val="22"/>
          <w:lang w:val="en-US" w:eastAsia="de-DE"/>
          <w14:ligatures w14:val="none"/>
        </w:rPr>
        <w:t xml:space="preserve">This distinction also has direct implications for identifying early adopters, a further question raised in the feedback on this project. Not every institution is equally motivated to adopt a new participation tool before others do. Providers with a comparatively strong existing culture of participation, or those that have recently faced scrutiny, public criticism, or a critical incident related to complaint handling, are structurally more likely to see the value of </w:t>
      </w:r>
      <w:r w:rsidR="00896EB4"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896EB4"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early. For such organizations, the cost of inaction, in reputational, legal, or human terms, is more salient than for providers who have not yet experienced a failure of their existing system. Institutions undergoing license renewal or preparing for an oversight review are similarly plausible early adopters, since </w:t>
      </w:r>
      <w:r w:rsidR="00896EB4"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896EB4"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directly addresses the documentation requirements tied to § 45 SGB VIII. This suggests that early market entry should be targeted not at the entire population of youth welfare providers, but at this narrower group for whom the status quo is visibly failing or under active scrutiny.</w:t>
      </w:r>
    </w:p>
    <w:p w14:paraId="61C9A40D" w14:textId="1D844E6E" w:rsidR="00114301" w:rsidRPr="008B7918" w:rsidRDefault="00114301" w:rsidP="00114301">
      <w:pPr>
        <w:pStyle w:val="berschrift2"/>
        <w:rPr>
          <w:rFonts w:eastAsia="Times New Roman"/>
          <w:lang w:val="en-US" w:eastAsia="de-DE"/>
        </w:rPr>
      </w:pPr>
      <w:bookmarkStart w:id="9" w:name="_Toc237288071"/>
      <w:r>
        <w:rPr>
          <w:rFonts w:eastAsia="Times New Roman"/>
          <w:lang w:val="en-US" w:eastAsia="de-DE"/>
        </w:rPr>
        <w:t>Youth welfare offices and governmental oversight bodies</w:t>
      </w:r>
      <w:bookmarkEnd w:id="9"/>
    </w:p>
    <w:p w14:paraId="65763A80" w14:textId="536313FD" w:rsidR="00F34F38" w:rsidRDefault="00F34F38" w:rsidP="00F34F38">
      <w:pPr>
        <w:spacing w:after="200" w:line="360" w:lineRule="auto"/>
        <w:jc w:val="both"/>
        <w:rPr>
          <w:rFonts w:ascii="Helvetica" w:eastAsia="Times New Roman" w:hAnsi="Helvetica" w:cs="Times New Roman"/>
          <w:color w:val="000000" w:themeColor="text1"/>
          <w:kern w:val="0"/>
          <w:sz w:val="22"/>
          <w:szCs w:val="22"/>
          <w:lang w:val="en-US" w:eastAsia="de-DE"/>
          <w14:ligatures w14:val="none"/>
        </w:rPr>
      </w:pPr>
      <w:r w:rsidRPr="008B7918">
        <w:rPr>
          <w:rFonts w:ascii="Helvetica" w:eastAsia="Times New Roman" w:hAnsi="Helvetica" w:cs="Times New Roman"/>
          <w:color w:val="000000" w:themeColor="text1"/>
          <w:kern w:val="0"/>
          <w:sz w:val="22"/>
          <w:szCs w:val="22"/>
          <w:lang w:val="en-US" w:eastAsia="de-DE"/>
          <w14:ligatures w14:val="none"/>
        </w:rPr>
        <w:t xml:space="preserve">A third stakeholder group, closely tied to the customer segment but distinct from it in role, consists of the regional youth welfare offices and governmental oversight bodies that appear in the Business Model Canvas as key partners. These bodies benefit from </w:t>
      </w:r>
      <w:r w:rsidR="00896EB4"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896EB4"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indirectly but significantly: rather than relying on informal, paper-based evidence that institutions are honoring their participation obligations, they gain access to a structured, verifiable record of </w:t>
      </w:r>
      <w:r w:rsidRPr="008B7918">
        <w:rPr>
          <w:rFonts w:ascii="Helvetica" w:eastAsia="Times New Roman" w:hAnsi="Helvetica" w:cs="Times New Roman"/>
          <w:color w:val="000000" w:themeColor="text1"/>
          <w:kern w:val="0"/>
          <w:sz w:val="22"/>
          <w:szCs w:val="22"/>
          <w:lang w:val="en-US" w:eastAsia="de-DE"/>
          <w14:ligatures w14:val="none"/>
        </w:rPr>
        <w:lastRenderedPageBreak/>
        <w:t>complaint handling. This can streamline the licensing and review process itself and strengthen the credibility of the sector as a whole. Because these offices are also referenced in the Business Model Canvas as a prospective channel for referrals, their institutional endorsement could function as a powerful trust signal that lowers the perceived risk for individual providers considering adoption. In this sense, youth welfare offices occupy a hybrid position: they are neither the paying customer nor the direct beneficiary, but a gatekeeper whose approval materially affects both.</w:t>
      </w:r>
    </w:p>
    <w:p w14:paraId="5A19DDF7" w14:textId="1507889C" w:rsidR="00114301" w:rsidRPr="008B7918" w:rsidRDefault="00114301" w:rsidP="00114301">
      <w:pPr>
        <w:pStyle w:val="berschrift2"/>
        <w:rPr>
          <w:rFonts w:eastAsia="Times New Roman"/>
          <w:lang w:val="en-US" w:eastAsia="de-DE"/>
        </w:rPr>
      </w:pPr>
      <w:bookmarkStart w:id="10" w:name="_Toc237288072"/>
      <w:r>
        <w:rPr>
          <w:rFonts w:eastAsia="Times New Roman"/>
          <w:lang w:val="en-US" w:eastAsia="de-DE"/>
        </w:rPr>
        <w:t xml:space="preserve">Ombudsman offices and </w:t>
      </w:r>
      <w:proofErr w:type="spellStart"/>
      <w:r>
        <w:rPr>
          <w:rFonts w:eastAsia="Times New Roman"/>
          <w:lang w:val="en-US" w:eastAsia="de-DE"/>
        </w:rPr>
        <w:t>careleaver</w:t>
      </w:r>
      <w:proofErr w:type="spellEnd"/>
      <w:r>
        <w:rPr>
          <w:rFonts w:eastAsia="Times New Roman"/>
          <w:lang w:val="en-US" w:eastAsia="de-DE"/>
        </w:rPr>
        <w:t xml:space="preserve"> networks</w:t>
      </w:r>
      <w:bookmarkEnd w:id="10"/>
    </w:p>
    <w:p w14:paraId="03AF334B" w14:textId="3DE1292A" w:rsidR="00F34F38" w:rsidRDefault="00F34F38" w:rsidP="00F34F38">
      <w:pPr>
        <w:spacing w:after="200" w:line="360" w:lineRule="auto"/>
        <w:jc w:val="both"/>
        <w:rPr>
          <w:rFonts w:ascii="Helvetica" w:eastAsia="Times New Roman" w:hAnsi="Helvetica" w:cs="Times New Roman"/>
          <w:color w:val="000000" w:themeColor="text1"/>
          <w:kern w:val="0"/>
          <w:sz w:val="22"/>
          <w:szCs w:val="22"/>
          <w:lang w:val="en-US" w:eastAsia="de-DE"/>
          <w14:ligatures w14:val="none"/>
        </w:rPr>
      </w:pPr>
      <w:r w:rsidRPr="008B7918">
        <w:rPr>
          <w:rFonts w:ascii="Helvetica" w:eastAsia="Times New Roman" w:hAnsi="Helvetica" w:cs="Times New Roman"/>
          <w:color w:val="000000" w:themeColor="text1"/>
          <w:kern w:val="0"/>
          <w:sz w:val="22"/>
          <w:szCs w:val="22"/>
          <w:lang w:val="en-US" w:eastAsia="de-DE"/>
          <w14:ligatures w14:val="none"/>
        </w:rPr>
        <w:t xml:space="preserve">Ombudsman offices and </w:t>
      </w:r>
      <w:proofErr w:type="spellStart"/>
      <w:r w:rsidRPr="008B7918">
        <w:rPr>
          <w:rFonts w:ascii="Helvetica" w:eastAsia="Times New Roman" w:hAnsi="Helvetica" w:cs="Times New Roman"/>
          <w:color w:val="000000" w:themeColor="text1"/>
          <w:kern w:val="0"/>
          <w:sz w:val="22"/>
          <w:szCs w:val="22"/>
          <w:lang w:val="en-US" w:eastAsia="de-DE"/>
          <w14:ligatures w14:val="none"/>
        </w:rPr>
        <w:t>careleaver</w:t>
      </w:r>
      <w:proofErr w:type="spellEnd"/>
      <w:r w:rsidRPr="008B7918">
        <w:rPr>
          <w:rFonts w:ascii="Helvetica" w:eastAsia="Times New Roman" w:hAnsi="Helvetica" w:cs="Times New Roman"/>
          <w:color w:val="000000" w:themeColor="text1"/>
          <w:kern w:val="0"/>
          <w:sz w:val="22"/>
          <w:szCs w:val="22"/>
          <w:lang w:val="en-US" w:eastAsia="de-DE"/>
          <w14:ligatures w14:val="none"/>
        </w:rPr>
        <w:t xml:space="preserve"> networks, also listed as key partners in the Business Model Canvas, form a fourth stakeholder group with a more specialized interest. For these actors, </w:t>
      </w:r>
      <w:r w:rsidR="00896EB4"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896EB4"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offers a structured channel through which previously informal or fragmented complaints can reach them in a documented, traceable form, strengthening the legitimacy and reach of their independent role. </w:t>
      </w:r>
      <w:proofErr w:type="spellStart"/>
      <w:r w:rsidRPr="008B7918">
        <w:rPr>
          <w:rFonts w:ascii="Helvetica" w:eastAsia="Times New Roman" w:hAnsi="Helvetica" w:cs="Times New Roman"/>
          <w:color w:val="000000" w:themeColor="text1"/>
          <w:kern w:val="0"/>
          <w:sz w:val="22"/>
          <w:szCs w:val="22"/>
          <w:lang w:val="en-US" w:eastAsia="de-DE"/>
          <w14:ligatures w14:val="none"/>
        </w:rPr>
        <w:t>Careleavers</w:t>
      </w:r>
      <w:proofErr w:type="spellEnd"/>
      <w:r w:rsidRPr="008B7918">
        <w:rPr>
          <w:rFonts w:ascii="Helvetica" w:eastAsia="Times New Roman" w:hAnsi="Helvetica" w:cs="Times New Roman"/>
          <w:color w:val="000000" w:themeColor="text1"/>
          <w:kern w:val="0"/>
          <w:sz w:val="22"/>
          <w:szCs w:val="22"/>
          <w:lang w:val="en-US" w:eastAsia="de-DE"/>
          <w14:ligatures w14:val="none"/>
        </w:rPr>
        <w:t xml:space="preserve">, who bring lived experience of the very system </w:t>
      </w:r>
      <w:r w:rsidR="00896EB4"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896EB4"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seeks to reform, additionally represent a valuable resource for co-design, ensuring the platform reflects the practical realities of young people rather than an institutional assumption of what they need.</w:t>
      </w:r>
    </w:p>
    <w:p w14:paraId="27E70425" w14:textId="7CDF9EE8" w:rsidR="00114301" w:rsidRPr="008B7918" w:rsidRDefault="00114301" w:rsidP="00114301">
      <w:pPr>
        <w:pStyle w:val="berschrift2"/>
        <w:rPr>
          <w:rFonts w:eastAsia="Times New Roman"/>
          <w:lang w:val="en-US" w:eastAsia="de-DE"/>
        </w:rPr>
      </w:pPr>
      <w:bookmarkStart w:id="11" w:name="_Toc237288073"/>
      <w:r>
        <w:rPr>
          <w:rFonts w:eastAsia="Times New Roman"/>
          <w:lang w:val="en-US" w:eastAsia="de-DE"/>
        </w:rPr>
        <w:t>Ambivalent stakeholders</w:t>
      </w:r>
      <w:bookmarkEnd w:id="11"/>
    </w:p>
    <w:p w14:paraId="734F8236" w14:textId="19DCA29F" w:rsidR="00F34F38" w:rsidRDefault="00F34F38" w:rsidP="00F34F38">
      <w:pPr>
        <w:spacing w:after="200" w:line="360" w:lineRule="auto"/>
        <w:jc w:val="both"/>
        <w:rPr>
          <w:rFonts w:ascii="Helvetica" w:eastAsia="Times New Roman" w:hAnsi="Helvetica" w:cs="Times New Roman"/>
          <w:color w:val="000000" w:themeColor="text1"/>
          <w:kern w:val="0"/>
          <w:sz w:val="22"/>
          <w:szCs w:val="22"/>
          <w:lang w:val="en-US" w:eastAsia="de-DE"/>
          <w14:ligatures w14:val="none"/>
        </w:rPr>
      </w:pPr>
      <w:r w:rsidRPr="008B7918">
        <w:rPr>
          <w:rFonts w:ascii="Helvetica" w:eastAsia="Times New Roman" w:hAnsi="Helvetica" w:cs="Times New Roman"/>
          <w:color w:val="000000" w:themeColor="text1"/>
          <w:kern w:val="0"/>
          <w:sz w:val="22"/>
          <w:szCs w:val="22"/>
          <w:lang w:val="en-US" w:eastAsia="de-DE"/>
          <w14:ligatures w14:val="none"/>
        </w:rPr>
        <w:t xml:space="preserve">Finally, the staff members who work directly with young people constitute a stakeholder group whose relationship to </w:t>
      </w:r>
      <w:r w:rsidR="00896EB4"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896EB4"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is more ambivalent than the others. On one hand, the paper argues that a structured complaint tool relieves staff by giving them a clear, accountable process to follow rather than leaving them to manage sensitive situations informally. On the other hand, staff may also perceive the tool as a threat, particularly where an institutional culture already treats criticism defensively, as described in the discussion of conventional complaint systems. Staff members are, after all, sometimes the subject of the complaints the platform is designed to surface. This ambivalence matters for the business model because staff attitudes will shape whether </w:t>
      </w:r>
      <w:r w:rsidR="00896EB4"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896EB4"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is adopted in practice or merely installed on paper, echoing the very problem of tokenistic protection concepts that the Introduction criticizes in existing systems. Any implementation strategy must therefore treat staff not simply as end users to be trained, but as a stakeholder group whose buy-in needs to be actively won.</w:t>
      </w:r>
    </w:p>
    <w:p w14:paraId="762DAD55" w14:textId="55DB3BB9" w:rsidR="00114301" w:rsidRPr="008B7918" w:rsidRDefault="00114301" w:rsidP="00114301">
      <w:pPr>
        <w:pStyle w:val="berschrift2"/>
        <w:rPr>
          <w:rFonts w:eastAsia="Times New Roman"/>
          <w:lang w:val="en-US" w:eastAsia="de-DE"/>
        </w:rPr>
      </w:pPr>
      <w:bookmarkStart w:id="12" w:name="_Toc237288074"/>
      <w:r>
        <w:rPr>
          <w:rFonts w:eastAsia="Times New Roman"/>
          <w:lang w:val="en-US" w:eastAsia="de-DE"/>
        </w:rPr>
        <w:t>Stakeholder conclusion</w:t>
      </w:r>
      <w:bookmarkEnd w:id="12"/>
    </w:p>
    <w:p w14:paraId="4C4333C6" w14:textId="593FE61B" w:rsidR="00F34F38" w:rsidRPr="008B7918" w:rsidRDefault="00F34F38" w:rsidP="00F34F38">
      <w:pPr>
        <w:spacing w:after="200" w:line="360" w:lineRule="auto"/>
        <w:jc w:val="both"/>
        <w:rPr>
          <w:rFonts w:ascii="Helvetica" w:eastAsia="Times New Roman" w:hAnsi="Helvetica" w:cs="Times New Roman"/>
          <w:color w:val="000000" w:themeColor="text1"/>
          <w:kern w:val="0"/>
          <w:sz w:val="22"/>
          <w:szCs w:val="22"/>
          <w:lang w:val="en-US" w:eastAsia="de-DE"/>
          <w14:ligatures w14:val="none"/>
        </w:rPr>
      </w:pPr>
      <w:r w:rsidRPr="008B7918">
        <w:rPr>
          <w:rFonts w:ascii="Helvetica" w:eastAsia="Times New Roman" w:hAnsi="Helvetica" w:cs="Times New Roman"/>
          <w:color w:val="000000" w:themeColor="text1"/>
          <w:kern w:val="0"/>
          <w:sz w:val="22"/>
          <w:szCs w:val="22"/>
          <w:lang w:val="en-US" w:eastAsia="de-DE"/>
          <w14:ligatures w14:val="none"/>
        </w:rPr>
        <w:t xml:space="preserve">Bringing these strands together, the answer to the question of who benefits most from </w:t>
      </w:r>
      <w:r w:rsidR="0076556B"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76556B"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depends on the criterion applied. Measured by lived, immediate impact, the young people in residential homes, boarding schools, and foster care networks benefit most: </w:t>
      </w:r>
      <w:r w:rsidR="0076556B" w:rsidRPr="008B7918">
        <w:rPr>
          <w:rFonts w:ascii="Helvetica" w:eastAsia="Times New Roman" w:hAnsi="Helvetica" w:cs="Times New Roman"/>
          <w:color w:val="000000" w:themeColor="text1"/>
          <w:kern w:val="0"/>
          <w:sz w:val="22"/>
          <w:szCs w:val="22"/>
          <w:lang w:val="en-US" w:eastAsia="de-DE"/>
          <w14:ligatures w14:val="none"/>
        </w:rPr>
        <w:lastRenderedPageBreak/>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76556B"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addresses a structural injustice in their daily lives that no other stakeholder experiences as directly. Measured by economic and organizational impact, the providers and institutions benefit most, since they are the ones who bear the cost of inaction, whether in the form of legal risk, reputational damage, or missed opportunities for quality improvement, and who realize the corresponding value once </w:t>
      </w:r>
      <w:r w:rsidR="0076556B"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76556B"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is adopted. The honest conclusion, and the one this paper adopts going forward, is that </w:t>
      </w:r>
      <w:r w:rsidR="0076556B"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VoiceUP's</w:t>
      </w:r>
      <w:proofErr w:type="spellEnd"/>
      <w:r w:rsidR="0076556B"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business model cannot be built around a single beneficiary. It must instead be designed as a deliberate bridge between a social value proposition, directed at young people, and a commercial value proposition, directed at institutions, with youth welfare offices and ombudsman networks acting as trust-building intermediaries between the two. Recognizing this dual structure from the outset, rather than treating the Business Model Canvas as a single undifferentiated value proposition, is what allows </w:t>
      </w:r>
      <w:r w:rsidR="0076556B" w:rsidRPr="008B7918">
        <w:rPr>
          <w:rFonts w:ascii="Helvetica" w:eastAsia="Times New Roman" w:hAnsi="Helvetica" w:cs="Times New Roman"/>
          <w:color w:val="000000" w:themeColor="text1"/>
          <w:kern w:val="0"/>
          <w:sz w:val="22"/>
          <w:szCs w:val="22"/>
          <w:lang w:val="en-US" w:eastAsia="de-DE"/>
          <w14:ligatures w14:val="none"/>
        </w:rPr>
        <w:t>“</w:t>
      </w:r>
      <w:proofErr w:type="spellStart"/>
      <w:r w:rsidRPr="008B7918">
        <w:rPr>
          <w:rFonts w:ascii="Helvetica" w:eastAsia="Times New Roman" w:hAnsi="Helvetica" w:cs="Times New Roman"/>
          <w:color w:val="000000" w:themeColor="text1"/>
          <w:kern w:val="0"/>
          <w:sz w:val="22"/>
          <w:szCs w:val="22"/>
          <w:lang w:val="en-US" w:eastAsia="de-DE"/>
          <w14:ligatures w14:val="none"/>
        </w:rPr>
        <w:t>VoiceUP</w:t>
      </w:r>
      <w:proofErr w:type="spellEnd"/>
      <w:r w:rsidR="0076556B" w:rsidRPr="008B7918">
        <w:rPr>
          <w:rFonts w:ascii="Helvetica" w:eastAsia="Times New Roman" w:hAnsi="Helvetica" w:cs="Times New Roman"/>
          <w:color w:val="000000" w:themeColor="text1"/>
          <w:kern w:val="0"/>
          <w:sz w:val="22"/>
          <w:szCs w:val="22"/>
          <w:lang w:val="en-US" w:eastAsia="de-DE"/>
          <w14:ligatures w14:val="none"/>
        </w:rPr>
        <w:t>”</w:t>
      </w:r>
      <w:r w:rsidRPr="008B7918">
        <w:rPr>
          <w:rFonts w:ascii="Helvetica" w:eastAsia="Times New Roman" w:hAnsi="Helvetica" w:cs="Times New Roman"/>
          <w:color w:val="000000" w:themeColor="text1"/>
          <w:kern w:val="0"/>
          <w:sz w:val="22"/>
          <w:szCs w:val="22"/>
          <w:lang w:val="en-US" w:eastAsia="de-DE"/>
          <w14:ligatures w14:val="none"/>
        </w:rPr>
        <w:t xml:space="preserve"> to remain both socially meaningful and commercially viable.</w:t>
      </w:r>
    </w:p>
    <w:p w14:paraId="27377DA7" w14:textId="7C77E253" w:rsidR="008B7918" w:rsidRPr="00E02E44" w:rsidRDefault="008B7918" w:rsidP="00114301">
      <w:pPr>
        <w:pStyle w:val="berschrift1"/>
        <w:rPr>
          <w:lang w:val="en-US"/>
        </w:rPr>
      </w:pPr>
      <w:bookmarkStart w:id="13" w:name="_Toc237288075"/>
      <w:r w:rsidRPr="00E02E44">
        <w:rPr>
          <w:lang w:val="en-US"/>
        </w:rPr>
        <w:t xml:space="preserve">Value </w:t>
      </w:r>
      <w:r w:rsidR="00852761">
        <w:rPr>
          <w:lang w:val="en-US"/>
        </w:rPr>
        <w:t>p</w:t>
      </w:r>
      <w:r w:rsidRPr="00E02E44">
        <w:rPr>
          <w:lang w:val="en-US"/>
        </w:rPr>
        <w:t xml:space="preserve">roposition for </w:t>
      </w:r>
      <w:r w:rsidR="00852761">
        <w:rPr>
          <w:lang w:val="en-US"/>
        </w:rPr>
        <w:t>p</w:t>
      </w:r>
      <w:r w:rsidRPr="00E02E44">
        <w:rPr>
          <w:lang w:val="en-US"/>
        </w:rPr>
        <w:t xml:space="preserve">aying </w:t>
      </w:r>
      <w:r w:rsidR="00852761">
        <w:rPr>
          <w:lang w:val="en-US"/>
        </w:rPr>
        <w:t>c</w:t>
      </w:r>
      <w:r w:rsidRPr="00E02E44">
        <w:rPr>
          <w:lang w:val="en-US"/>
        </w:rPr>
        <w:t xml:space="preserve">ustomers: Why </w:t>
      </w:r>
      <w:r w:rsidR="00852761">
        <w:rPr>
          <w:lang w:val="en-US"/>
        </w:rPr>
        <w:t>p</w:t>
      </w:r>
      <w:r w:rsidRPr="00E02E44">
        <w:rPr>
          <w:lang w:val="en-US"/>
        </w:rPr>
        <w:t xml:space="preserve">roviders and </w:t>
      </w:r>
      <w:r w:rsidR="00852761">
        <w:rPr>
          <w:lang w:val="en-US"/>
        </w:rPr>
        <w:t>i</w:t>
      </w:r>
      <w:r w:rsidRPr="00E02E44">
        <w:rPr>
          <w:lang w:val="en-US"/>
        </w:rPr>
        <w:t xml:space="preserve">nstitutions </w:t>
      </w:r>
      <w:r w:rsidR="00852761">
        <w:rPr>
          <w:lang w:val="en-US"/>
        </w:rPr>
        <w:t>s</w:t>
      </w:r>
      <w:r w:rsidRPr="00E02E44">
        <w:rPr>
          <w:lang w:val="en-US"/>
        </w:rPr>
        <w:t xml:space="preserve">hould </w:t>
      </w:r>
      <w:r w:rsidR="00852761">
        <w:rPr>
          <w:lang w:val="en-US"/>
        </w:rPr>
        <w:t>i</w:t>
      </w:r>
      <w:r w:rsidRPr="00E02E44">
        <w:rPr>
          <w:lang w:val="en-US"/>
        </w:rPr>
        <w:t>nvest in „</w:t>
      </w:r>
      <w:proofErr w:type="spellStart"/>
      <w:r w:rsidRPr="00E02E44">
        <w:rPr>
          <w:lang w:val="en-US"/>
        </w:rPr>
        <w:t>VoiceUP</w:t>
      </w:r>
      <w:proofErr w:type="spellEnd"/>
      <w:r w:rsidRPr="00E02E44">
        <w:rPr>
          <w:lang w:val="en-US"/>
        </w:rPr>
        <w:t>"</w:t>
      </w:r>
      <w:bookmarkEnd w:id="13"/>
    </w:p>
    <w:p w14:paraId="16DC4876" w14:textId="77777777" w:rsidR="008B7918" w:rsidRPr="00114301" w:rsidRDefault="008B7918" w:rsidP="00114301">
      <w:pPr>
        <w:pStyle w:val="font-claude-response-body"/>
        <w:spacing w:line="360" w:lineRule="auto"/>
        <w:rPr>
          <w:rFonts w:ascii="Helvetica" w:hAnsi="Helvetica"/>
          <w:color w:val="000000" w:themeColor="text1"/>
          <w:sz w:val="22"/>
          <w:szCs w:val="22"/>
          <w:lang w:val="en-US"/>
        </w:rPr>
      </w:pPr>
      <w:r w:rsidRPr="00114301">
        <w:rPr>
          <w:rFonts w:ascii="Helvetica" w:hAnsi="Helvetica"/>
          <w:color w:val="000000" w:themeColor="text1"/>
          <w:sz w:val="22"/>
          <w:szCs w:val="22"/>
          <w:lang w:val="en-US"/>
        </w:rPr>
        <w:t>Having established in the previous chapter the fundamental distinction between the paying customer and the actual beneficiary of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this chapter turns to the question of what concrete value providers and institutions of child and youth welfare services derive from acquiring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While young people benefit from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primarily in terms of being heard, protected, and empowered, the purchasing decision of institutions follows a different logic, one shaped by legal, economic, and organizational considerations. For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to succeed as a product in the market, its value proposition for this target group must be formulated independently and persuasively.</w:t>
      </w:r>
    </w:p>
    <w:p w14:paraId="1BD493B6" w14:textId="1A3CA8C1" w:rsidR="008B7918" w:rsidRPr="00E02E44" w:rsidRDefault="008B7918" w:rsidP="00114301">
      <w:pPr>
        <w:pStyle w:val="berschrift2"/>
        <w:rPr>
          <w:lang w:val="en-US"/>
        </w:rPr>
      </w:pPr>
      <w:bookmarkStart w:id="14" w:name="_Toc237288076"/>
      <w:r w:rsidRPr="00E02E44">
        <w:rPr>
          <w:lang w:val="en-US"/>
        </w:rPr>
        <w:t xml:space="preserve">Legal </w:t>
      </w:r>
      <w:r w:rsidR="00852761">
        <w:rPr>
          <w:lang w:val="en-US"/>
        </w:rPr>
        <w:t>s</w:t>
      </w:r>
      <w:r w:rsidRPr="00E02E44">
        <w:rPr>
          <w:lang w:val="en-US"/>
        </w:rPr>
        <w:t xml:space="preserve">ecurity and </w:t>
      </w:r>
      <w:r w:rsidR="00852761">
        <w:rPr>
          <w:lang w:val="en-US"/>
        </w:rPr>
        <w:t>c</w:t>
      </w:r>
      <w:r w:rsidRPr="00E02E44">
        <w:rPr>
          <w:lang w:val="en-US"/>
        </w:rPr>
        <w:t xml:space="preserve">ompliance as the </w:t>
      </w:r>
      <w:r w:rsidR="00852761">
        <w:rPr>
          <w:lang w:val="en-US"/>
        </w:rPr>
        <w:t>c</w:t>
      </w:r>
      <w:r w:rsidRPr="00E02E44">
        <w:rPr>
          <w:lang w:val="en-US"/>
        </w:rPr>
        <w:t xml:space="preserve">ore </w:t>
      </w:r>
      <w:r w:rsidR="00852761">
        <w:rPr>
          <w:lang w:val="en-US"/>
        </w:rPr>
        <w:t>a</w:t>
      </w:r>
      <w:r w:rsidRPr="00E02E44">
        <w:rPr>
          <w:lang w:val="en-US"/>
        </w:rPr>
        <w:t>rgument</w:t>
      </w:r>
      <w:bookmarkEnd w:id="14"/>
    </w:p>
    <w:p w14:paraId="4533737A" w14:textId="77777777" w:rsidR="008B7918" w:rsidRPr="00114301" w:rsidRDefault="008B7918" w:rsidP="00114301">
      <w:pPr>
        <w:pStyle w:val="font-claude-response-body"/>
        <w:spacing w:line="360" w:lineRule="auto"/>
        <w:rPr>
          <w:rFonts w:ascii="Helvetica" w:hAnsi="Helvetica"/>
          <w:color w:val="000000" w:themeColor="text1"/>
          <w:sz w:val="22"/>
          <w:szCs w:val="22"/>
          <w:lang w:val="en-US"/>
        </w:rPr>
      </w:pPr>
      <w:r w:rsidRPr="00114301">
        <w:rPr>
          <w:rFonts w:ascii="Helvetica" w:hAnsi="Helvetica"/>
          <w:color w:val="000000" w:themeColor="text1"/>
          <w:sz w:val="22"/>
          <w:szCs w:val="22"/>
          <w:lang w:val="en-US"/>
        </w:rPr>
        <w:t>The most immediate and most easily communicable benefit of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xml:space="preserve">" lies in establishing legal security. § 45 SGB VIII obliges providers to grant young people effective opportunities for participation and complaint; the Kinder- und </w:t>
      </w:r>
      <w:proofErr w:type="spellStart"/>
      <w:r w:rsidRPr="00114301">
        <w:rPr>
          <w:rFonts w:ascii="Helvetica" w:hAnsi="Helvetica"/>
          <w:color w:val="000000" w:themeColor="text1"/>
          <w:sz w:val="22"/>
          <w:szCs w:val="22"/>
          <w:lang w:val="en-US"/>
        </w:rPr>
        <w:t>Jugendstärkungsgesetz</w:t>
      </w:r>
      <w:proofErr w:type="spellEnd"/>
      <w:r w:rsidRPr="00114301">
        <w:rPr>
          <w:rFonts w:ascii="Helvetica" w:hAnsi="Helvetica"/>
          <w:color w:val="000000" w:themeColor="text1"/>
          <w:sz w:val="22"/>
          <w:szCs w:val="22"/>
          <w:lang w:val="en-US"/>
        </w:rPr>
        <w:t xml:space="preserve"> (KJSG) tightened and further specified these requirements in 2021. For institutions, fulfilling these obligations is not an optional add-on but a precondition for obtaining an operating license. This is precisely where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xml:space="preserve">" comes in: it delivers a documented, continuously auditable structure that allows a provider to demonstrate to the </w:t>
      </w:r>
      <w:proofErr w:type="spellStart"/>
      <w:r w:rsidRPr="00114301">
        <w:rPr>
          <w:rFonts w:ascii="Helvetica" w:hAnsi="Helvetica"/>
          <w:color w:val="000000" w:themeColor="text1"/>
          <w:sz w:val="22"/>
          <w:szCs w:val="22"/>
          <w:lang w:val="en-US"/>
        </w:rPr>
        <w:t>Landesjugendamt</w:t>
      </w:r>
      <w:proofErr w:type="spellEnd"/>
      <w:r w:rsidRPr="00114301">
        <w:rPr>
          <w:rFonts w:ascii="Helvetica" w:hAnsi="Helvetica"/>
          <w:color w:val="000000" w:themeColor="text1"/>
          <w:sz w:val="22"/>
          <w:szCs w:val="22"/>
          <w:lang w:val="en-US"/>
        </w:rPr>
        <w:t xml:space="preserve"> and other oversight bodies that complaint management does not merely exist on paper but actually functions. The customer is therefore not primarily purchasing a digital tool, but an instrument that safeguards the </w:t>
      </w:r>
      <w:r w:rsidRPr="00114301">
        <w:rPr>
          <w:rFonts w:ascii="Helvetica" w:hAnsi="Helvetica"/>
          <w:color w:val="000000" w:themeColor="text1"/>
          <w:sz w:val="22"/>
          <w:szCs w:val="22"/>
          <w:lang w:val="en-US"/>
        </w:rPr>
        <w:lastRenderedPageBreak/>
        <w:t>institutional basis of its existence. Beyond this,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aims to establish itself over time as an independent quality seal: institutions using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should be able to communicate this externally as a recognizable quality marker, equally toward oversight bodies, funding agencies, parents, and the professional community. Certification through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would thus not only secure compliance with minimum legal requirements but also actively contribute to the institution's positive positioning in the competition for trust and reputation.</w:t>
      </w:r>
    </w:p>
    <w:p w14:paraId="61E1D84C" w14:textId="2024E9AF" w:rsidR="008B7918" w:rsidRPr="00E02E44" w:rsidRDefault="008B7918" w:rsidP="00114301">
      <w:pPr>
        <w:pStyle w:val="berschrift2"/>
        <w:rPr>
          <w:lang w:val="en-US"/>
        </w:rPr>
      </w:pPr>
      <w:bookmarkStart w:id="15" w:name="_Toc237288077"/>
      <w:r w:rsidRPr="00E02E44">
        <w:rPr>
          <w:lang w:val="en-US"/>
        </w:rPr>
        <w:t xml:space="preserve">Risk </w:t>
      </w:r>
      <w:r w:rsidR="00852761">
        <w:rPr>
          <w:lang w:val="en-US"/>
        </w:rPr>
        <w:t>r</w:t>
      </w:r>
      <w:r w:rsidRPr="00E02E44">
        <w:rPr>
          <w:lang w:val="en-US"/>
        </w:rPr>
        <w:t xml:space="preserve">eduction and </w:t>
      </w:r>
      <w:r w:rsidR="00852761">
        <w:rPr>
          <w:lang w:val="en-US"/>
        </w:rPr>
        <w:t>r</w:t>
      </w:r>
      <w:r w:rsidRPr="00E02E44">
        <w:rPr>
          <w:lang w:val="en-US"/>
        </w:rPr>
        <w:t xml:space="preserve">eputational </w:t>
      </w:r>
      <w:r w:rsidR="00852761">
        <w:rPr>
          <w:lang w:val="en-US"/>
        </w:rPr>
        <w:t>p</w:t>
      </w:r>
      <w:r w:rsidRPr="00E02E44">
        <w:rPr>
          <w:lang w:val="en-US"/>
        </w:rPr>
        <w:t>rotection</w:t>
      </w:r>
      <w:bookmarkEnd w:id="15"/>
    </w:p>
    <w:p w14:paraId="3033D8AA" w14:textId="77777777" w:rsidR="008B7918" w:rsidRPr="00114301" w:rsidRDefault="008B7918" w:rsidP="00114301">
      <w:pPr>
        <w:pStyle w:val="font-claude-response-body"/>
        <w:spacing w:line="360" w:lineRule="auto"/>
        <w:rPr>
          <w:rFonts w:ascii="Helvetica" w:hAnsi="Helvetica"/>
          <w:color w:val="000000" w:themeColor="text1"/>
          <w:sz w:val="22"/>
          <w:szCs w:val="22"/>
          <w:lang w:val="en-US"/>
        </w:rPr>
      </w:pPr>
      <w:r w:rsidRPr="00114301">
        <w:rPr>
          <w:rFonts w:ascii="Helvetica" w:hAnsi="Helvetica"/>
          <w:color w:val="000000" w:themeColor="text1"/>
          <w:sz w:val="22"/>
          <w:szCs w:val="22"/>
          <w:lang w:val="en-US"/>
        </w:rPr>
        <w:t>Closely tied to the compliance argument is the aspect of risk management. Institutions in child and youth welfare operate in an environment where a single publicly disclosed incident of institutional violence or boundary violation can be enough to permanently damage the trust of oversight bodies, funding agencies, and the public.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reduces this risk by making problems visible earlier, before they escalate. A structured, anonymous reporting system functions as an early-warning mechanism: recurring conflicts with specific staff members, spatial deficiencies, or organizational weaknesses can be identified through the systematic evaluation of complaint data before they turn into larger-scale damage. For leadership, this translates into tangible economic value: prevention is less costly than crisis management, and a demonstrably functioning complaint system also provides relief in terms of liability should a serious incident occur.</w:t>
      </w:r>
    </w:p>
    <w:p w14:paraId="500BD1AA" w14:textId="3C233215" w:rsidR="008B7918" w:rsidRPr="00E02E44" w:rsidRDefault="008B7918" w:rsidP="00114301">
      <w:pPr>
        <w:pStyle w:val="berschrift2"/>
        <w:rPr>
          <w:lang w:val="en-US"/>
        </w:rPr>
      </w:pPr>
      <w:bookmarkStart w:id="16" w:name="_Toc237288078"/>
      <w:r w:rsidRPr="00E02E44">
        <w:rPr>
          <w:lang w:val="en-US"/>
        </w:rPr>
        <w:t xml:space="preserve">Operational </w:t>
      </w:r>
      <w:r w:rsidR="00852761">
        <w:rPr>
          <w:lang w:val="en-US"/>
        </w:rPr>
        <w:t>r</w:t>
      </w:r>
      <w:r w:rsidRPr="00E02E44">
        <w:rPr>
          <w:lang w:val="en-US"/>
        </w:rPr>
        <w:t xml:space="preserve">elief </w:t>
      </w:r>
      <w:r w:rsidR="00852761">
        <w:rPr>
          <w:lang w:val="en-US"/>
        </w:rPr>
        <w:t>r</w:t>
      </w:r>
      <w:r w:rsidRPr="00E02E44">
        <w:rPr>
          <w:lang w:val="en-US"/>
        </w:rPr>
        <w:t xml:space="preserve">ather </w:t>
      </w:r>
      <w:r w:rsidR="00852761">
        <w:rPr>
          <w:lang w:val="en-US"/>
        </w:rPr>
        <w:t>t</w:t>
      </w:r>
      <w:r w:rsidRPr="00E02E44">
        <w:rPr>
          <w:lang w:val="en-US"/>
        </w:rPr>
        <w:t xml:space="preserve">han </w:t>
      </w:r>
      <w:r w:rsidR="00852761">
        <w:rPr>
          <w:lang w:val="en-US"/>
        </w:rPr>
        <w:t>a</w:t>
      </w:r>
      <w:r w:rsidRPr="00E02E44">
        <w:rPr>
          <w:lang w:val="en-US"/>
        </w:rPr>
        <w:t xml:space="preserve">dditional </w:t>
      </w:r>
      <w:r w:rsidR="00852761">
        <w:rPr>
          <w:lang w:val="en-US"/>
        </w:rPr>
        <w:t>b</w:t>
      </w:r>
      <w:r w:rsidRPr="00E02E44">
        <w:rPr>
          <w:lang w:val="en-US"/>
        </w:rPr>
        <w:t>ureaucracy</w:t>
      </w:r>
      <w:bookmarkEnd w:id="16"/>
    </w:p>
    <w:p w14:paraId="707753C7" w14:textId="77777777" w:rsidR="008B7918" w:rsidRPr="00114301" w:rsidRDefault="008B7918" w:rsidP="00114301">
      <w:pPr>
        <w:pStyle w:val="font-claude-response-body"/>
        <w:spacing w:line="360" w:lineRule="auto"/>
        <w:rPr>
          <w:rFonts w:ascii="Helvetica" w:hAnsi="Helvetica"/>
          <w:color w:val="000000" w:themeColor="text1"/>
          <w:sz w:val="22"/>
          <w:szCs w:val="22"/>
          <w:lang w:val="en-US"/>
        </w:rPr>
      </w:pPr>
      <w:r w:rsidRPr="00114301">
        <w:rPr>
          <w:rFonts w:ascii="Helvetica" w:hAnsi="Helvetica"/>
          <w:color w:val="000000" w:themeColor="text1"/>
          <w:sz w:val="22"/>
          <w:szCs w:val="22"/>
          <w:lang w:val="en-US"/>
        </w:rPr>
        <w:t>A common obstacle to introducing new systems is the concern that they create additional administrative burden.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deliberately positions itself against this concern: it is designed not to add to staff workload, but to relieve staff from the previously informal, unstructured handling of complaints. Instead of handwritten notes from a suggestion box, unclear responsibilities, and word-of-mouth handovers "from door to door," staff receive a clearly defined, traceable process. This creates efficiency and also protects staff members themselves, since responsibilities are documented and no longer dependent solely on individual initiative. The economic value for the provider therefore also lies in reduced friction in day-to-day operations.</w:t>
      </w:r>
    </w:p>
    <w:p w14:paraId="2CD5DE26" w14:textId="3E3AD288" w:rsidR="008B7918" w:rsidRPr="00E02E44" w:rsidRDefault="008B7918" w:rsidP="00114301">
      <w:pPr>
        <w:pStyle w:val="berschrift2"/>
        <w:rPr>
          <w:lang w:val="en-US"/>
        </w:rPr>
      </w:pPr>
      <w:bookmarkStart w:id="17" w:name="_Toc237288079"/>
      <w:r w:rsidRPr="00E02E44">
        <w:rPr>
          <w:lang w:val="en-US"/>
        </w:rPr>
        <w:t>Data-</w:t>
      </w:r>
      <w:r w:rsidR="00852761">
        <w:rPr>
          <w:lang w:val="en-US"/>
        </w:rPr>
        <w:t>d</w:t>
      </w:r>
      <w:r w:rsidRPr="00E02E44">
        <w:rPr>
          <w:lang w:val="en-US"/>
        </w:rPr>
        <w:t xml:space="preserve">riven </w:t>
      </w:r>
      <w:r w:rsidR="00852761">
        <w:rPr>
          <w:lang w:val="en-US"/>
        </w:rPr>
        <w:t>q</w:t>
      </w:r>
      <w:r w:rsidRPr="00E02E44">
        <w:rPr>
          <w:lang w:val="en-US"/>
        </w:rPr>
        <w:t xml:space="preserve">uality </w:t>
      </w:r>
      <w:r w:rsidR="00852761">
        <w:rPr>
          <w:lang w:val="en-US"/>
        </w:rPr>
        <w:t>d</w:t>
      </w:r>
      <w:r w:rsidRPr="00E02E44">
        <w:rPr>
          <w:lang w:val="en-US"/>
        </w:rPr>
        <w:t xml:space="preserve">evelopment as </w:t>
      </w:r>
      <w:r w:rsidR="00852761">
        <w:rPr>
          <w:lang w:val="en-US"/>
        </w:rPr>
        <w:t>s</w:t>
      </w:r>
      <w:r w:rsidRPr="00E02E44">
        <w:rPr>
          <w:lang w:val="en-US"/>
        </w:rPr>
        <w:t xml:space="preserve">trategic </w:t>
      </w:r>
      <w:r w:rsidR="00852761">
        <w:rPr>
          <w:lang w:val="en-US"/>
        </w:rPr>
        <w:t>a</w:t>
      </w:r>
      <w:r w:rsidRPr="00E02E44">
        <w:rPr>
          <w:lang w:val="en-US"/>
        </w:rPr>
        <w:t xml:space="preserve">dded </w:t>
      </w:r>
      <w:r w:rsidR="00852761">
        <w:rPr>
          <w:lang w:val="en-US"/>
        </w:rPr>
        <w:t>v</w:t>
      </w:r>
      <w:r w:rsidRPr="00E02E44">
        <w:rPr>
          <w:lang w:val="en-US"/>
        </w:rPr>
        <w:t>alue</w:t>
      </w:r>
      <w:bookmarkEnd w:id="17"/>
    </w:p>
    <w:p w14:paraId="23B81E04" w14:textId="77777777" w:rsidR="008B7918" w:rsidRPr="00114301" w:rsidRDefault="008B7918" w:rsidP="00114301">
      <w:pPr>
        <w:pStyle w:val="font-claude-response-body"/>
        <w:spacing w:line="360" w:lineRule="auto"/>
        <w:rPr>
          <w:rFonts w:ascii="Helvetica" w:hAnsi="Helvetica"/>
          <w:color w:val="000000" w:themeColor="text1"/>
          <w:sz w:val="22"/>
          <w:szCs w:val="22"/>
          <w:lang w:val="en-US"/>
        </w:rPr>
      </w:pPr>
      <w:r w:rsidRPr="00114301">
        <w:rPr>
          <w:rFonts w:ascii="Helvetica" w:hAnsi="Helvetica"/>
          <w:color w:val="000000" w:themeColor="text1"/>
          <w:sz w:val="22"/>
          <w:szCs w:val="22"/>
          <w:lang w:val="en-US"/>
        </w:rPr>
        <w:t>Beyond individual case handling,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xml:space="preserve">" offers institutions an aggregated view of their own quality. The systematic evaluation of complaint data makes it possible to identify </w:t>
      </w:r>
      <w:r w:rsidRPr="00114301">
        <w:rPr>
          <w:rFonts w:ascii="Helvetica" w:hAnsi="Helvetica"/>
          <w:color w:val="000000" w:themeColor="text1"/>
          <w:sz w:val="22"/>
          <w:szCs w:val="22"/>
          <w:lang w:val="en-US"/>
        </w:rPr>
        <w:lastRenderedPageBreak/>
        <w:t>patterns that would otherwise remain hidden in daily operations, such as seasonal spikes in particular types of conflict or location-specific problem areas for providers running multiple facilities. This data can be used directly for the quality development required under § 79a SGB VIII. For providers responsible for several sites, this creates a management tool that goes far beyond the individual complaint and supports evidence-based decision-making.</w:t>
      </w:r>
    </w:p>
    <w:p w14:paraId="69643A7F" w14:textId="4BD635C2" w:rsidR="008B7918" w:rsidRPr="00E02E44" w:rsidRDefault="008B7918" w:rsidP="00114301">
      <w:pPr>
        <w:pStyle w:val="berschrift2"/>
        <w:rPr>
          <w:lang w:val="en-US"/>
        </w:rPr>
      </w:pPr>
      <w:bookmarkStart w:id="18" w:name="_Toc237288080"/>
      <w:r w:rsidRPr="00E02E44">
        <w:rPr>
          <w:lang w:val="en-US"/>
        </w:rPr>
        <w:t xml:space="preserve">Differentiation </w:t>
      </w:r>
      <w:r w:rsidR="00125877" w:rsidRPr="00E02E44">
        <w:rPr>
          <w:lang w:val="en-US"/>
        </w:rPr>
        <w:t>from</w:t>
      </w:r>
      <w:r w:rsidRPr="00E02E44">
        <w:rPr>
          <w:lang w:val="en-US"/>
        </w:rPr>
        <w:t xml:space="preserve"> the </w:t>
      </w:r>
      <w:r w:rsidR="00852761">
        <w:rPr>
          <w:lang w:val="en-US"/>
        </w:rPr>
        <w:t>s</w:t>
      </w:r>
      <w:r w:rsidRPr="00E02E44">
        <w:rPr>
          <w:lang w:val="en-US"/>
        </w:rPr>
        <w:t xml:space="preserve">tatus </w:t>
      </w:r>
      <w:r w:rsidR="00852761">
        <w:rPr>
          <w:lang w:val="en-US"/>
        </w:rPr>
        <w:t>q</w:t>
      </w:r>
      <w:r w:rsidRPr="00E02E44">
        <w:rPr>
          <w:lang w:val="en-US"/>
        </w:rPr>
        <w:t>uo</w:t>
      </w:r>
      <w:bookmarkEnd w:id="18"/>
    </w:p>
    <w:p w14:paraId="4524F912" w14:textId="77777777" w:rsidR="008B7918" w:rsidRPr="00114301" w:rsidRDefault="008B7918" w:rsidP="00114301">
      <w:pPr>
        <w:pStyle w:val="font-claude-response-body"/>
        <w:spacing w:line="360" w:lineRule="auto"/>
        <w:rPr>
          <w:rFonts w:ascii="Helvetica" w:hAnsi="Helvetica"/>
          <w:color w:val="000000" w:themeColor="text1"/>
          <w:sz w:val="22"/>
          <w:szCs w:val="22"/>
          <w:lang w:val="en-US"/>
        </w:rPr>
      </w:pPr>
      <w:r w:rsidRPr="00114301">
        <w:rPr>
          <w:rFonts w:ascii="Helvetica" w:hAnsi="Helvetica"/>
          <w:color w:val="000000" w:themeColor="text1"/>
          <w:sz w:val="22"/>
          <w:szCs w:val="22"/>
          <w:lang w:val="en-US"/>
        </w:rPr>
        <w:t>Why should an institution that already has a formal complaint procedure in place invest in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The answer lies in the difference between formal and lived participation. The classic suggestion box or the one-on-one conversation with a staff member fulfills the legal minimum requirement but does not resolve the structural problem of insufficient independence and anonymity. For providers who have already had negative experiences, whether an incident, critical press coverage, or a flagged oversight review, this gap becomes especially visible; these are the providers most likely to no longer regard the status quo as "sufficient" and are therefore the most likely to invest early.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offers such providers a clearly recognizable qualitative leap, not a cosmetic digitization of an existing procedure.</w:t>
      </w:r>
    </w:p>
    <w:p w14:paraId="367406B3" w14:textId="51628939" w:rsidR="008B7918" w:rsidRPr="00E02E44" w:rsidRDefault="00114301" w:rsidP="00114301">
      <w:pPr>
        <w:pStyle w:val="berschrift2"/>
        <w:rPr>
          <w:lang w:val="en-US"/>
        </w:rPr>
      </w:pPr>
      <w:bookmarkStart w:id="19" w:name="_Toc237288081"/>
      <w:r w:rsidRPr="00E02E44">
        <w:rPr>
          <w:lang w:val="en-US"/>
        </w:rPr>
        <w:t>Value c</w:t>
      </w:r>
      <w:r w:rsidR="008B7918" w:rsidRPr="00E02E44">
        <w:rPr>
          <w:lang w:val="en-US"/>
        </w:rPr>
        <w:t>onclusion</w:t>
      </w:r>
      <w:bookmarkEnd w:id="19"/>
    </w:p>
    <w:p w14:paraId="1C31CEBB" w14:textId="77777777" w:rsidR="008B7918" w:rsidRPr="00114301" w:rsidRDefault="008B7918" w:rsidP="00114301">
      <w:pPr>
        <w:pStyle w:val="font-claude-response-body"/>
        <w:spacing w:line="360" w:lineRule="auto"/>
        <w:rPr>
          <w:rFonts w:ascii="Helvetica" w:hAnsi="Helvetica"/>
          <w:color w:val="000000" w:themeColor="text1"/>
          <w:sz w:val="22"/>
          <w:szCs w:val="22"/>
          <w:lang w:val="en-US"/>
        </w:rPr>
      </w:pPr>
      <w:r w:rsidRPr="00114301">
        <w:rPr>
          <w:rFonts w:ascii="Helvetica" w:hAnsi="Helvetica"/>
          <w:color w:val="000000" w:themeColor="text1"/>
          <w:sz w:val="22"/>
          <w:szCs w:val="22"/>
          <w:lang w:val="en-US"/>
        </w:rPr>
        <w:t>The value proposition of „</w:t>
      </w:r>
      <w:proofErr w:type="spellStart"/>
      <w:r w:rsidRPr="00114301">
        <w:rPr>
          <w:rFonts w:ascii="Helvetica" w:hAnsi="Helvetica"/>
          <w:color w:val="000000" w:themeColor="text1"/>
          <w:sz w:val="22"/>
          <w:szCs w:val="22"/>
          <w:lang w:val="en-US"/>
        </w:rPr>
        <w:t>VoiceUP</w:t>
      </w:r>
      <w:proofErr w:type="spellEnd"/>
      <w:r w:rsidRPr="00114301">
        <w:rPr>
          <w:rFonts w:ascii="Helvetica" w:hAnsi="Helvetica"/>
          <w:color w:val="000000" w:themeColor="text1"/>
          <w:sz w:val="22"/>
          <w:szCs w:val="22"/>
          <w:lang w:val="en-US"/>
        </w:rPr>
        <w:t>" for paying customers thus draws on several interlocking benefits: legal security vis-à-vis oversight bodies, risk reduction and reputational protection, operational relief for staff, and data-driven quality development. Unlike the value created for young people, which is experienced directly, the institutional benefit is primarily defensive and strategic in nature: it protects against risk and generates management knowledge rather than conveying an immediate emotional experience. This very division of value propositions forms the basis for the building blocks of the Business Model Canvas to be developed later in this paper, in particular for the differentiated design of customer relationships and channels toward providers on the one hand and young people on the other.</w:t>
      </w:r>
    </w:p>
    <w:p w14:paraId="7C05FCB2" w14:textId="1CFBB168" w:rsidR="00E02E44" w:rsidRPr="0053092C" w:rsidRDefault="00E02E44" w:rsidP="00E02E44">
      <w:pPr>
        <w:pStyle w:val="berschrift1"/>
        <w:rPr>
          <w:lang w:val="en-US"/>
        </w:rPr>
      </w:pPr>
      <w:bookmarkStart w:id="20" w:name="_Toc237288082"/>
      <w:r w:rsidRPr="0053092C">
        <w:rPr>
          <w:rStyle w:val="Fett"/>
          <w:b w:val="0"/>
          <w:bCs w:val="0"/>
          <w:lang w:val="en-US"/>
        </w:rPr>
        <w:t xml:space="preserve">Key </w:t>
      </w:r>
      <w:r w:rsidR="00852761">
        <w:rPr>
          <w:rStyle w:val="Fett"/>
          <w:b w:val="0"/>
          <w:bCs w:val="0"/>
          <w:lang w:val="en-US"/>
        </w:rPr>
        <w:t>a</w:t>
      </w:r>
      <w:r w:rsidRPr="0053092C">
        <w:rPr>
          <w:rStyle w:val="Fett"/>
          <w:b w:val="0"/>
          <w:bCs w:val="0"/>
          <w:lang w:val="en-US"/>
        </w:rPr>
        <w:t xml:space="preserve">ctivities and </w:t>
      </w:r>
      <w:r w:rsidR="00852761">
        <w:rPr>
          <w:rStyle w:val="Fett"/>
          <w:b w:val="0"/>
          <w:bCs w:val="0"/>
          <w:lang w:val="en-US"/>
        </w:rPr>
        <w:t>k</w:t>
      </w:r>
      <w:r w:rsidRPr="0053092C">
        <w:rPr>
          <w:rStyle w:val="Fett"/>
          <w:b w:val="0"/>
          <w:bCs w:val="0"/>
          <w:lang w:val="en-US"/>
        </w:rPr>
        <w:t xml:space="preserve">ey </w:t>
      </w:r>
      <w:r w:rsidR="00852761">
        <w:rPr>
          <w:rStyle w:val="Fett"/>
          <w:b w:val="0"/>
          <w:bCs w:val="0"/>
          <w:lang w:val="en-US"/>
        </w:rPr>
        <w:t>r</w:t>
      </w:r>
      <w:r w:rsidRPr="0053092C">
        <w:rPr>
          <w:rStyle w:val="Fett"/>
          <w:b w:val="0"/>
          <w:bCs w:val="0"/>
          <w:lang w:val="en-US"/>
        </w:rPr>
        <w:t xml:space="preserve">esources: Turning the </w:t>
      </w:r>
      <w:r w:rsidR="00852761">
        <w:rPr>
          <w:rStyle w:val="Fett"/>
          <w:b w:val="0"/>
          <w:bCs w:val="0"/>
          <w:lang w:val="en-US"/>
        </w:rPr>
        <w:t>v</w:t>
      </w:r>
      <w:r w:rsidRPr="0053092C">
        <w:rPr>
          <w:rStyle w:val="Fett"/>
          <w:b w:val="0"/>
          <w:bCs w:val="0"/>
          <w:lang w:val="en-US"/>
        </w:rPr>
        <w:t xml:space="preserve">alue </w:t>
      </w:r>
      <w:r w:rsidR="00852761">
        <w:rPr>
          <w:rStyle w:val="Fett"/>
          <w:b w:val="0"/>
          <w:bCs w:val="0"/>
          <w:lang w:val="en-US"/>
        </w:rPr>
        <w:t>p</w:t>
      </w:r>
      <w:r w:rsidRPr="0053092C">
        <w:rPr>
          <w:rStyle w:val="Fett"/>
          <w:b w:val="0"/>
          <w:bCs w:val="0"/>
          <w:lang w:val="en-US"/>
        </w:rPr>
        <w:t xml:space="preserve">roposition into </w:t>
      </w:r>
      <w:r w:rsidR="00852761">
        <w:rPr>
          <w:rStyle w:val="Fett"/>
          <w:b w:val="0"/>
          <w:bCs w:val="0"/>
          <w:lang w:val="en-US"/>
        </w:rPr>
        <w:t>p</w:t>
      </w:r>
      <w:r w:rsidRPr="0053092C">
        <w:rPr>
          <w:rStyle w:val="Fett"/>
          <w:b w:val="0"/>
          <w:bCs w:val="0"/>
          <w:lang w:val="en-US"/>
        </w:rPr>
        <w:t>ractice</w:t>
      </w:r>
      <w:bookmarkEnd w:id="20"/>
    </w:p>
    <w:p w14:paraId="0CBC283C" w14:textId="77777777" w:rsidR="00E02E44" w:rsidRPr="00E02E44" w:rsidRDefault="00E02E44" w:rsidP="00E02E44">
      <w:pPr>
        <w:pStyle w:val="font-claude-response-body"/>
        <w:spacing w:line="360" w:lineRule="auto"/>
        <w:rPr>
          <w:rFonts w:ascii="Helvetica" w:hAnsi="Helvetica"/>
          <w:color w:val="000000" w:themeColor="text1"/>
          <w:sz w:val="22"/>
          <w:szCs w:val="22"/>
          <w:lang w:val="en-US"/>
        </w:rPr>
      </w:pPr>
      <w:r w:rsidRPr="00E02E44">
        <w:rPr>
          <w:rFonts w:ascii="Helvetica" w:hAnsi="Helvetica"/>
          <w:color w:val="000000" w:themeColor="text1"/>
          <w:sz w:val="22"/>
          <w:szCs w:val="22"/>
          <w:lang w:val="en-US"/>
        </w:rPr>
        <w:t>A value proposition is only as credible as the activities and resources that sustain it. For “</w:t>
      </w:r>
      <w:proofErr w:type="spellStart"/>
      <w:r w:rsidRPr="00E02E44">
        <w:rPr>
          <w:rFonts w:ascii="Helvetica" w:hAnsi="Helvetica"/>
          <w:color w:val="000000" w:themeColor="text1"/>
          <w:sz w:val="22"/>
          <w:szCs w:val="22"/>
          <w:lang w:val="en-US"/>
        </w:rPr>
        <w:t>VoiceUP</w:t>
      </w:r>
      <w:proofErr w:type="spellEnd"/>
      <w:r w:rsidRPr="00E02E44">
        <w:rPr>
          <w:rFonts w:ascii="Helvetica" w:hAnsi="Helvetica"/>
          <w:color w:val="000000" w:themeColor="text1"/>
          <w:sz w:val="22"/>
          <w:szCs w:val="22"/>
          <w:lang w:val="en-US"/>
        </w:rPr>
        <w:t xml:space="preserve">”, this distinction matters more than usual, because the dual value proposition developed in the previous chapter, one social, one commercial, cannot be delivered by a </w:t>
      </w:r>
      <w:r w:rsidRPr="00E02E44">
        <w:rPr>
          <w:rFonts w:ascii="Helvetica" w:hAnsi="Helvetica"/>
          <w:color w:val="000000" w:themeColor="text1"/>
          <w:sz w:val="22"/>
          <w:szCs w:val="22"/>
          <w:lang w:val="en-US"/>
        </w:rPr>
        <w:lastRenderedPageBreak/>
        <w:t>single undifferentiated set of operations. Each activity and resource in the Business Model Canvas must therefore be read against the question of which beneficiary it primarily serves, and whether it addresses the root cause of the participation gap or merely its symptoms.</w:t>
      </w:r>
    </w:p>
    <w:p w14:paraId="4906AEFD" w14:textId="4B09260B" w:rsidR="00E02E44" w:rsidRDefault="00E02E44" w:rsidP="00E02E44">
      <w:pPr>
        <w:pStyle w:val="berschrift2"/>
        <w:rPr>
          <w:lang w:val="en-US"/>
        </w:rPr>
      </w:pPr>
      <w:bookmarkStart w:id="21" w:name="_Toc237288083"/>
      <w:r>
        <w:rPr>
          <w:lang w:val="en-US"/>
        </w:rPr>
        <w:t>Software and trained staff</w:t>
      </w:r>
      <w:bookmarkEnd w:id="21"/>
    </w:p>
    <w:p w14:paraId="29604B1B" w14:textId="27655A1A" w:rsidR="00E02E44" w:rsidRPr="00E02E44" w:rsidRDefault="00E02E44" w:rsidP="00E02E44">
      <w:pPr>
        <w:pStyle w:val="font-claude-response-body"/>
        <w:spacing w:line="360" w:lineRule="auto"/>
        <w:rPr>
          <w:rFonts w:ascii="Helvetica" w:hAnsi="Helvetica"/>
          <w:color w:val="000000" w:themeColor="text1"/>
          <w:sz w:val="22"/>
          <w:szCs w:val="22"/>
          <w:lang w:val="en-US"/>
        </w:rPr>
      </w:pPr>
      <w:r w:rsidRPr="00E02E44">
        <w:rPr>
          <w:rFonts w:ascii="Helvetica" w:hAnsi="Helvetica"/>
          <w:color w:val="000000" w:themeColor="text1"/>
          <w:sz w:val="22"/>
          <w:szCs w:val="22"/>
          <w:lang w:val="en-US"/>
        </w:rPr>
        <w:t>The most visible key activity is software development: building and maintaining the app or web platform through which young people submit complaints and institutions manage them. Yet framing “</w:t>
      </w:r>
      <w:proofErr w:type="spellStart"/>
      <w:r w:rsidRPr="00E02E44">
        <w:rPr>
          <w:rFonts w:ascii="Helvetica" w:hAnsi="Helvetica"/>
          <w:color w:val="000000" w:themeColor="text1"/>
          <w:sz w:val="22"/>
          <w:szCs w:val="22"/>
          <w:lang w:val="en-US"/>
        </w:rPr>
        <w:t>VoiceUP</w:t>
      </w:r>
      <w:proofErr w:type="spellEnd"/>
      <w:r w:rsidRPr="00E02E44">
        <w:rPr>
          <w:rFonts w:ascii="Helvetica" w:hAnsi="Helvetica"/>
          <w:color w:val="000000" w:themeColor="text1"/>
          <w:sz w:val="22"/>
          <w:szCs w:val="22"/>
          <w:lang w:val="en-US"/>
        </w:rPr>
        <w:t>” as primarily a technical product would understate what the platform actually needs to accomplish. The underlying problem in youth welfare institutions is not simply the absence of a digital tool, it is the absence of incentives, trust, and an established culture that treats complaints as legitimate rather than as disruption. Software alone cannot manufacture trust. This is why staff training is listed as an equally central key activity rather than a downstream implementation detail. Training addresses the cultural barrier directly: it is the mechanism by which an institution's existing defensive posture toward criticism, described earlier as tokenistic protection, is meant to shift toward a genuinely lived complaint culture. Without this activity, “</w:t>
      </w:r>
      <w:proofErr w:type="spellStart"/>
      <w:r w:rsidRPr="00E02E44">
        <w:rPr>
          <w:rFonts w:ascii="Helvetica" w:hAnsi="Helvetica"/>
          <w:color w:val="000000" w:themeColor="text1"/>
          <w:sz w:val="22"/>
          <w:szCs w:val="22"/>
          <w:lang w:val="en-US"/>
        </w:rPr>
        <w:t>VoiceUP</w:t>
      </w:r>
      <w:proofErr w:type="spellEnd"/>
      <w:r w:rsidRPr="00E02E44">
        <w:rPr>
          <w:rFonts w:ascii="Helvetica" w:hAnsi="Helvetica"/>
          <w:color w:val="000000" w:themeColor="text1"/>
          <w:sz w:val="22"/>
          <w:szCs w:val="22"/>
          <w:lang w:val="en-US"/>
        </w:rPr>
        <w:t>” risks becoming another well-intentioned system that exists on paper but changes nothing in practice.</w:t>
      </w:r>
    </w:p>
    <w:p w14:paraId="1BE0F868" w14:textId="7C17B01B" w:rsidR="00E02E44" w:rsidRDefault="00E02E44" w:rsidP="00E02E44">
      <w:pPr>
        <w:pStyle w:val="berschrift2"/>
        <w:rPr>
          <w:lang w:val="en-US"/>
        </w:rPr>
      </w:pPr>
      <w:bookmarkStart w:id="22" w:name="_Toc237288084"/>
      <w:r>
        <w:rPr>
          <w:lang w:val="en-US"/>
        </w:rPr>
        <w:t>Co-design with profiteer</w:t>
      </w:r>
      <w:bookmarkEnd w:id="22"/>
      <w:r>
        <w:rPr>
          <w:lang w:val="en-US"/>
        </w:rPr>
        <w:t xml:space="preserve"> </w:t>
      </w:r>
    </w:p>
    <w:p w14:paraId="6E2E2552" w14:textId="39055029" w:rsidR="00E02E44" w:rsidRDefault="00E02E44" w:rsidP="00E02E44">
      <w:pPr>
        <w:pStyle w:val="font-claude-response-body"/>
        <w:spacing w:line="360" w:lineRule="auto"/>
        <w:rPr>
          <w:rFonts w:ascii="Helvetica" w:hAnsi="Helvetica"/>
          <w:color w:val="000000" w:themeColor="text1"/>
          <w:sz w:val="22"/>
          <w:szCs w:val="22"/>
          <w:lang w:val="en-US"/>
        </w:rPr>
      </w:pPr>
      <w:r w:rsidRPr="00E02E44">
        <w:rPr>
          <w:rFonts w:ascii="Helvetica" w:hAnsi="Helvetica"/>
          <w:color w:val="000000" w:themeColor="text1"/>
          <w:sz w:val="22"/>
          <w:szCs w:val="22"/>
          <w:lang w:val="en-US"/>
        </w:rPr>
        <w:t xml:space="preserve">A second activity, co-design with young people and </w:t>
      </w:r>
      <w:proofErr w:type="spellStart"/>
      <w:r w:rsidRPr="00E02E44">
        <w:rPr>
          <w:rFonts w:ascii="Helvetica" w:hAnsi="Helvetica"/>
          <w:color w:val="000000" w:themeColor="text1"/>
          <w:sz w:val="22"/>
          <w:szCs w:val="22"/>
          <w:lang w:val="en-US"/>
        </w:rPr>
        <w:t>careleavers</w:t>
      </w:r>
      <w:proofErr w:type="spellEnd"/>
      <w:r w:rsidRPr="00E02E44">
        <w:rPr>
          <w:rFonts w:ascii="Helvetica" w:hAnsi="Helvetica"/>
          <w:color w:val="000000" w:themeColor="text1"/>
          <w:sz w:val="22"/>
          <w:szCs w:val="22"/>
          <w:lang w:val="en-US"/>
        </w:rPr>
        <w:t>, follows from the same logic. If the platform is developed without the lived experience of those it is meant to serve, it risks replicating the very institutional assumptions about what young people need that the paper has criticized throughout. Co-design is therefore not a participatory gesture but a safeguard against building a product that misses the actual barriers, such as language, cognitive accessibility, or fear of retaliation, that young people face. It also functions as an early form of validation: testing assumptions about usability and trust with the target group before large-scale rollout, rather than assuming institutional buy-in automatically translates into youth engagement.</w:t>
      </w:r>
    </w:p>
    <w:p w14:paraId="3356536D" w14:textId="3DD90CE4" w:rsidR="00E02E44" w:rsidRPr="00E02E44" w:rsidRDefault="00E02E44" w:rsidP="00E02E44">
      <w:pPr>
        <w:pStyle w:val="berschrift2"/>
        <w:rPr>
          <w:lang w:val="en-US"/>
        </w:rPr>
      </w:pPr>
      <w:bookmarkStart w:id="23" w:name="_Toc237288085"/>
      <w:r>
        <w:rPr>
          <w:lang w:val="en-US"/>
        </w:rPr>
        <w:t>Ombuds office</w:t>
      </w:r>
      <w:bookmarkEnd w:id="23"/>
    </w:p>
    <w:p w14:paraId="7B5AA4CF" w14:textId="77777777" w:rsidR="00E02E44" w:rsidRPr="00E02E44" w:rsidRDefault="00E02E44" w:rsidP="00E02E44">
      <w:pPr>
        <w:pStyle w:val="font-claude-response-body"/>
        <w:spacing w:line="360" w:lineRule="auto"/>
        <w:rPr>
          <w:rFonts w:ascii="Helvetica" w:hAnsi="Helvetica"/>
          <w:color w:val="000000" w:themeColor="text1"/>
          <w:sz w:val="22"/>
          <w:szCs w:val="22"/>
          <w:lang w:val="en-US"/>
        </w:rPr>
      </w:pPr>
      <w:r w:rsidRPr="00E02E44">
        <w:rPr>
          <w:rFonts w:ascii="Helvetica" w:hAnsi="Helvetica"/>
          <w:color w:val="000000" w:themeColor="text1"/>
          <w:sz w:val="22"/>
          <w:szCs w:val="22"/>
          <w:lang w:val="en-US"/>
        </w:rPr>
        <w:t>The fourth activity, running the ombuds office, is what operationalizes the independence that “</w:t>
      </w:r>
      <w:proofErr w:type="spellStart"/>
      <w:r w:rsidRPr="00E02E44">
        <w:rPr>
          <w:rFonts w:ascii="Helvetica" w:hAnsi="Helvetica"/>
          <w:color w:val="000000" w:themeColor="text1"/>
          <w:sz w:val="22"/>
          <w:szCs w:val="22"/>
          <w:lang w:val="en-US"/>
        </w:rPr>
        <w:t>VoiceUP</w:t>
      </w:r>
      <w:proofErr w:type="spellEnd"/>
      <w:r w:rsidRPr="00E02E44">
        <w:rPr>
          <w:rFonts w:ascii="Helvetica" w:hAnsi="Helvetica"/>
          <w:color w:val="000000" w:themeColor="text1"/>
          <w:sz w:val="22"/>
          <w:szCs w:val="22"/>
          <w:lang w:val="en-US"/>
        </w:rPr>
        <w:t>” promises. An anonymous reporting channel is only credible if complaints can, where necessary, be escalated beyond the institution itself. Maintaining this function as an ongoing activity, rather than a one-time integration, is what distinguishes “</w:t>
      </w:r>
      <w:proofErr w:type="spellStart"/>
      <w:r w:rsidRPr="00E02E44">
        <w:rPr>
          <w:rFonts w:ascii="Helvetica" w:hAnsi="Helvetica"/>
          <w:color w:val="000000" w:themeColor="text1"/>
          <w:sz w:val="22"/>
          <w:szCs w:val="22"/>
          <w:lang w:val="en-US"/>
        </w:rPr>
        <w:t>VoiceUP</w:t>
      </w:r>
      <w:proofErr w:type="spellEnd"/>
      <w:r w:rsidRPr="00E02E44">
        <w:rPr>
          <w:rFonts w:ascii="Helvetica" w:hAnsi="Helvetica"/>
          <w:color w:val="000000" w:themeColor="text1"/>
          <w:sz w:val="22"/>
          <w:szCs w:val="22"/>
          <w:lang w:val="en-US"/>
        </w:rPr>
        <w:t xml:space="preserve">” from a </w:t>
      </w:r>
      <w:r w:rsidRPr="00E02E44">
        <w:rPr>
          <w:rFonts w:ascii="Helvetica" w:hAnsi="Helvetica"/>
          <w:color w:val="000000" w:themeColor="text1"/>
          <w:sz w:val="22"/>
          <w:szCs w:val="22"/>
          <w:lang w:val="en-US"/>
        </w:rPr>
        <w:lastRenderedPageBreak/>
        <w:t>purely internal digital suggestion box; it is also the clearest structural answer to the problem, raised earlier, of complaints being handled by the very people they concern.</w:t>
      </w:r>
    </w:p>
    <w:p w14:paraId="3680F8A6" w14:textId="5FAACF69" w:rsidR="00E02E44" w:rsidRDefault="00E02E44" w:rsidP="00E02E44">
      <w:pPr>
        <w:pStyle w:val="berschrift2"/>
        <w:rPr>
          <w:lang w:val="en-US"/>
        </w:rPr>
      </w:pPr>
      <w:bookmarkStart w:id="24" w:name="_Toc237288086"/>
      <w:r>
        <w:rPr>
          <w:lang w:val="en-US"/>
        </w:rPr>
        <w:t>Create synergies</w:t>
      </w:r>
      <w:bookmarkEnd w:id="24"/>
    </w:p>
    <w:p w14:paraId="5F719A4D" w14:textId="4AD05CB2" w:rsidR="00E02E44" w:rsidRPr="00E02E44" w:rsidRDefault="00E02E44" w:rsidP="00E02E44">
      <w:pPr>
        <w:pStyle w:val="font-claude-response-body"/>
        <w:spacing w:line="360" w:lineRule="auto"/>
        <w:rPr>
          <w:rFonts w:ascii="Helvetica" w:hAnsi="Helvetica"/>
          <w:color w:val="000000" w:themeColor="text1"/>
          <w:sz w:val="22"/>
          <w:szCs w:val="22"/>
          <w:lang w:val="en-US"/>
        </w:rPr>
      </w:pPr>
      <w:r w:rsidRPr="00E02E44">
        <w:rPr>
          <w:rFonts w:ascii="Helvetica" w:hAnsi="Helvetica"/>
          <w:color w:val="000000" w:themeColor="text1"/>
          <w:sz w:val="22"/>
          <w:szCs w:val="22"/>
          <w:lang w:val="en-US"/>
        </w:rPr>
        <w:t>These activities depend on a corresponding set of key resources. The App/Web platform is the technical backbone, but its usefulness is contingent on the participation toolkit that accompanies it, the set of methods and materials that translate the software into an actual participation practice within an institution's daily routine. Trained facilitators represent the human resource that makes both the toolkit and the ombuds function operational; without staff or external facilitators capable of guiding institutions through implementation, the platform's technical features remain unused potential. Finally, legal expertise on § 45 SGB VIII is a resource that should not be underestimated. It is what allows “</w:t>
      </w:r>
      <w:proofErr w:type="spellStart"/>
      <w:r w:rsidRPr="00E02E44">
        <w:rPr>
          <w:rFonts w:ascii="Helvetica" w:hAnsi="Helvetica"/>
          <w:color w:val="000000" w:themeColor="text1"/>
          <w:sz w:val="22"/>
          <w:szCs w:val="22"/>
          <w:lang w:val="en-US"/>
        </w:rPr>
        <w:t>VoiceUP</w:t>
      </w:r>
      <w:proofErr w:type="spellEnd"/>
      <w:r w:rsidRPr="00E02E44">
        <w:rPr>
          <w:rFonts w:ascii="Helvetica" w:hAnsi="Helvetica"/>
          <w:color w:val="000000" w:themeColor="text1"/>
          <w:sz w:val="22"/>
          <w:szCs w:val="22"/>
          <w:lang w:val="en-US"/>
        </w:rPr>
        <w:t>” to credibly position itself not just as a helpful tool but as a compliance-relevant solution, directly addressing the documentation and oversight requirements that make institutions, particularly those facing license renewal or scrutiny, more likely to adopt it early.</w:t>
      </w:r>
    </w:p>
    <w:p w14:paraId="2439549D" w14:textId="77777777" w:rsidR="00E02E44" w:rsidRPr="00E02E44" w:rsidRDefault="00E02E44" w:rsidP="00E02E44">
      <w:pPr>
        <w:pStyle w:val="font-claude-response-body"/>
        <w:spacing w:line="360" w:lineRule="auto"/>
        <w:rPr>
          <w:rFonts w:ascii="Helvetica" w:hAnsi="Helvetica"/>
          <w:color w:val="000000" w:themeColor="text1"/>
          <w:sz w:val="22"/>
          <w:szCs w:val="22"/>
          <w:lang w:val="en-US"/>
        </w:rPr>
      </w:pPr>
      <w:r w:rsidRPr="00E02E44">
        <w:rPr>
          <w:rFonts w:ascii="Helvetica" w:hAnsi="Helvetica"/>
          <w:color w:val="000000" w:themeColor="text1"/>
          <w:sz w:val="22"/>
          <w:szCs w:val="22"/>
          <w:lang w:val="en-US"/>
        </w:rPr>
        <w:t>Taken together, the key activities and resources reveal that “</w:t>
      </w:r>
      <w:proofErr w:type="spellStart"/>
      <w:r w:rsidRPr="00E02E44">
        <w:rPr>
          <w:rFonts w:ascii="Helvetica" w:hAnsi="Helvetica"/>
          <w:color w:val="000000" w:themeColor="text1"/>
          <w:sz w:val="22"/>
          <w:szCs w:val="22"/>
          <w:lang w:val="en-US"/>
        </w:rPr>
        <w:t>VoiceUP's</w:t>
      </w:r>
      <w:proofErr w:type="spellEnd"/>
      <w:r w:rsidRPr="00E02E44">
        <w:rPr>
          <w:rFonts w:ascii="Helvetica" w:hAnsi="Helvetica"/>
          <w:color w:val="000000" w:themeColor="text1"/>
          <w:sz w:val="22"/>
          <w:szCs w:val="22"/>
          <w:lang w:val="en-US"/>
        </w:rPr>
        <w:t>” core competitive differentiation does not lie in the software itself. Digital complaint tools and participation platforms already exist in various forms; what is comparatively rare is the combination of an anonymous reporting mechanism, an independently run ombuds function, and a training and toolkit layer that actively works to change institutional culture rather than merely digitizing an existing, defensive process. This combination is also what should guide how “</w:t>
      </w:r>
      <w:proofErr w:type="spellStart"/>
      <w:r w:rsidRPr="00E02E44">
        <w:rPr>
          <w:rFonts w:ascii="Helvetica" w:hAnsi="Helvetica"/>
          <w:color w:val="000000" w:themeColor="text1"/>
          <w:sz w:val="22"/>
          <w:szCs w:val="22"/>
          <w:lang w:val="en-US"/>
        </w:rPr>
        <w:t>VoiceUP</w:t>
      </w:r>
      <w:proofErr w:type="spellEnd"/>
      <w:r w:rsidRPr="00E02E44">
        <w:rPr>
          <w:rFonts w:ascii="Helvetica" w:hAnsi="Helvetica"/>
          <w:color w:val="000000" w:themeColor="text1"/>
          <w:sz w:val="22"/>
          <w:szCs w:val="22"/>
          <w:lang w:val="en-US"/>
        </w:rPr>
        <w:t>” measures whether it is working: not only through adoption and license renewal as indicators of business success, but through indicators tied directly to these activities, such as the rate at which submitted complaints are escalated and resolved, or measurable shifts in how staff and management respond to recurring issues after training. Before committing to full-scale development of all four activities simultaneously, it would be reasonable to test this logic on a smaller scale, for instance by piloting the training and toolkit components with a single early-adopter institution, in order to confirm that the cultural shift these resources are meant to produce actually occurs before the ombuds infrastructure and platform are scaled further.</w:t>
      </w:r>
    </w:p>
    <w:p w14:paraId="7370848A" w14:textId="37CCC156" w:rsidR="00091494" w:rsidRPr="00091494" w:rsidRDefault="00091494" w:rsidP="00091494">
      <w:pPr>
        <w:pStyle w:val="berschrift1"/>
        <w:rPr>
          <w:lang w:val="en-US"/>
        </w:rPr>
      </w:pPr>
      <w:bookmarkStart w:id="25" w:name="_Toc237288087"/>
      <w:r w:rsidRPr="00091494">
        <w:rPr>
          <w:lang w:val="en-US"/>
        </w:rPr>
        <w:lastRenderedPageBreak/>
        <w:t xml:space="preserve">Channels, </w:t>
      </w:r>
      <w:r w:rsidR="00852761">
        <w:rPr>
          <w:lang w:val="en-US"/>
        </w:rPr>
        <w:t>c</w:t>
      </w:r>
      <w:r w:rsidRPr="00091494">
        <w:rPr>
          <w:lang w:val="en-US"/>
        </w:rPr>
        <w:t xml:space="preserve">ost </w:t>
      </w:r>
      <w:r w:rsidR="00852761">
        <w:rPr>
          <w:lang w:val="en-US"/>
        </w:rPr>
        <w:t>s</w:t>
      </w:r>
      <w:r w:rsidRPr="00091494">
        <w:rPr>
          <w:lang w:val="en-US"/>
        </w:rPr>
        <w:t xml:space="preserve">tructure, and </w:t>
      </w:r>
      <w:r w:rsidR="00852761">
        <w:rPr>
          <w:lang w:val="en-US"/>
        </w:rPr>
        <w:t>r</w:t>
      </w:r>
      <w:r w:rsidRPr="00091494">
        <w:rPr>
          <w:lang w:val="en-US"/>
        </w:rPr>
        <w:t xml:space="preserve">evenue </w:t>
      </w:r>
      <w:r w:rsidR="00852761">
        <w:rPr>
          <w:lang w:val="en-US"/>
        </w:rPr>
        <w:t>s</w:t>
      </w:r>
      <w:r w:rsidRPr="00091494">
        <w:rPr>
          <w:lang w:val="en-US"/>
        </w:rPr>
        <w:t xml:space="preserve">treams: </w:t>
      </w:r>
      <w:r w:rsidR="00852761">
        <w:rPr>
          <w:lang w:val="en-US"/>
        </w:rPr>
        <w:t>c</w:t>
      </w:r>
      <w:r w:rsidRPr="00091494">
        <w:rPr>
          <w:lang w:val="en-US"/>
        </w:rPr>
        <w:t xml:space="preserve">ompleting the </w:t>
      </w:r>
      <w:r w:rsidR="00852761">
        <w:rPr>
          <w:lang w:val="en-US"/>
        </w:rPr>
        <w:t>c</w:t>
      </w:r>
      <w:r w:rsidRPr="00091494">
        <w:rPr>
          <w:lang w:val="en-US"/>
        </w:rPr>
        <w:t xml:space="preserve">ommercial </w:t>
      </w:r>
      <w:r w:rsidR="00852761">
        <w:rPr>
          <w:lang w:val="en-US"/>
        </w:rPr>
        <w:t>m</w:t>
      </w:r>
      <w:r w:rsidRPr="00091494">
        <w:rPr>
          <w:lang w:val="en-US"/>
        </w:rPr>
        <w:t>odel</w:t>
      </w:r>
      <w:bookmarkEnd w:id="25"/>
    </w:p>
    <w:p w14:paraId="3E998A49" w14:textId="77777777" w:rsidR="00091494" w:rsidRPr="00091494" w:rsidRDefault="00091494" w:rsidP="00091494">
      <w:pPr>
        <w:pStyle w:val="font-claude-response-body"/>
        <w:spacing w:line="360" w:lineRule="auto"/>
        <w:rPr>
          <w:rFonts w:ascii="Helvetica" w:hAnsi="Helvetica"/>
          <w:color w:val="000000" w:themeColor="text1"/>
          <w:sz w:val="22"/>
          <w:szCs w:val="22"/>
          <w:lang w:val="en-US"/>
        </w:rPr>
      </w:pPr>
      <w:r w:rsidRPr="00091494">
        <w:rPr>
          <w:rFonts w:ascii="Helvetica" w:hAnsi="Helvetica"/>
          <w:color w:val="000000" w:themeColor="text1"/>
          <w:sz w:val="22"/>
          <w:szCs w:val="22"/>
          <w:lang w:val="en-US"/>
        </w:rPr>
        <w:t>Having established why institutions should invest in "</w:t>
      </w:r>
      <w:proofErr w:type="spellStart"/>
      <w:r w:rsidRPr="00091494">
        <w:rPr>
          <w:rFonts w:ascii="Helvetica" w:hAnsi="Helvetica"/>
          <w:color w:val="000000" w:themeColor="text1"/>
          <w:sz w:val="22"/>
          <w:szCs w:val="22"/>
          <w:lang w:val="en-US"/>
        </w:rPr>
        <w:t>VoiceUP</w:t>
      </w:r>
      <w:proofErr w:type="spellEnd"/>
      <w:r w:rsidRPr="00091494">
        <w:rPr>
          <w:rFonts w:ascii="Helvetica" w:hAnsi="Helvetica"/>
          <w:color w:val="000000" w:themeColor="text1"/>
          <w:sz w:val="22"/>
          <w:szCs w:val="22"/>
          <w:lang w:val="en-US"/>
        </w:rPr>
        <w:t>" and which activities and resources make that value proposition credible, this chapter turns to the remaining commercial building blocks of the Business Model Canvas: how "</w:t>
      </w:r>
      <w:proofErr w:type="spellStart"/>
      <w:r w:rsidRPr="00091494">
        <w:rPr>
          <w:rFonts w:ascii="Helvetica" w:hAnsi="Helvetica"/>
          <w:color w:val="000000" w:themeColor="text1"/>
          <w:sz w:val="22"/>
          <w:szCs w:val="22"/>
          <w:lang w:val="en-US"/>
        </w:rPr>
        <w:t>VoiceUP</w:t>
      </w:r>
      <w:proofErr w:type="spellEnd"/>
      <w:r w:rsidRPr="00091494">
        <w:rPr>
          <w:rFonts w:ascii="Helvetica" w:hAnsi="Helvetica"/>
          <w:color w:val="000000" w:themeColor="text1"/>
          <w:sz w:val="22"/>
          <w:szCs w:val="22"/>
          <w:lang w:val="en-US"/>
        </w:rPr>
        <w:t>" reaches its paying customers, what it costs to deliver the value proposition, and how it generates revenue. These three blocks are not independent design choices; they follow directly from the dual structure established earlier and from the insight that not every institution is equally ready to adopt.</w:t>
      </w:r>
    </w:p>
    <w:p w14:paraId="235AD86E" w14:textId="4E73FD7A" w:rsidR="00091494" w:rsidRPr="00091494" w:rsidRDefault="00091494" w:rsidP="00091494">
      <w:pPr>
        <w:pStyle w:val="berschrift2"/>
      </w:pPr>
      <w:bookmarkStart w:id="26" w:name="_Toc237288088"/>
      <w:r w:rsidRPr="00091494">
        <w:rPr>
          <w:rStyle w:val="Fett"/>
          <w:b w:val="0"/>
          <w:bCs w:val="0"/>
        </w:rPr>
        <w:t xml:space="preserve">Channels: </w:t>
      </w:r>
      <w:proofErr w:type="spellStart"/>
      <w:r w:rsidRPr="00091494">
        <w:rPr>
          <w:rStyle w:val="Fett"/>
          <w:b w:val="0"/>
          <w:bCs w:val="0"/>
        </w:rPr>
        <w:t>Reaching</w:t>
      </w:r>
      <w:proofErr w:type="spellEnd"/>
      <w:r w:rsidRPr="00091494">
        <w:rPr>
          <w:rStyle w:val="Fett"/>
          <w:b w:val="0"/>
          <w:bCs w:val="0"/>
        </w:rPr>
        <w:t xml:space="preserve"> the </w:t>
      </w:r>
      <w:proofErr w:type="spellStart"/>
      <w:r w:rsidR="00852761">
        <w:rPr>
          <w:rStyle w:val="Fett"/>
          <w:b w:val="0"/>
          <w:bCs w:val="0"/>
        </w:rPr>
        <w:t>p</w:t>
      </w:r>
      <w:r w:rsidRPr="00091494">
        <w:rPr>
          <w:rStyle w:val="Fett"/>
          <w:b w:val="0"/>
          <w:bCs w:val="0"/>
        </w:rPr>
        <w:t>aying</w:t>
      </w:r>
      <w:proofErr w:type="spellEnd"/>
      <w:r w:rsidRPr="00091494">
        <w:rPr>
          <w:rStyle w:val="Fett"/>
          <w:b w:val="0"/>
          <w:bCs w:val="0"/>
        </w:rPr>
        <w:t xml:space="preserve"> </w:t>
      </w:r>
      <w:proofErr w:type="spellStart"/>
      <w:r w:rsidR="00852761">
        <w:rPr>
          <w:rStyle w:val="Fett"/>
          <w:b w:val="0"/>
          <w:bCs w:val="0"/>
        </w:rPr>
        <w:t>c</w:t>
      </w:r>
      <w:r w:rsidRPr="00091494">
        <w:rPr>
          <w:rStyle w:val="Fett"/>
          <w:b w:val="0"/>
          <w:bCs w:val="0"/>
        </w:rPr>
        <w:t>ustomer</w:t>
      </w:r>
      <w:bookmarkEnd w:id="26"/>
      <w:proofErr w:type="spellEnd"/>
    </w:p>
    <w:p w14:paraId="6F2DB97E" w14:textId="77777777" w:rsidR="00091494" w:rsidRPr="00091494" w:rsidRDefault="00091494" w:rsidP="00091494">
      <w:pPr>
        <w:pStyle w:val="font-claude-response-body"/>
        <w:spacing w:line="360" w:lineRule="auto"/>
        <w:rPr>
          <w:rFonts w:ascii="Helvetica" w:hAnsi="Helvetica"/>
          <w:color w:val="000000" w:themeColor="text1"/>
          <w:sz w:val="22"/>
          <w:szCs w:val="22"/>
          <w:lang w:val="en-US"/>
        </w:rPr>
      </w:pPr>
      <w:r w:rsidRPr="00091494">
        <w:rPr>
          <w:rFonts w:ascii="Helvetica" w:hAnsi="Helvetica"/>
          <w:color w:val="000000" w:themeColor="text1"/>
          <w:sz w:val="22"/>
          <w:szCs w:val="22"/>
          <w:lang w:val="en-US"/>
        </w:rPr>
        <w:t>"</w:t>
      </w:r>
      <w:proofErr w:type="spellStart"/>
      <w:r w:rsidRPr="00091494">
        <w:rPr>
          <w:rFonts w:ascii="Helvetica" w:hAnsi="Helvetica"/>
          <w:color w:val="000000" w:themeColor="text1"/>
          <w:sz w:val="22"/>
          <w:szCs w:val="22"/>
          <w:lang w:val="en-US"/>
        </w:rPr>
        <w:t>VoiceUP</w:t>
      </w:r>
      <w:proofErr w:type="spellEnd"/>
      <w:r w:rsidRPr="00091494">
        <w:rPr>
          <w:rFonts w:ascii="Helvetica" w:hAnsi="Helvetica"/>
          <w:color w:val="000000" w:themeColor="text1"/>
          <w:sz w:val="22"/>
          <w:szCs w:val="22"/>
          <w:lang w:val="en-US"/>
        </w:rPr>
        <w:t>" relies on three channels: direct sales to providers, professional associations and conferences, and referrals from youth welfare offices. Direct sales is the most resource-intensive but also the most targeted channel, and it is designed with the earlier-identified early adopters in mind: institutions undergoing license renewal, facing oversight scrutiny, or recovering from a critical incident are unlikely to be reached effectively through broad marketing, but respond to a direct approach that speaks to their specific, acute need for demonstrable compliance. Professional associations and conferences serve a different function: they build "</w:t>
      </w:r>
      <w:proofErr w:type="spellStart"/>
      <w:r w:rsidRPr="00091494">
        <w:rPr>
          <w:rFonts w:ascii="Helvetica" w:hAnsi="Helvetica"/>
          <w:color w:val="000000" w:themeColor="text1"/>
          <w:sz w:val="22"/>
          <w:szCs w:val="22"/>
          <w:lang w:val="en-US"/>
        </w:rPr>
        <w:t>VoiceUP's</w:t>
      </w:r>
      <w:proofErr w:type="spellEnd"/>
      <w:r w:rsidRPr="00091494">
        <w:rPr>
          <w:rFonts w:ascii="Helvetica" w:hAnsi="Helvetica"/>
          <w:color w:val="000000" w:themeColor="text1"/>
          <w:sz w:val="22"/>
          <w:szCs w:val="22"/>
          <w:lang w:val="en-US"/>
        </w:rPr>
        <w:t>" long-term legitimacy and visibility within the sector, supporting its ambition to become a recognized quality seal rather than a one-off software purchase. Referrals from youth welfare offices are arguably the most strategically valuable channel, precisely because these offices occupy the gatekeeper position described in the stakeholder analysis. An institutional recommendation from an oversight body lowers the perceived risk of adoption far more effectively than any sales pitch, since it signals that "</w:t>
      </w:r>
      <w:proofErr w:type="spellStart"/>
      <w:r w:rsidRPr="00091494">
        <w:rPr>
          <w:rFonts w:ascii="Helvetica" w:hAnsi="Helvetica"/>
          <w:color w:val="000000" w:themeColor="text1"/>
          <w:sz w:val="22"/>
          <w:szCs w:val="22"/>
          <w:lang w:val="en-US"/>
        </w:rPr>
        <w:t>VoiceUP</w:t>
      </w:r>
      <w:proofErr w:type="spellEnd"/>
      <w:r w:rsidRPr="00091494">
        <w:rPr>
          <w:rFonts w:ascii="Helvetica" w:hAnsi="Helvetica"/>
          <w:color w:val="000000" w:themeColor="text1"/>
          <w:sz w:val="22"/>
          <w:szCs w:val="22"/>
          <w:lang w:val="en-US"/>
        </w:rPr>
        <w:t>" is already recognized as compliant and credible by the very authority providers must satisfy.</w:t>
      </w:r>
    </w:p>
    <w:p w14:paraId="48320631" w14:textId="7ECDE7FE" w:rsidR="00091494" w:rsidRPr="00852761" w:rsidRDefault="00091494" w:rsidP="00091494">
      <w:pPr>
        <w:pStyle w:val="berschrift2"/>
        <w:rPr>
          <w:lang w:val="en-US"/>
        </w:rPr>
      </w:pPr>
      <w:bookmarkStart w:id="27" w:name="_Toc237288089"/>
      <w:r w:rsidRPr="00852761">
        <w:rPr>
          <w:rStyle w:val="Fett"/>
          <w:b w:val="0"/>
          <w:bCs w:val="0"/>
          <w:lang w:val="en-US"/>
        </w:rPr>
        <w:t xml:space="preserve">Cost </w:t>
      </w:r>
      <w:r w:rsidR="00852761" w:rsidRPr="00852761">
        <w:rPr>
          <w:rStyle w:val="Fett"/>
          <w:b w:val="0"/>
          <w:bCs w:val="0"/>
          <w:lang w:val="en-US"/>
        </w:rPr>
        <w:t>s</w:t>
      </w:r>
      <w:r w:rsidRPr="00852761">
        <w:rPr>
          <w:rStyle w:val="Fett"/>
          <w:b w:val="0"/>
          <w:bCs w:val="0"/>
          <w:lang w:val="en-US"/>
        </w:rPr>
        <w:t xml:space="preserve">tructure: The </w:t>
      </w:r>
      <w:r w:rsidR="00852761" w:rsidRPr="00852761">
        <w:rPr>
          <w:rStyle w:val="Fett"/>
          <w:b w:val="0"/>
          <w:bCs w:val="0"/>
          <w:lang w:val="en-US"/>
        </w:rPr>
        <w:t>p</w:t>
      </w:r>
      <w:r w:rsidRPr="00852761">
        <w:rPr>
          <w:rStyle w:val="Fett"/>
          <w:b w:val="0"/>
          <w:bCs w:val="0"/>
          <w:lang w:val="en-US"/>
        </w:rPr>
        <w:t xml:space="preserve">rice of </w:t>
      </w:r>
      <w:r w:rsidR="00852761" w:rsidRPr="00852761">
        <w:rPr>
          <w:rStyle w:val="Fett"/>
          <w:b w:val="0"/>
          <w:bCs w:val="0"/>
          <w:lang w:val="en-US"/>
        </w:rPr>
        <w:t>g</w:t>
      </w:r>
      <w:r w:rsidRPr="00852761">
        <w:rPr>
          <w:rStyle w:val="Fett"/>
          <w:b w:val="0"/>
          <w:bCs w:val="0"/>
          <w:lang w:val="en-US"/>
        </w:rPr>
        <w:t xml:space="preserve">enuine </w:t>
      </w:r>
      <w:r w:rsidR="00852761" w:rsidRPr="00852761">
        <w:rPr>
          <w:rStyle w:val="Fett"/>
          <w:b w:val="0"/>
          <w:bCs w:val="0"/>
          <w:lang w:val="en-US"/>
        </w:rPr>
        <w:t>p</w:t>
      </w:r>
      <w:r w:rsidRPr="00852761">
        <w:rPr>
          <w:rStyle w:val="Fett"/>
          <w:b w:val="0"/>
          <w:bCs w:val="0"/>
          <w:lang w:val="en-US"/>
        </w:rPr>
        <w:t>articipation</w:t>
      </w:r>
      <w:bookmarkEnd w:id="27"/>
    </w:p>
    <w:p w14:paraId="42246389" w14:textId="7ACDF73D" w:rsidR="00091494" w:rsidRPr="00091494" w:rsidRDefault="00091494" w:rsidP="00091494">
      <w:pPr>
        <w:pStyle w:val="font-claude-response-body"/>
        <w:spacing w:line="360" w:lineRule="auto"/>
        <w:rPr>
          <w:rFonts w:ascii="Helvetica" w:hAnsi="Helvetica"/>
          <w:color w:val="000000" w:themeColor="text1"/>
          <w:sz w:val="22"/>
          <w:szCs w:val="22"/>
          <w:lang w:val="en-US"/>
        </w:rPr>
      </w:pPr>
      <w:r w:rsidRPr="00091494">
        <w:rPr>
          <w:rFonts w:ascii="Helvetica" w:hAnsi="Helvetica"/>
          <w:color w:val="000000" w:themeColor="text1"/>
          <w:sz w:val="22"/>
          <w:szCs w:val="22"/>
          <w:lang w:val="en-US"/>
        </w:rPr>
        <w:t>The cost structure mirrors, almost item for item, the key activities identified earlier: platform development and maintenance, staff training, running the ombuds office, and sales and marketing. This alignment is not incidental. It confirms that "</w:t>
      </w:r>
      <w:proofErr w:type="spellStart"/>
      <w:r w:rsidRPr="00091494">
        <w:rPr>
          <w:rFonts w:ascii="Helvetica" w:hAnsi="Helvetica"/>
          <w:color w:val="000000" w:themeColor="text1"/>
          <w:sz w:val="22"/>
          <w:szCs w:val="22"/>
          <w:lang w:val="en-US"/>
        </w:rPr>
        <w:t>VoiceUP's</w:t>
      </w:r>
      <w:proofErr w:type="spellEnd"/>
      <w:r w:rsidRPr="00091494">
        <w:rPr>
          <w:rFonts w:ascii="Helvetica" w:hAnsi="Helvetica"/>
          <w:color w:val="000000" w:themeColor="text1"/>
          <w:sz w:val="22"/>
          <w:szCs w:val="22"/>
          <w:lang w:val="en-US"/>
        </w:rPr>
        <w:t xml:space="preserve">" costs are not those of a conventional </w:t>
      </w:r>
      <w:r>
        <w:rPr>
          <w:rFonts w:ascii="Helvetica" w:hAnsi="Helvetica"/>
          <w:color w:val="000000" w:themeColor="text1"/>
          <w:sz w:val="22"/>
          <w:szCs w:val="22"/>
          <w:lang w:val="en-US"/>
        </w:rPr>
        <w:t>“</w:t>
      </w:r>
      <w:r w:rsidRPr="00091494">
        <w:rPr>
          <w:rFonts w:ascii="Helvetica" w:hAnsi="Helvetica"/>
          <w:color w:val="000000" w:themeColor="text1"/>
          <w:sz w:val="22"/>
          <w:szCs w:val="22"/>
          <w:lang w:val="en-US"/>
        </w:rPr>
        <w:t>SaaS</w:t>
      </w:r>
      <w:r>
        <w:rPr>
          <w:rFonts w:ascii="Helvetica" w:hAnsi="Helvetica"/>
          <w:color w:val="000000" w:themeColor="text1"/>
          <w:sz w:val="22"/>
          <w:szCs w:val="22"/>
          <w:lang w:val="en-US"/>
        </w:rPr>
        <w:t>”</w:t>
      </w:r>
      <w:r w:rsidRPr="00091494">
        <w:rPr>
          <w:rFonts w:ascii="Helvetica" w:hAnsi="Helvetica"/>
          <w:color w:val="000000" w:themeColor="text1"/>
          <w:sz w:val="22"/>
          <w:szCs w:val="22"/>
          <w:lang w:val="en-US"/>
        </w:rPr>
        <w:t xml:space="preserve"> product, where the software itself dominates the cost base. Training and the ombuds office, the two elements this paper has argued are central to "</w:t>
      </w:r>
      <w:proofErr w:type="spellStart"/>
      <w:r w:rsidRPr="00091494">
        <w:rPr>
          <w:rFonts w:ascii="Helvetica" w:hAnsi="Helvetica"/>
          <w:color w:val="000000" w:themeColor="text1"/>
          <w:sz w:val="22"/>
          <w:szCs w:val="22"/>
          <w:lang w:val="en-US"/>
        </w:rPr>
        <w:t>VoiceUP's</w:t>
      </w:r>
      <w:proofErr w:type="spellEnd"/>
      <w:r w:rsidRPr="00091494">
        <w:rPr>
          <w:rFonts w:ascii="Helvetica" w:hAnsi="Helvetica"/>
          <w:color w:val="000000" w:themeColor="text1"/>
          <w:sz w:val="22"/>
          <w:szCs w:val="22"/>
          <w:lang w:val="en-US"/>
        </w:rPr>
        <w:t xml:space="preserve">" </w:t>
      </w:r>
      <w:r w:rsidRPr="00091494">
        <w:rPr>
          <w:rFonts w:ascii="Helvetica" w:hAnsi="Helvetica"/>
          <w:color w:val="000000" w:themeColor="text1"/>
          <w:sz w:val="22"/>
          <w:szCs w:val="22"/>
          <w:lang w:val="en-US"/>
        </w:rPr>
        <w:lastRenderedPageBreak/>
        <w:t>actual differentiation from existing digital complaint tools, represent recurring, non-trivial cost items precisely because they cannot be automated away; they depend on people. This has a direct implication for the business model: any attempt to cut costs by scaling back training or ombuds capacity would undermine the very features that distinguish "</w:t>
      </w:r>
      <w:proofErr w:type="spellStart"/>
      <w:r w:rsidRPr="00091494">
        <w:rPr>
          <w:rFonts w:ascii="Helvetica" w:hAnsi="Helvetica"/>
          <w:color w:val="000000" w:themeColor="text1"/>
          <w:sz w:val="22"/>
          <w:szCs w:val="22"/>
          <w:lang w:val="en-US"/>
        </w:rPr>
        <w:t>VoiceUP</w:t>
      </w:r>
      <w:proofErr w:type="spellEnd"/>
      <w:r w:rsidRPr="00091494">
        <w:rPr>
          <w:rFonts w:ascii="Helvetica" w:hAnsi="Helvetica"/>
          <w:color w:val="000000" w:themeColor="text1"/>
          <w:sz w:val="22"/>
          <w:szCs w:val="22"/>
          <w:lang w:val="en-US"/>
        </w:rPr>
        <w:t>" from a purely digital suggestion box, and would risk reproducing the tokenistic protection concepts the paper has criticized throughout. Sales and marketing costs, meanwhile, are best understood not as broad-based customer acquisition spending but as the cost of identifying and convincing the narrower group of early-adopter institutions discussed above, a more targeted, and initially more expensive, sales motion than mass-market outreach.</w:t>
      </w:r>
    </w:p>
    <w:p w14:paraId="090B6187" w14:textId="4F6E82AD" w:rsidR="00091494" w:rsidRPr="00091494" w:rsidRDefault="00091494" w:rsidP="00091494">
      <w:pPr>
        <w:pStyle w:val="berschrift2"/>
        <w:rPr>
          <w:lang w:val="en-US"/>
        </w:rPr>
      </w:pPr>
      <w:bookmarkStart w:id="28" w:name="_Toc237288090"/>
      <w:r w:rsidRPr="00091494">
        <w:rPr>
          <w:rStyle w:val="Fett"/>
          <w:b w:val="0"/>
          <w:bCs w:val="0"/>
          <w:lang w:val="en-US"/>
        </w:rPr>
        <w:t xml:space="preserve">Revenue </w:t>
      </w:r>
      <w:r w:rsidR="00852761">
        <w:rPr>
          <w:rStyle w:val="Fett"/>
          <w:b w:val="0"/>
          <w:bCs w:val="0"/>
          <w:lang w:val="en-US"/>
        </w:rPr>
        <w:t>s</w:t>
      </w:r>
      <w:r w:rsidRPr="00091494">
        <w:rPr>
          <w:rStyle w:val="Fett"/>
          <w:b w:val="0"/>
          <w:bCs w:val="0"/>
          <w:lang w:val="en-US"/>
        </w:rPr>
        <w:t xml:space="preserve">treams: Aligning </w:t>
      </w:r>
      <w:r w:rsidR="00852761">
        <w:rPr>
          <w:rStyle w:val="Fett"/>
          <w:b w:val="0"/>
          <w:bCs w:val="0"/>
          <w:lang w:val="en-US"/>
        </w:rPr>
        <w:t>r</w:t>
      </w:r>
      <w:r w:rsidRPr="00091494">
        <w:rPr>
          <w:rStyle w:val="Fett"/>
          <w:b w:val="0"/>
          <w:bCs w:val="0"/>
          <w:lang w:val="en-US"/>
        </w:rPr>
        <w:t xml:space="preserve">evenue with </w:t>
      </w:r>
      <w:r w:rsidR="00852761">
        <w:rPr>
          <w:rStyle w:val="Fett"/>
          <w:b w:val="0"/>
          <w:bCs w:val="0"/>
          <w:lang w:val="en-US"/>
        </w:rPr>
        <w:t>v</w:t>
      </w:r>
      <w:r w:rsidRPr="00091494">
        <w:rPr>
          <w:rStyle w:val="Fett"/>
          <w:b w:val="0"/>
          <w:bCs w:val="0"/>
          <w:lang w:val="en-US"/>
        </w:rPr>
        <w:t>alue</w:t>
      </w:r>
      <w:bookmarkEnd w:id="28"/>
    </w:p>
    <w:p w14:paraId="14A93AF5" w14:textId="77777777" w:rsidR="00091494" w:rsidRPr="00091494" w:rsidRDefault="00091494" w:rsidP="00091494">
      <w:pPr>
        <w:pStyle w:val="font-claude-response-body"/>
        <w:spacing w:line="360" w:lineRule="auto"/>
        <w:rPr>
          <w:rFonts w:ascii="Helvetica" w:hAnsi="Helvetica"/>
          <w:color w:val="000000" w:themeColor="text1"/>
          <w:sz w:val="22"/>
          <w:szCs w:val="22"/>
          <w:lang w:val="en-US"/>
        </w:rPr>
      </w:pPr>
      <w:r w:rsidRPr="00091494">
        <w:rPr>
          <w:rFonts w:ascii="Helvetica" w:hAnsi="Helvetica"/>
          <w:color w:val="000000" w:themeColor="text1"/>
          <w:sz w:val="22"/>
          <w:szCs w:val="22"/>
          <w:lang w:val="en-US"/>
        </w:rPr>
        <w:t xml:space="preserve">Revenue is generated through a recurring license fee, a one-time implementation fee, and an add-on reporting and benchmarking module. The license fee reflects the long-term, relationship-based nature of the customer connection already anchored in the Customer Relationships block, and provides the predictable revenue base needed to sustain the ombuds office as an ongoing, rather than one-off, activity. The implementation fee covers the upfront cost of onboarding, customization, and initial training, and can plausibly be reduced or waived for early-adopter pilots to lower the barrier to a first, validating engagement. The add-on module is the most strategically interesting stream: it monetizes the data-driven quality development discussed earlier, allowing institutions with several sites to benchmark performance across locations, directly supporting the § 79a SGB VIII quality-development argument. This </w:t>
      </w:r>
      <w:proofErr w:type="gramStart"/>
      <w:r w:rsidRPr="00091494">
        <w:rPr>
          <w:rFonts w:ascii="Helvetica" w:hAnsi="Helvetica"/>
          <w:color w:val="000000" w:themeColor="text1"/>
          <w:sz w:val="22"/>
          <w:szCs w:val="22"/>
          <w:lang w:val="en-US"/>
        </w:rPr>
        <w:t>upsell</w:t>
      </w:r>
      <w:proofErr w:type="gramEnd"/>
      <w:r w:rsidRPr="00091494">
        <w:rPr>
          <w:rFonts w:ascii="Helvetica" w:hAnsi="Helvetica"/>
          <w:color w:val="000000" w:themeColor="text1"/>
          <w:sz w:val="22"/>
          <w:szCs w:val="22"/>
          <w:lang w:val="en-US"/>
        </w:rPr>
        <w:t xml:space="preserve"> logic also offers a natural point at which business success (module adoption, renewal) and social impact (whether benchmarking data actually leads to structural improvements for young people) can be measured together, rather than as separate metrics.</w:t>
      </w:r>
    </w:p>
    <w:p w14:paraId="3B478459" w14:textId="77777777" w:rsidR="00091494" w:rsidRPr="00091494" w:rsidRDefault="00091494" w:rsidP="00091494">
      <w:pPr>
        <w:pStyle w:val="berschrift2"/>
        <w:rPr>
          <w:lang w:val="en-US"/>
        </w:rPr>
      </w:pPr>
      <w:bookmarkStart w:id="29" w:name="_Toc237288091"/>
      <w:r w:rsidRPr="00091494">
        <w:rPr>
          <w:rStyle w:val="Fett"/>
          <w:b w:val="0"/>
          <w:bCs w:val="0"/>
          <w:lang w:val="en-US"/>
        </w:rPr>
        <w:t>Commercial conclusion</w:t>
      </w:r>
      <w:bookmarkEnd w:id="29"/>
    </w:p>
    <w:p w14:paraId="41AD1EC7" w14:textId="77777777" w:rsidR="00091494" w:rsidRPr="00091494" w:rsidRDefault="00091494" w:rsidP="00091494">
      <w:pPr>
        <w:pStyle w:val="font-claude-response-body"/>
        <w:spacing w:line="360" w:lineRule="auto"/>
        <w:rPr>
          <w:rFonts w:ascii="Helvetica" w:hAnsi="Helvetica"/>
          <w:color w:val="000000" w:themeColor="text1"/>
          <w:sz w:val="22"/>
          <w:szCs w:val="22"/>
          <w:lang w:val="en-US"/>
        </w:rPr>
      </w:pPr>
      <w:r w:rsidRPr="00091494">
        <w:rPr>
          <w:rFonts w:ascii="Helvetica" w:hAnsi="Helvetica"/>
          <w:color w:val="000000" w:themeColor="text1"/>
          <w:sz w:val="22"/>
          <w:szCs w:val="22"/>
          <w:lang w:val="en-US"/>
        </w:rPr>
        <w:t>Taken together, channels, cost structure, and revenue streams confirm the picture developed in earlier chapters: the commercial architecture of "</w:t>
      </w:r>
      <w:proofErr w:type="spellStart"/>
      <w:r w:rsidRPr="00091494">
        <w:rPr>
          <w:rFonts w:ascii="Helvetica" w:hAnsi="Helvetica"/>
          <w:color w:val="000000" w:themeColor="text1"/>
          <w:sz w:val="22"/>
          <w:szCs w:val="22"/>
          <w:lang w:val="en-US"/>
        </w:rPr>
        <w:t>VoiceUP</w:t>
      </w:r>
      <w:proofErr w:type="spellEnd"/>
      <w:r w:rsidRPr="00091494">
        <w:rPr>
          <w:rFonts w:ascii="Helvetica" w:hAnsi="Helvetica"/>
          <w:color w:val="000000" w:themeColor="text1"/>
          <w:sz w:val="22"/>
          <w:szCs w:val="22"/>
          <w:lang w:val="en-US"/>
        </w:rPr>
        <w:t>" is built almost entirely around the paying institution, while the revenue it generates is what sustains the resource- and people-intensive activities, training and the ombuds office, that ultimately deliver value to young people. This is the practical mechanism behind the dual value proposition described earlier: institutional revenue cross-subsidizes the social value proposition, and the long-term financial viability of "</w:t>
      </w:r>
      <w:proofErr w:type="spellStart"/>
      <w:r w:rsidRPr="00091494">
        <w:rPr>
          <w:rFonts w:ascii="Helvetica" w:hAnsi="Helvetica"/>
          <w:color w:val="000000" w:themeColor="text1"/>
          <w:sz w:val="22"/>
          <w:szCs w:val="22"/>
          <w:lang w:val="en-US"/>
        </w:rPr>
        <w:t>VoiceUP</w:t>
      </w:r>
      <w:proofErr w:type="spellEnd"/>
      <w:r w:rsidRPr="00091494">
        <w:rPr>
          <w:rFonts w:ascii="Helvetica" w:hAnsi="Helvetica"/>
          <w:color w:val="000000" w:themeColor="text1"/>
          <w:sz w:val="22"/>
          <w:szCs w:val="22"/>
          <w:lang w:val="en-US"/>
        </w:rPr>
        <w:t>" therefore depends on maintaining, rather than eroding, this link between what institutions pay for and what young people actually experience.</w:t>
      </w:r>
    </w:p>
    <w:p w14:paraId="73E00E7F" w14:textId="14488B64" w:rsidR="006646A7" w:rsidRPr="00E02E44" w:rsidRDefault="006646A7" w:rsidP="00A608C2">
      <w:pPr>
        <w:pStyle w:val="StandardWeb"/>
        <w:spacing w:line="360" w:lineRule="auto"/>
        <w:rPr>
          <w:rFonts w:ascii="Helvetica" w:hAnsi="Helvetica"/>
          <w:color w:val="000000" w:themeColor="text1"/>
          <w:sz w:val="22"/>
          <w:szCs w:val="22"/>
          <w:lang w:val="en-US"/>
        </w:rPr>
      </w:pPr>
    </w:p>
    <w:p w14:paraId="2044093D" w14:textId="3F1E7D94" w:rsidR="00223AC9" w:rsidRPr="00E02E44" w:rsidRDefault="00223AC9" w:rsidP="006D3F77">
      <w:pPr>
        <w:pStyle w:val="StandardWeb"/>
        <w:spacing w:line="360" w:lineRule="auto"/>
        <w:rPr>
          <w:rFonts w:ascii="Helvetica" w:hAnsi="Helvetica"/>
          <w:color w:val="000000" w:themeColor="text1"/>
          <w:sz w:val="22"/>
          <w:szCs w:val="22"/>
          <w:lang w:val="en-US"/>
        </w:rPr>
      </w:pPr>
    </w:p>
    <w:p w14:paraId="304CA672" w14:textId="77777777" w:rsidR="00A608C2" w:rsidRPr="00E02E44" w:rsidRDefault="00A608C2" w:rsidP="006D3F77">
      <w:pPr>
        <w:pStyle w:val="StandardWeb"/>
        <w:spacing w:line="360" w:lineRule="auto"/>
        <w:rPr>
          <w:rFonts w:ascii="Helvetica" w:hAnsi="Helvetica"/>
          <w:color w:val="000000" w:themeColor="text1"/>
          <w:sz w:val="22"/>
          <w:szCs w:val="22"/>
          <w:lang w:val="en-US"/>
        </w:rPr>
      </w:pPr>
    </w:p>
    <w:p w14:paraId="57E71364" w14:textId="77777777" w:rsidR="00A608C2" w:rsidRDefault="00A608C2" w:rsidP="006D3F77">
      <w:pPr>
        <w:pStyle w:val="StandardWeb"/>
        <w:spacing w:line="360" w:lineRule="auto"/>
        <w:rPr>
          <w:rFonts w:ascii="Helvetica" w:hAnsi="Helvetica"/>
          <w:color w:val="000000" w:themeColor="text1"/>
          <w:sz w:val="22"/>
          <w:szCs w:val="22"/>
          <w:lang w:val="en-US"/>
        </w:rPr>
      </w:pPr>
    </w:p>
    <w:sectPr w:rsidR="00A608C2" w:rsidSect="006646A7">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50D4FA" w14:textId="77777777" w:rsidR="008D5EE5" w:rsidRDefault="008D5EE5" w:rsidP="006646A7">
      <w:pPr>
        <w:spacing w:after="0" w:line="240" w:lineRule="auto"/>
      </w:pPr>
      <w:r>
        <w:separator/>
      </w:r>
    </w:p>
  </w:endnote>
  <w:endnote w:type="continuationSeparator" w:id="0">
    <w:p w14:paraId="6F3BD290" w14:textId="77777777" w:rsidR="008D5EE5" w:rsidRDefault="008D5EE5" w:rsidP="00664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DCFE04" w14:textId="77777777" w:rsidR="008D5EE5" w:rsidRDefault="008D5EE5" w:rsidP="006646A7">
      <w:pPr>
        <w:spacing w:after="0" w:line="240" w:lineRule="auto"/>
      </w:pPr>
      <w:r>
        <w:separator/>
      </w:r>
    </w:p>
  </w:footnote>
  <w:footnote w:type="continuationSeparator" w:id="0">
    <w:p w14:paraId="18CAD93E" w14:textId="77777777" w:rsidR="008D5EE5" w:rsidRDefault="008D5EE5" w:rsidP="006646A7">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6A7"/>
    <w:rsid w:val="00091494"/>
    <w:rsid w:val="00114301"/>
    <w:rsid w:val="00125877"/>
    <w:rsid w:val="001E11EA"/>
    <w:rsid w:val="00205954"/>
    <w:rsid w:val="00223AC9"/>
    <w:rsid w:val="00262A68"/>
    <w:rsid w:val="003C5F6F"/>
    <w:rsid w:val="00477455"/>
    <w:rsid w:val="004A0A14"/>
    <w:rsid w:val="004D6C68"/>
    <w:rsid w:val="0053092C"/>
    <w:rsid w:val="006361EB"/>
    <w:rsid w:val="006646A7"/>
    <w:rsid w:val="006D3F77"/>
    <w:rsid w:val="0076556B"/>
    <w:rsid w:val="00852761"/>
    <w:rsid w:val="00896EB4"/>
    <w:rsid w:val="008A7E64"/>
    <w:rsid w:val="008B7918"/>
    <w:rsid w:val="008D5EE5"/>
    <w:rsid w:val="00912DFE"/>
    <w:rsid w:val="00970EBB"/>
    <w:rsid w:val="00984394"/>
    <w:rsid w:val="00A608C2"/>
    <w:rsid w:val="00AA3D23"/>
    <w:rsid w:val="00AD34C5"/>
    <w:rsid w:val="00B005B0"/>
    <w:rsid w:val="00C92357"/>
    <w:rsid w:val="00DD4046"/>
    <w:rsid w:val="00E02E44"/>
    <w:rsid w:val="00E37031"/>
    <w:rsid w:val="00E43C0A"/>
    <w:rsid w:val="00E83B74"/>
    <w:rsid w:val="00EB4FD9"/>
    <w:rsid w:val="00F20B08"/>
    <w:rsid w:val="00F34F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F4CAB"/>
  <w15:chartTrackingRefBased/>
  <w15:docId w15:val="{CB8792EB-464F-1A46-906F-DD75A64E8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64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64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646A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646A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646A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646A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646A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646A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646A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646A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646A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646A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646A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646A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646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646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646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646A7"/>
    <w:rPr>
      <w:rFonts w:eastAsiaTheme="majorEastAsia" w:cstheme="majorBidi"/>
      <w:color w:val="272727" w:themeColor="text1" w:themeTint="D8"/>
    </w:rPr>
  </w:style>
  <w:style w:type="paragraph" w:styleId="Titel">
    <w:name w:val="Title"/>
    <w:basedOn w:val="Standard"/>
    <w:next w:val="Standard"/>
    <w:link w:val="TitelZchn"/>
    <w:uiPriority w:val="10"/>
    <w:qFormat/>
    <w:rsid w:val="00664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646A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646A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646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646A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646A7"/>
    <w:rPr>
      <w:i/>
      <w:iCs/>
      <w:color w:val="404040" w:themeColor="text1" w:themeTint="BF"/>
    </w:rPr>
  </w:style>
  <w:style w:type="paragraph" w:styleId="Listenabsatz">
    <w:name w:val="List Paragraph"/>
    <w:basedOn w:val="Standard"/>
    <w:uiPriority w:val="34"/>
    <w:qFormat/>
    <w:rsid w:val="006646A7"/>
    <w:pPr>
      <w:ind w:left="720"/>
      <w:contextualSpacing/>
    </w:pPr>
  </w:style>
  <w:style w:type="character" w:styleId="IntensiveHervorhebung">
    <w:name w:val="Intense Emphasis"/>
    <w:basedOn w:val="Absatz-Standardschriftart"/>
    <w:uiPriority w:val="21"/>
    <w:qFormat/>
    <w:rsid w:val="006646A7"/>
    <w:rPr>
      <w:i/>
      <w:iCs/>
      <w:color w:val="0F4761" w:themeColor="accent1" w:themeShade="BF"/>
    </w:rPr>
  </w:style>
  <w:style w:type="paragraph" w:styleId="IntensivesZitat">
    <w:name w:val="Intense Quote"/>
    <w:basedOn w:val="Standard"/>
    <w:next w:val="Standard"/>
    <w:link w:val="IntensivesZitatZchn"/>
    <w:uiPriority w:val="30"/>
    <w:qFormat/>
    <w:rsid w:val="00664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646A7"/>
    <w:rPr>
      <w:i/>
      <w:iCs/>
      <w:color w:val="0F4761" w:themeColor="accent1" w:themeShade="BF"/>
    </w:rPr>
  </w:style>
  <w:style w:type="character" w:styleId="IntensiverVerweis">
    <w:name w:val="Intense Reference"/>
    <w:basedOn w:val="Absatz-Standardschriftart"/>
    <w:uiPriority w:val="32"/>
    <w:qFormat/>
    <w:rsid w:val="006646A7"/>
    <w:rPr>
      <w:b/>
      <w:bCs/>
      <w:smallCaps/>
      <w:color w:val="0F4761" w:themeColor="accent1" w:themeShade="BF"/>
      <w:spacing w:val="5"/>
    </w:rPr>
  </w:style>
  <w:style w:type="paragraph" w:styleId="KeinLeerraum">
    <w:name w:val="No Spacing"/>
    <w:link w:val="KeinLeerraumZchn"/>
    <w:uiPriority w:val="1"/>
    <w:qFormat/>
    <w:rsid w:val="006646A7"/>
    <w:pPr>
      <w:spacing w:after="0" w:line="240" w:lineRule="auto"/>
    </w:pPr>
    <w:rPr>
      <w:rFonts w:eastAsiaTheme="minorEastAsia"/>
      <w:kern w:val="0"/>
      <w:sz w:val="22"/>
      <w:szCs w:val="22"/>
      <w:lang w:val="en-US" w:eastAsia="zh-CN"/>
      <w14:ligatures w14:val="none"/>
    </w:rPr>
  </w:style>
  <w:style w:type="character" w:customStyle="1" w:styleId="KeinLeerraumZchn">
    <w:name w:val="Kein Leerraum Zchn"/>
    <w:basedOn w:val="Absatz-Standardschriftart"/>
    <w:link w:val="KeinLeerraum"/>
    <w:uiPriority w:val="1"/>
    <w:rsid w:val="006646A7"/>
    <w:rPr>
      <w:rFonts w:eastAsiaTheme="minorEastAsia"/>
      <w:kern w:val="0"/>
      <w:sz w:val="22"/>
      <w:szCs w:val="22"/>
      <w:lang w:val="en-US" w:eastAsia="zh-CN"/>
      <w14:ligatures w14:val="none"/>
    </w:rPr>
  </w:style>
  <w:style w:type="paragraph" w:styleId="Inhaltsverzeichnisberschrift">
    <w:name w:val="TOC Heading"/>
    <w:basedOn w:val="berschrift1"/>
    <w:next w:val="Standard"/>
    <w:uiPriority w:val="39"/>
    <w:unhideWhenUsed/>
    <w:qFormat/>
    <w:rsid w:val="006646A7"/>
    <w:pPr>
      <w:spacing w:before="480" w:after="0" w:line="276" w:lineRule="auto"/>
      <w:outlineLvl w:val="9"/>
    </w:pPr>
    <w:rPr>
      <w:b/>
      <w:bCs/>
      <w:kern w:val="0"/>
      <w:sz w:val="28"/>
      <w:szCs w:val="28"/>
      <w:lang w:eastAsia="de-DE"/>
      <w14:ligatures w14:val="none"/>
    </w:rPr>
  </w:style>
  <w:style w:type="paragraph" w:styleId="Verzeichnis1">
    <w:name w:val="toc 1"/>
    <w:basedOn w:val="Standard"/>
    <w:next w:val="Standard"/>
    <w:autoRedefine/>
    <w:uiPriority w:val="39"/>
    <w:unhideWhenUsed/>
    <w:rsid w:val="006646A7"/>
    <w:pPr>
      <w:spacing w:before="360" w:after="360"/>
    </w:pPr>
    <w:rPr>
      <w:b/>
      <w:bCs/>
      <w:caps/>
      <w:sz w:val="22"/>
      <w:szCs w:val="22"/>
      <w:u w:val="single"/>
    </w:rPr>
  </w:style>
  <w:style w:type="paragraph" w:styleId="Verzeichnis2">
    <w:name w:val="toc 2"/>
    <w:basedOn w:val="Standard"/>
    <w:next w:val="Standard"/>
    <w:autoRedefine/>
    <w:uiPriority w:val="39"/>
    <w:unhideWhenUsed/>
    <w:rsid w:val="006646A7"/>
    <w:pPr>
      <w:spacing w:after="0"/>
    </w:pPr>
    <w:rPr>
      <w:b/>
      <w:bCs/>
      <w:smallCaps/>
      <w:sz w:val="22"/>
      <w:szCs w:val="22"/>
    </w:rPr>
  </w:style>
  <w:style w:type="paragraph" w:styleId="Verzeichnis3">
    <w:name w:val="toc 3"/>
    <w:basedOn w:val="Standard"/>
    <w:next w:val="Standard"/>
    <w:autoRedefine/>
    <w:uiPriority w:val="39"/>
    <w:semiHidden/>
    <w:unhideWhenUsed/>
    <w:rsid w:val="006646A7"/>
    <w:pPr>
      <w:spacing w:after="0"/>
    </w:pPr>
    <w:rPr>
      <w:smallCaps/>
      <w:sz w:val="22"/>
      <w:szCs w:val="22"/>
    </w:rPr>
  </w:style>
  <w:style w:type="paragraph" w:styleId="Verzeichnis4">
    <w:name w:val="toc 4"/>
    <w:basedOn w:val="Standard"/>
    <w:next w:val="Standard"/>
    <w:autoRedefine/>
    <w:uiPriority w:val="39"/>
    <w:semiHidden/>
    <w:unhideWhenUsed/>
    <w:rsid w:val="006646A7"/>
    <w:pPr>
      <w:spacing w:after="0"/>
    </w:pPr>
    <w:rPr>
      <w:sz w:val="22"/>
      <w:szCs w:val="22"/>
    </w:rPr>
  </w:style>
  <w:style w:type="paragraph" w:styleId="Verzeichnis5">
    <w:name w:val="toc 5"/>
    <w:basedOn w:val="Standard"/>
    <w:next w:val="Standard"/>
    <w:autoRedefine/>
    <w:uiPriority w:val="39"/>
    <w:semiHidden/>
    <w:unhideWhenUsed/>
    <w:rsid w:val="006646A7"/>
    <w:pPr>
      <w:spacing w:after="0"/>
    </w:pPr>
    <w:rPr>
      <w:sz w:val="22"/>
      <w:szCs w:val="22"/>
    </w:rPr>
  </w:style>
  <w:style w:type="paragraph" w:styleId="Verzeichnis6">
    <w:name w:val="toc 6"/>
    <w:basedOn w:val="Standard"/>
    <w:next w:val="Standard"/>
    <w:autoRedefine/>
    <w:uiPriority w:val="39"/>
    <w:semiHidden/>
    <w:unhideWhenUsed/>
    <w:rsid w:val="006646A7"/>
    <w:pPr>
      <w:spacing w:after="0"/>
    </w:pPr>
    <w:rPr>
      <w:sz w:val="22"/>
      <w:szCs w:val="22"/>
    </w:rPr>
  </w:style>
  <w:style w:type="paragraph" w:styleId="Verzeichnis7">
    <w:name w:val="toc 7"/>
    <w:basedOn w:val="Standard"/>
    <w:next w:val="Standard"/>
    <w:autoRedefine/>
    <w:uiPriority w:val="39"/>
    <w:semiHidden/>
    <w:unhideWhenUsed/>
    <w:rsid w:val="006646A7"/>
    <w:pPr>
      <w:spacing w:after="0"/>
    </w:pPr>
    <w:rPr>
      <w:sz w:val="22"/>
      <w:szCs w:val="22"/>
    </w:rPr>
  </w:style>
  <w:style w:type="paragraph" w:styleId="Verzeichnis8">
    <w:name w:val="toc 8"/>
    <w:basedOn w:val="Standard"/>
    <w:next w:val="Standard"/>
    <w:autoRedefine/>
    <w:uiPriority w:val="39"/>
    <w:semiHidden/>
    <w:unhideWhenUsed/>
    <w:rsid w:val="006646A7"/>
    <w:pPr>
      <w:spacing w:after="0"/>
    </w:pPr>
    <w:rPr>
      <w:sz w:val="22"/>
      <w:szCs w:val="22"/>
    </w:rPr>
  </w:style>
  <w:style w:type="paragraph" w:styleId="Verzeichnis9">
    <w:name w:val="toc 9"/>
    <w:basedOn w:val="Standard"/>
    <w:next w:val="Standard"/>
    <w:autoRedefine/>
    <w:uiPriority w:val="39"/>
    <w:semiHidden/>
    <w:unhideWhenUsed/>
    <w:rsid w:val="006646A7"/>
    <w:pPr>
      <w:spacing w:after="0"/>
    </w:pPr>
    <w:rPr>
      <w:sz w:val="22"/>
      <w:szCs w:val="22"/>
    </w:rPr>
  </w:style>
  <w:style w:type="paragraph" w:styleId="Kopfzeile">
    <w:name w:val="header"/>
    <w:basedOn w:val="Standard"/>
    <w:link w:val="KopfzeileZchn"/>
    <w:uiPriority w:val="99"/>
    <w:unhideWhenUsed/>
    <w:rsid w:val="006646A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646A7"/>
  </w:style>
  <w:style w:type="paragraph" w:styleId="Fuzeile">
    <w:name w:val="footer"/>
    <w:basedOn w:val="Standard"/>
    <w:link w:val="FuzeileZchn"/>
    <w:uiPriority w:val="99"/>
    <w:unhideWhenUsed/>
    <w:rsid w:val="006646A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646A7"/>
  </w:style>
  <w:style w:type="paragraph" w:styleId="StandardWeb">
    <w:name w:val="Normal (Web)"/>
    <w:basedOn w:val="Standard"/>
    <w:uiPriority w:val="99"/>
    <w:unhideWhenUsed/>
    <w:rsid w:val="006646A7"/>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6646A7"/>
    <w:rPr>
      <w:b/>
      <w:bCs/>
    </w:rPr>
  </w:style>
  <w:style w:type="character" w:customStyle="1" w:styleId="apple-converted-space">
    <w:name w:val="apple-converted-space"/>
    <w:basedOn w:val="Absatz-Standardschriftart"/>
    <w:rsid w:val="006646A7"/>
  </w:style>
  <w:style w:type="character" w:styleId="Hyperlink">
    <w:name w:val="Hyperlink"/>
    <w:basedOn w:val="Absatz-Standardschriftart"/>
    <w:uiPriority w:val="99"/>
    <w:unhideWhenUsed/>
    <w:rsid w:val="006646A7"/>
    <w:rPr>
      <w:color w:val="467886" w:themeColor="hyperlink"/>
      <w:u w:val="single"/>
    </w:rPr>
  </w:style>
  <w:style w:type="character" w:styleId="Kommentarzeichen">
    <w:name w:val="annotation reference"/>
    <w:basedOn w:val="Absatz-Standardschriftart"/>
    <w:uiPriority w:val="99"/>
    <w:semiHidden/>
    <w:unhideWhenUsed/>
    <w:rsid w:val="00896EB4"/>
    <w:rPr>
      <w:sz w:val="16"/>
      <w:szCs w:val="16"/>
    </w:rPr>
  </w:style>
  <w:style w:type="paragraph" w:styleId="Kommentartext">
    <w:name w:val="annotation text"/>
    <w:basedOn w:val="Standard"/>
    <w:link w:val="KommentartextZchn"/>
    <w:uiPriority w:val="99"/>
    <w:semiHidden/>
    <w:unhideWhenUsed/>
    <w:rsid w:val="00896EB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96EB4"/>
    <w:rPr>
      <w:sz w:val="20"/>
      <w:szCs w:val="20"/>
    </w:rPr>
  </w:style>
  <w:style w:type="paragraph" w:styleId="Kommentarthema">
    <w:name w:val="annotation subject"/>
    <w:basedOn w:val="Kommentartext"/>
    <w:next w:val="Kommentartext"/>
    <w:link w:val="KommentarthemaZchn"/>
    <w:uiPriority w:val="99"/>
    <w:semiHidden/>
    <w:unhideWhenUsed/>
    <w:rsid w:val="00896EB4"/>
    <w:rPr>
      <w:b/>
      <w:bCs/>
    </w:rPr>
  </w:style>
  <w:style w:type="character" w:customStyle="1" w:styleId="KommentarthemaZchn">
    <w:name w:val="Kommentarthema Zchn"/>
    <w:basedOn w:val="KommentartextZchn"/>
    <w:link w:val="Kommentarthema"/>
    <w:uiPriority w:val="99"/>
    <w:semiHidden/>
    <w:rsid w:val="00896EB4"/>
    <w:rPr>
      <w:b/>
      <w:bCs/>
      <w:sz w:val="20"/>
      <w:szCs w:val="20"/>
    </w:rPr>
  </w:style>
  <w:style w:type="paragraph" w:styleId="Beschriftung">
    <w:name w:val="caption"/>
    <w:basedOn w:val="Standard"/>
    <w:next w:val="Standard"/>
    <w:uiPriority w:val="35"/>
    <w:unhideWhenUsed/>
    <w:qFormat/>
    <w:rsid w:val="00970EBB"/>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970EBB"/>
    <w:pPr>
      <w:spacing w:after="0"/>
    </w:pPr>
  </w:style>
  <w:style w:type="paragraph" w:customStyle="1" w:styleId="font-claude-response-body">
    <w:name w:val="font-claude-response-body"/>
    <w:basedOn w:val="Standard"/>
    <w:rsid w:val="008B7918"/>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89D3C-DD96-CD4F-A588-4BDD01472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5970</Words>
  <Characters>37618</Characters>
  <Application>Microsoft Office Word</Application>
  <DocSecurity>0</DocSecurity>
  <Lines>313</Lines>
  <Paragraphs>87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Voiceup</dc:title>
  <dc:subject>Business model canvas analisys</dc:subject>
  <dc:creator>mtoumanides@googlemail.com</dc:creator>
  <cp:keywords/>
  <dc:description/>
  <cp:lastModifiedBy>mtoumanides@googlemail.com</cp:lastModifiedBy>
  <cp:revision>9</cp:revision>
  <dcterms:created xsi:type="dcterms:W3CDTF">2026-08-01T09:41:00Z</dcterms:created>
  <dcterms:modified xsi:type="dcterms:W3CDTF">2026-08-10T19:03:00Z</dcterms:modified>
</cp:coreProperties>
</file>