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Сибирский университет потребительской кооперации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Факультет Экономики и Управления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ОТЧЁТ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по лабораторной работе №1</w:t>
      </w:r>
    </w:p>
    <w:p>
      <w:pPr>
        <w:pStyle w:val="Normal"/>
        <w:bidi w:val="0"/>
        <w:spacing w:before="0" w:after="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/>
          <w:i/>
          <w:iCs/>
          <w:sz w:val="24"/>
          <w:szCs w:val="24"/>
        </w:rPr>
        <w:t>«Подбор комплектующих и сборка конфигураций ПК»</w:t>
      </w:r>
    </w:p>
    <w:p>
      <w:pPr>
        <w:pStyle w:val="Normal"/>
        <w:bidi w:val="0"/>
        <w:spacing w:before="0" w:after="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4 — Геймерский ПК среднего уровня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40"/>
        <w:jc w:val="end"/>
        <w:rPr/>
      </w:pPr>
      <w:r>
        <w:rPr>
          <w:rFonts w:eastAsia="Times New Roman" w:cs="Times New Roman"/>
          <w:sz w:val="24"/>
          <w:szCs w:val="24"/>
        </w:rPr>
        <w:t xml:space="preserve">Выполнил(а): студент группы  </w:t>
      </w:r>
      <w:r>
        <w:rPr>
          <w:rFonts w:eastAsia="Times New Roman" w:cs="Times New Roman"/>
          <w:sz w:val="24"/>
          <w:szCs w:val="24"/>
          <w:lang w:val="ru-RU"/>
        </w:rPr>
        <w:t>ИП-41.1</w:t>
      </w:r>
    </w:p>
    <w:p>
      <w:pPr>
        <w:pStyle w:val="Normal"/>
        <w:bidi w:val="0"/>
        <w:spacing w:before="0" w:after="4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Пауль Владислав Витальевич</w:t>
      </w:r>
    </w:p>
    <w:p>
      <w:pPr>
        <w:pStyle w:val="Normal"/>
        <w:bidi w:val="0"/>
        <w:spacing w:before="0" w:after="40"/>
        <w:jc w:val="end"/>
        <w:rPr/>
      </w:pPr>
      <w:r>
        <w:rPr>
          <w:rFonts w:eastAsia="Times New Roman" w:cs="Times New Roman"/>
          <w:sz w:val="24"/>
          <w:szCs w:val="24"/>
        </w:rPr>
        <w:t xml:space="preserve">Шифр: </w:t>
      </w:r>
      <w:r>
        <w:rPr>
          <w:rFonts w:eastAsia="Times New Roman" w:cs="Times New Roman"/>
          <w:sz w:val="24"/>
          <w:szCs w:val="24"/>
          <w:lang w:val="en-US"/>
        </w:rPr>
        <w:t>ipo0124004</w:t>
      </w:r>
    </w:p>
    <w:p>
      <w:pPr>
        <w:pStyle w:val="Normal"/>
        <w:bidi w:val="0"/>
        <w:spacing w:before="0" w:after="200"/>
        <w:jc w:val="end"/>
        <w:rPr/>
      </w:pPr>
      <w:r>
        <w:rPr>
          <w:rFonts w:eastAsia="Times New Roman" w:cs="Times New Roman"/>
          <w:sz w:val="24"/>
          <w:szCs w:val="24"/>
        </w:rPr>
        <w:t xml:space="preserve">Проверил(а): </w:t>
      </w:r>
      <w:r>
        <w:rPr>
          <w:rFonts w:eastAsia="Times New Roman" w:cs="Times New Roman"/>
          <w:sz w:val="24"/>
          <w:szCs w:val="24"/>
          <w:lang w:val="ru-RU"/>
        </w:rPr>
        <w:t>Тропин Даниил Александрович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Новосибирск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2026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Задание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Цель работы — подобрать комплектующие и собрать конфигурацию геймерского ПК среднего уровня (вариант 4), предназначенного для современных игр, VR и обработки видео среднего уровня, а также подобрать периферийные устройства, дать сравнительную таблицу «цена/производительность», смоделировать отказ видеокарты и пройти тренажёр по сборке ПК.</w:t>
      </w:r>
    </w:p>
    <w:p>
      <w:pPr>
        <w:pStyle w:val="Normal"/>
        <w:bidi w:val="0"/>
        <w:spacing w:lineRule="exact" w:line="360" w:before="0" w:after="6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Требования к конфигурации по варианту 4: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видеокарта уровня NVIDIA RTX 5060 или AMD Radeon RX 9060;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материнская плата: не менее 2 слотов PCIe 5.0, минимум 4 разъёма SATA и 2 разъёма M.2, сетевой интерфейс 2.5 GbE;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принтер: поддержка Wi-Fi, печать с мобильных устройств, месячный объём печати до 7000 страниц;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дополнительно предусмотрено подключение через контроллер Thunderbolt 4 или USB4.</w:t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Подбор комплектующих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Все цены актуальны на 2026 год и указаны по данным крупных российских интернет-магазинов (DNS, Ситилинк). Итоговая цена может отличаться в зависимости от наличия и текущих акций магазина.</w:t>
      </w:r>
    </w:p>
    <w:p>
      <w:pPr>
        <w:pStyle w:val="Normal"/>
        <w:bidi w:val="0"/>
        <w:spacing w:lineRule="exact" w:line="360" w:before="0" w:after="10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2.1. Системный блок</w:t>
      </w:r>
    </w:p>
    <w:tbl>
      <w:tblPr>
        <w:tblW w:w="9072" w:type="dxa"/>
        <w:jc w:val="start"/>
        <w:tblInd w:w="-5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700"/>
        <w:gridCol w:w="6071"/>
        <w:gridCol w:w="1301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Комплектующее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Модель и характеристики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Процессор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AMD Ryzen 5 9600X (AM5, 6 ядер/12 потоков, 3.9–5.4 ГГц, 32 МБ L3, TDP 65 Вт, архитектура Zen 5)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18 999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Материнская плата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MSI MAG X870 TOMAHAWK WIFI (Socket AM5, chipset X870, 2× PCIe 5.0 (x16 и M.2), 4× SATA III, 2× M.2 NVMe, LAN 2.5 GbE, Wi-Fi 6E, USB4/Thunderbolt-совместимый порт, DisplayPort 1.4/HDMI 2.1)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27 490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Оперативная память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Kingston FURY Beast DDR5-6000 2×16 ГБ (32 ГБ, CL36)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62 999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Накопитель SSD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Kingston NV3 1 ТБ, M.2 NVMe PCIe 4.0 (до 6000 Мб/с)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18 999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Видеокарта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Palit GeForce RTX 5060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Dual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8 ГБ GDDR7, 128-бит, DLSS 4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Блок питания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Heading1"/>
              <w:widowControl/>
              <w:pBdr/>
              <w:bidi w:val="0"/>
              <w:spacing w:lineRule="auto" w:line="264" w:before="0" w:after="300"/>
              <w:ind w:hanging="0" w:start="0" w:end="0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333333"/>
                <w:spacing w:val="0"/>
                <w:sz w:val="20"/>
                <w:szCs w:val="20"/>
              </w:rPr>
              <w:t xml:space="preserve">Chieftec PowerUP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333333"/>
                <w:spacing w:val="0"/>
                <w:sz w:val="20"/>
                <w:szCs w:val="20"/>
                <w:lang w:val="en-US"/>
              </w:rPr>
              <w:t>GPX-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333333"/>
                <w:spacing w:val="0"/>
                <w:sz w:val="20"/>
                <w:szCs w:val="20"/>
              </w:rPr>
              <w:t>650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333333"/>
                <w:spacing w:val="0"/>
                <w:sz w:val="20"/>
                <w:szCs w:val="20"/>
                <w:lang w:val="en-US"/>
              </w:rPr>
              <w:t>FC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, 650 Вт, 80+ Gold, полностью модульный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8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200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Корпус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DeepCool CH370, ATX Mi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ni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-Tower, 2× 120 мм вентилятора, сетчатая передняя панель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6 100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Система охлаждения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DeepCool AK400, башенный воздушный кулер, TDP до 220 Вт, сокет AM5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2 099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</w:tbl>
    <w:p>
      <w:pPr>
        <w:pStyle w:val="Normal"/>
        <w:bidi w:val="0"/>
        <w:spacing w:lineRule="exact" w:line="360" w:before="0" w:after="20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Итого за системный блок: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194 886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 ₽.</w:t>
      </w:r>
    </w:p>
    <w:p>
      <w:pPr>
        <w:pStyle w:val="Normal"/>
        <w:bidi w:val="0"/>
        <w:spacing w:lineRule="exact" w:line="360" w:before="0" w:after="10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2.2. Периферийные устройства</w:t>
      </w:r>
    </w:p>
    <w:tbl>
      <w:tblPr>
        <w:tblW w:w="9072" w:type="dxa"/>
        <w:jc w:val="start"/>
        <w:tblInd w:w="-5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700"/>
        <w:gridCol w:w="6071"/>
        <w:gridCol w:w="1301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Устройство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Модель и характеристики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Монитор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AOC 27G4X, 27ʺ, IPS,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F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HD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1920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×1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080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, 1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80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Гц, 1 мс (GtG), Flicker-Free, Low Blue Light, HDMI 2.1/DP 1.4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18 890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Клавиатура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Heading1"/>
              <w:widowControl/>
              <w:pBdr/>
              <w:bidi w:val="0"/>
              <w:spacing w:lineRule="auto" w:line="264" w:before="0" w:after="300"/>
              <w:ind w:hanging="0" w:start="0" w:end="0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333333"/>
                <w:spacing w:val="0"/>
                <w:sz w:val="20"/>
                <w:szCs w:val="20"/>
              </w:rPr>
              <w:t>AULA F75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 xml:space="preserve">, механическая,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US"/>
              </w:rPr>
              <w:t>75%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, RGB, USB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3 99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Мышь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Logitech G102 Lightsync, оптический сенсор 8000 DPI, RGB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1 650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Принтер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HP Smart Tank 580, струйный МФУ, Wi-Fi, печать с мобильных устройств (HP Smart), ресурс СНПЧ, до 7000 стр./мес.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16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499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₽</w:t>
            </w:r>
          </w:p>
        </w:tc>
      </w:tr>
    </w:tbl>
    <w:p>
      <w:pPr>
        <w:pStyle w:val="Normal"/>
        <w:bidi w:val="0"/>
        <w:spacing w:lineRule="exact" w:line="360" w:before="0" w:after="20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Итого за периферию: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41 038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 ₽.</w:t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Общая стоимость конфигурации: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194 886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 ₽ +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41 038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 ₽ = 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235 924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₽.</w:t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Скриншоты поиска комплектующих в интернет-магазинах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Ниже необходимо разместить скриншоты страниц поиска каждого из выбранных комплектующих на сайтах DNS, Ситилинк, ComputerUniverse и др., подтверждающие актуальность указанных цен и наличие товара.</w:t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68580</wp:posOffset>
            </wp:positionH>
            <wp:positionV relativeFrom="paragraph">
              <wp:posOffset>91440</wp:posOffset>
            </wp:positionV>
            <wp:extent cx="5541010" cy="43592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0171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98795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8101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74665"/>
            <wp:effectExtent l="0" t="0" r="0" b="0"/>
            <wp:wrapSquare wrapText="largest"/>
            <wp:docPr id="5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7466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099685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9308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60514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47910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8673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8673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Сравнительная таблица и анализ «цена/производительность»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Для оценки эффективности конфигурации выбранная сборка сравнивается с двумя альтернативными вариантами того же класса — более бюджетным и более производительным.</w:t>
      </w:r>
    </w:p>
    <w:tbl>
      <w:tblPr>
        <w:tblW w:w="9072" w:type="dxa"/>
        <w:jc w:val="start"/>
        <w:tblInd w:w="-5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399"/>
        <w:gridCol w:w="2224"/>
        <w:gridCol w:w="2223"/>
        <w:gridCol w:w="2226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Бюджетный вариант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Выбранная сборка (вариант 4)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Производительный вариант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Процессор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AMD Ryzen 5 7600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AMD Ryzen 5 9600X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AMD Ryzen 7 9700X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Видеокарта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RTX 4060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RTX 5060 8 ГБ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RTX 5060 Ti 16 ГБ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ОЗУ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16 ГБ DDR5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32 ГБ DDR5-6000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32 ГБ DDR5-6000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Производительность в 1080p/1440p (усреднённо)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≈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80–85%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100% (базовый уровень)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≈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125–135%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Примерная стоимость сборки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≈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148 000 ₽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≈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183 000 ₽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≈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225 000 ₽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Цена / производительность</w:t>
            </w:r>
          </w:p>
        </w:tc>
        <w:tc>
          <w:tcPr>
            <w:tcW w:w="2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выше среднего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оптимальное соотношение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ниже среднего (переплата за прирост FPS)</w:t>
            </w:r>
          </w:p>
        </w:tc>
      </w:tr>
    </w:tbl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Вывод: конфигурация варианта 4 обеспечивает комфортную работу в разрешении 1440p при 60–100+ кадров/с в большинстве современных игр с использованием DLSS 4, а также запас производительности для VR и обработки видео среднего уровня (монтаж в Full HD/2K). По сравнению с более дорогим вариантом на RTX 5060 Ti прирост производительности (≈25–35%) обходится примерно на 23% дороже, поэтому выбранная сборка признаётся оптимальной по соотношению «цена/производительность» для заявленных задач.</w:t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Моделирование неисправностей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Смоделирована ситуация: выход из строя видеокарты (например, повреждение чипа GDDR7-памяти или выход из строя VRM вследствие перегрева). Требуется подобрать альтернативу того же класса производительности.</w:t>
      </w:r>
    </w:p>
    <w:tbl>
      <w:tblPr>
        <w:tblW w:w="9072" w:type="dxa"/>
        <w:jc w:val="start"/>
        <w:tblInd w:w="-5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9"/>
        <w:gridCol w:w="3000"/>
        <w:gridCol w:w="1199"/>
        <w:gridCol w:w="3274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Позиция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3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Исходная видеокарта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Palit GeForce RTX 5060 StormX 8 ГБ GDDR7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44 990 ₽</w:t>
            </w:r>
          </w:p>
        </w:tc>
        <w:tc>
          <w:tcPr>
            <w:tcW w:w="3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3840 CUDA-ядер, 128-бит, DLSS 4, PCIe 5.0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Вариант замены №1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Gigabyte GeForce RTX 5060 WINDFORCE OC 8 ГБ GDDR7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46 490 ₽</w:t>
            </w:r>
          </w:p>
        </w:tc>
        <w:tc>
          <w:tcPr>
            <w:tcW w:w="3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Тот же GPU (GB206), заводской разгон, 2 вентилятора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Вариант замены №2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PowerColor Radeon RX 9060 XT 8 ГБ GDDR6 (AMD-альтернатива)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42 990 ₽</w:t>
            </w:r>
          </w:p>
        </w:tc>
        <w:tc>
          <w:tcPr>
            <w:tcW w:w="3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Близкий класс производительности (1080p/1440p), FSR 4, PCIe 5.0</w:t>
            </w:r>
          </w:p>
        </w:tc>
      </w:tr>
    </w:tbl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Анализ: при выходе из строя видеокарты Palit GeForce RTX 5060 в первую очередь рассматривается замена на видеокарту того же графического процессора (GB206) от другого производителя — например, Gigabyte GeForce RTX 5060 WINDFORCE OC — чтобы сохранить исходный уровень производительности и совместимость по разъёму питания и посадочному месту в корпусе. В качестве второго варианта рассмотрена видеокарта на чипе AMD — Radeon RX 9060 XT, сопоставимая по производительности в разрешении 1080–1440p и обладающая аналогичным набором технологий (FSR 4 против DLSS 4). Оба варианта укладываются в бюджет исходной сборки (отклонение цены не более 4%) и не требуют замены блока питания, так как заявленная мощность (650 Вт) обеспечивает необходимый запас.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Вывод по разделу: при отказе видеокарты конфигурация может быть восстановлена без изменения остальных компонентов сборки, что подтверждает удачный выбор блока питания и корпуса с запасом по установочным габаритам и мощности.</w:t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Работа с тренажёром по сборке компьютера</w:t>
      </w:r>
    </w:p>
    <w:p>
      <w:pPr>
        <w:pStyle w:val="Normal"/>
        <w:bidi w:val="0"/>
        <w:spacing w:lineRule="exact" w:line="360" w:before="0" w:after="1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Пройден тренажёр по сборке компьютера, доступный по ссылке: https://nevirtual.ru/pc/. Ниже приведены скриншоты, подтверждающие последовательное прохождение этапов сборки (установка процессора, системы охлаждения, оперативной памяти, накопителя, видеокарты, блока питания и подключение кабелей).</w:t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276288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60"/>
        <w:jc w:val="both"/>
        <w:rPr/>
      </w:pPr>
      <w:r>
        <w:rPr/>
      </w:r>
    </w:p>
    <w:p>
      <w:pPr>
        <w:pStyle w:val="Heading1"/>
        <w:bidi w:val="0"/>
        <w:spacing w:before="360" w:after="20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Выводы</w:t>
      </w:r>
    </w:p>
    <w:p>
      <w:pPr>
        <w:pStyle w:val="ListParagraph"/>
        <w:numPr>
          <w:ilvl w:val="0"/>
          <w:numId w:val="2"/>
        </w:numPr>
        <w:bidi w:val="0"/>
        <w:spacing w:before="0" w:after="10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Подобрана конфигурация геймерского ПК среднего уровня (вариант 4), полностью соответствующая заданным требованиям: видеокарта уровня RTX 5060, материнская плата с 2 слотами PCIe 5.0, 4 SATA, 2 M.2, LAN 2.5 GbE и поддержкой USB4, а также Wi-Fi-принтер с ресурсом до 7000 страниц в месяц.</w:t>
      </w:r>
    </w:p>
    <w:p>
      <w:pPr>
        <w:pStyle w:val="ListParagraph"/>
        <w:numPr>
          <w:ilvl w:val="0"/>
          <w:numId w:val="2"/>
        </w:numPr>
        <w:bidi w:val="0"/>
        <w:spacing w:before="0" w:after="10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Общая стоимость сборки составила ≈ 183 180 ₽, из которых 132 020 ₽ приходится на системный блок и 51 160 ₽ — на периферию.</w:t>
      </w:r>
    </w:p>
    <w:p>
      <w:pPr>
        <w:pStyle w:val="ListParagraph"/>
        <w:numPr>
          <w:ilvl w:val="0"/>
          <w:numId w:val="2"/>
        </w:numPr>
        <w:bidi w:val="0"/>
        <w:spacing w:before="0" w:after="10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Сравнительный анализ показал, что выбранная конфигурация обеспечивает оптимальное соотношение «цена/производительность» среди рассмотренных вариантов той же ценовой категории.</w:t>
      </w:r>
    </w:p>
    <w:p>
      <w:pPr>
        <w:pStyle w:val="ListParagraph"/>
        <w:numPr>
          <w:ilvl w:val="0"/>
          <w:numId w:val="2"/>
        </w:numPr>
        <w:bidi w:val="0"/>
        <w:spacing w:before="0" w:after="10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Моделирование отказа видеокарты подтвердило ремонтопригодность и модульность сборки: замена возможна без изменения других компонентов, с отклонением бюджета не более 4%.</w:t>
      </w:r>
    </w:p>
    <w:p>
      <w:pPr>
        <w:pStyle w:val="ListParagraph"/>
        <w:numPr>
          <w:ilvl w:val="0"/>
          <w:numId w:val="2"/>
        </w:numPr>
        <w:bidi w:val="0"/>
        <w:spacing w:before="0" w:after="10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Пройден тренажёр по сборке ПК, что позволило закрепить практические навыки монтажа комплектующих в правильной последовательности.</w:t>
      </w:r>
    </w:p>
    <w:sectPr>
      <w:headerReference w:type="default" r:id="rId15"/>
      <w:footerReference w:type="default" r:id="rId16"/>
      <w:type w:val="nextPage"/>
      <w:pgSz w:w="11906" w:h="16838"/>
      <w:pgMar w:left="1700" w:right="1417" w:gutter="0" w:header="708" w:top="1417" w:footer="708" w:bottom="1417"/>
      <w:pgNumType w:fmt="decimal"/>
      <w:formProt w:val="false"/>
      <w:textDirection w:val="lrTb"/>
      <w:docGrid w:type="default" w:linePitch="36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end"/>
      <w:rPr>
        <w:rFonts w:ascii="Times New Roman" w:hAnsi="Times New Roman" w:eastAsia="Times New Roman" w:cs="Times New Roman"/>
        <w:color w:val="808080"/>
        <w:sz w:val="16"/>
        <w:szCs w:val="16"/>
      </w:rPr>
    </w:pPr>
    <w:r>
      <w:rPr>
        <w:rFonts w:eastAsia="Times New Roman" w:cs="Times New Roman"/>
        <w:color w:val="808080"/>
        <w:sz w:val="16"/>
        <w:szCs w:val="16"/>
      </w:rPr>
      <w:t>Лабораторная работа №1. Вариант 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17</Pages>
  <Words>1039</Words>
  <Characters>6115</Characters>
  <CharactersWithSpaces>7017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2026-09-22T17:14:34Z</dcterms:created>
  <dc:creator/>
  <dc:description/>
  <dc:language>en-US</dc:language>
  <cp:lastModifiedBy/>
  <dcterms:modified xsi:type="dcterms:W3CDTF">2026-09-22T17:15:34Z</dcterms:modified>
  <cp:revision>2</cp:revision>
  <dc:subject/>
  <dc:title/>
</cp:coreProperties>
</file>