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1" w:after="0"/>
        <w:jc w:val="left"/>
        <w:rPr>
          <w:sz w:val="13"/>
        </w:rPr>
      </w:pPr>
      <w:r>
        <w:rPr>
          <w:sz w:val="13"/>
        </w:rPr>
        <mc:AlternateContent>
          <mc:Choice Requires="wps">
            <w:drawing>
              <wp:anchor behindDoc="1" distT="0" distB="0" distL="0" distR="0" simplePos="0" locked="0" layoutInCell="1" allowOverlap="1" relativeHeight="11">
                <wp:simplePos x="0" y="0"/>
                <wp:positionH relativeFrom="page">
                  <wp:posOffset>3417570</wp:posOffset>
                </wp:positionH>
                <wp:positionV relativeFrom="paragraph">
                  <wp:posOffset>120650</wp:posOffset>
                </wp:positionV>
                <wp:extent cx="3259455" cy="35560"/>
                <wp:effectExtent l="0" t="0" r="0" b="0"/>
                <wp:wrapTopAndBottom/>
                <wp:docPr id="2" name="Image1"/>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269.1pt;margin-top:9.5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left"/>
        <w:rPr>
          <w:sz w:val="20"/>
        </w:rPr>
      </w:pPr>
      <w:r>
        <w:rPr>
          <w:sz w:val="20"/>
        </w:rPr>
      </w:r>
    </w:p>
    <w:p>
      <w:pPr>
        <w:pStyle w:val="TextBody"/>
        <w:bidi w:val="0"/>
        <w:jc w:val="left"/>
        <w:rPr>
          <w:sz w:val="18"/>
        </w:rPr>
      </w:pPr>
      <w:r>
        <w:rPr>
          <w:sz w:val="18"/>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162560</wp:posOffset>
                </wp:positionV>
                <wp:extent cx="3259455" cy="35560"/>
                <wp:effectExtent l="0" t="0" r="0" b="0"/>
                <wp:wrapTopAndBottom/>
                <wp:docPr id="3" name="Image2"/>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269.1pt;margin-top:12.8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left"/>
        <w:rPr>
          <w:sz w:val="20"/>
        </w:rPr>
      </w:pPr>
      <w:r>
        <w:rPr>
          <w:sz w:val="20"/>
        </w:rPr>
      </w:r>
    </w:p>
    <w:p>
      <w:pPr>
        <w:pStyle w:val="TextBody"/>
        <w:bidi w:val="0"/>
        <w:spacing w:before="2" w:after="0"/>
        <w:jc w:val="left"/>
        <w:rPr>
          <w:sz w:val="21"/>
        </w:rPr>
      </w:pPr>
      <w:r>
        <w:rPr>
          <w:sz w:val="21"/>
        </w:rPr>
        <mc:AlternateContent>
          <mc:Choice Requires="wps">
            <w:drawing>
              <wp:anchor behindDoc="1" distT="0" distB="0" distL="0" distR="0" simplePos="0" locked="0" layoutInCell="1" allowOverlap="1" relativeHeight="13">
                <wp:simplePos x="0" y="0"/>
                <wp:positionH relativeFrom="page">
                  <wp:posOffset>3417570</wp:posOffset>
                </wp:positionH>
                <wp:positionV relativeFrom="paragraph">
                  <wp:posOffset>179705</wp:posOffset>
                </wp:positionV>
                <wp:extent cx="3259455" cy="35560"/>
                <wp:effectExtent l="0" t="0" r="0" b="0"/>
                <wp:wrapTopAndBottom/>
                <wp:docPr id="4" name="Image3"/>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lef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4">
                <wp:simplePos x="0" y="0"/>
                <wp:positionH relativeFrom="page">
                  <wp:posOffset>2024380</wp:posOffset>
                </wp:positionH>
                <wp:positionV relativeFrom="paragraph">
                  <wp:posOffset>215265</wp:posOffset>
                </wp:positionV>
                <wp:extent cx="3522345" cy="1270"/>
                <wp:effectExtent l="0" t="0" r="0" b="0"/>
                <wp:wrapTopAndBottom/>
                <wp:docPr id="5" name="Image4"/>
                <a:graphic xmlns:a="http://schemas.openxmlformats.org/drawingml/2006/main">
                  <a:graphicData uri="http://schemas.microsoft.com/office/word/2010/wordprocessingShape">
                    <wps:wsp>
                      <wps:cNvSpPr/>
                      <wps:spPr>
                        <a:xfrm>
                          <a:off x="0" y="0"/>
                          <a:ext cx="35218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6.65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Sistemas De e-Gov Como Sistemas De Informação: Visão Estrutural</w:t>
          <w:tab/>
          <w:t>8</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4"/>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tc>
        <w:tc>
          <w:tcPr>
            <w:tcW w:w="70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6">
                <wp:simplePos x="0" y="0"/>
                <wp:positionH relativeFrom="column">
                  <wp:posOffset>130175</wp:posOffset>
                </wp:positionH>
                <wp:positionV relativeFrom="paragraph">
                  <wp:posOffset>179070</wp:posOffset>
                </wp:positionV>
                <wp:extent cx="5874385" cy="2305685"/>
                <wp:effectExtent l="0" t="0" r="0" b="0"/>
                <wp:wrapSquare wrapText="largest"/>
                <wp:docPr id="8" name="Frame1"/>
                <a:graphic xmlns:a="http://schemas.openxmlformats.org/drawingml/2006/main">
                  <a:graphicData uri="http://schemas.microsoft.com/office/word/2010/wordprocessingShape">
                    <wps:wsp>
                      <wps:cNvSpPr txBox="1"/>
                      <wps:spPr>
                        <a:xfrm>
                          <a:off x="0" y="0"/>
                          <a:ext cx="5874385" cy="2305685"/>
                        </a:xfrm>
                        <a:prstGeom prst="rect"/>
                      </wps:spPr>
                      <wps:txbx>
                        <w:txbxContent>
                          <w:p>
                            <w:pPr>
                              <w:pStyle w:val="Figura"/>
                              <w:spacing w:before="120" w:after="120"/>
                              <w:rPr/>
                            </w:pPr>
                            <w:r>
                              <w:rPr>
                                <w:b/>
                                <w:bCs/>
                              </w:rPr>
                              <w:drawing>
                                <wp:inline distT="0" distB="0" distL="0" distR="0">
                                  <wp:extent cx="5874385" cy="197802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wps:txbx>
                      <wps:bodyPr anchor="t" lIns="0" tIns="0" rIns="0" bIns="0">
                        <a:noAutofit/>
                      </wps:bodyPr>
                    </wps:wsp>
                  </a:graphicData>
                </a:graphic>
              </wp:anchor>
            </w:drawing>
          </mc:Choice>
          <mc:Fallback>
            <w:pict>
              <v:rect style="position:absolute;rotation:0;width:462.55pt;height:181.55pt;mso-wrap-distance-left:0pt;mso-wrap-distance-right:0pt;mso-wrap-distance-top:0pt;mso-wrap-distance-bottom:0pt;margin-top:14.1pt;mso-position-vertical-relative:text;margin-left:10.25pt;mso-position-horizontal-relative:text">
                <v:textbox inset="0in,0in,0in,0in">
                  <w:txbxContent>
                    <w:p>
                      <w:pPr>
                        <w:pStyle w:val="Figura"/>
                        <w:spacing w:before="120" w:after="120"/>
                        <w:rPr/>
                      </w:pPr>
                      <w:r>
                        <w:rPr>
                          <w:b/>
                          <w:bCs/>
                        </w:rPr>
                        <w:drawing>
                          <wp:inline distT="0" distB="0" distL="0" distR="0">
                            <wp:extent cx="5874385" cy="19780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v:textbox>
                <w10:wrap type="square" side="larges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7" w:name="__RefHeading___Toc2654_1641839962"/>
      <w:bookmarkEnd w:id="17"/>
      <w:r>
        <w:rPr>
          <w:rFonts w:eastAsia="Times New Roman" w:cs="Times New Roman" w:ascii="Times New Roman" w:hAnsi="Times New Roman"/>
          <w:b/>
          <w:bCs/>
          <w:sz w:val="32"/>
          <w:szCs w:val="32"/>
          <w:lang w:val="pt-PT" w:eastAsia="en-US" w:bidi="ar-SA"/>
        </w:rPr>
        <w:t>Govern</w:t>
      </w:r>
      <w:r>
        <w:rPr>
          <w:rFonts w:eastAsia="Times New Roman" w:cs="Times New Roman" w:ascii="Times New Roman" w:hAnsi="Times New Roman"/>
          <w:b/>
          <w:bCs/>
          <w:sz w:val="32"/>
          <w:szCs w:val="32"/>
          <w:lang w:val="pt-PT" w:eastAsia="en-US" w:bidi="ar-SA"/>
        </w:rPr>
        <w:t>o</w:t>
      </w:r>
      <w:r>
        <w:rPr>
          <w:rFonts w:eastAsia="Times New Roman" w:cs="Times New Roman" w:ascii="Times New Roman" w:hAnsi="Times New Roman"/>
          <w:b/>
          <w:bCs/>
          <w:sz w:val="32"/>
          <w:szCs w:val="32"/>
          <w:lang w:val="pt-PT" w:eastAsia="en-US" w:bidi="ar-SA"/>
        </w:rPr>
        <w:t xml:space="preserve"> Electrónic</w:t>
      </w:r>
      <w:r>
        <w:rPr>
          <w:rFonts w:eastAsia="Times New Roman" w:cs="Times New Roman" w:ascii="Times New Roman" w:hAnsi="Times New Roman"/>
          <w:b/>
          <w:bCs/>
          <w:sz w:val="32"/>
          <w:szCs w:val="32"/>
          <w:lang w:val="pt-PT" w:eastAsia="en-US" w:bidi="ar-SA"/>
        </w:rPr>
        <w:t xml:space="preserve">o </w:t>
      </w:r>
      <w:r>
        <w:rPr>
          <w:rFonts w:eastAsia="Times New Roman" w:cs="Times New Roman" w:ascii="Times New Roman" w:hAnsi="Times New Roman"/>
          <w:b/>
          <w:bCs/>
          <w:sz w:val="32"/>
          <w:szCs w:val="32"/>
          <w:lang w:val="pt-PT" w:eastAsia="en-US" w:bidi="ar-SA"/>
        </w:rPr>
        <w:t>(e-Gov)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TICs,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w:t>
      </w:r>
      <w:r>
        <w:rPr>
          <w:rFonts w:eastAsia="Times New Roman" w:cs="Times New Roman" w:ascii="Times New Roman" w:hAnsi="Times New Roman"/>
          <w:b w:val="false"/>
          <w:bCs w:val="false"/>
          <w:color w:val="auto"/>
          <w:kern w:val="0"/>
          <w:sz w:val="24"/>
          <w:szCs w:val="24"/>
          <w:lang w:val="pt-PT" w:eastAsia="en-US" w:bidi="ar-SA"/>
        </w:rPr>
        <w:t>s</w:t>
      </w:r>
      <w:r>
        <w:rPr>
          <w:rFonts w:eastAsia="Times New Roman" w:cs="Times New Roman" w:ascii="Times New Roman" w:hAnsi="Times New Roman"/>
          <w:b w:val="false"/>
          <w:bCs w:val="false"/>
          <w:color w:val="auto"/>
          <w:kern w:val="0"/>
          <w:sz w:val="24"/>
          <w:szCs w:val="24"/>
          <w:lang w:val="pt-PT" w:eastAsia="en-US" w:bidi="ar-SA"/>
        </w:rPr>
        <w:t xml:space="preserve"> e a forma de operar das organizações, e com a vaga da inteligência Artificial, se por  um lado </w:t>
      </w:r>
      <w:r>
        <w:rPr>
          <w:rFonts w:eastAsia="Times New Roman" w:cs="Times New Roman" w:ascii="Times New Roman" w:hAnsi="Times New Roman"/>
          <w:b w:val="false"/>
          <w:bCs w:val="false"/>
          <w:color w:val="auto"/>
          <w:kern w:val="0"/>
          <w:sz w:val="24"/>
          <w:szCs w:val="24"/>
          <w:lang w:val="pt-PT" w:eastAsia="en-US" w:bidi="ar-SA"/>
        </w:rPr>
        <w:t>se</w:t>
      </w:r>
      <w:r>
        <w:rPr>
          <w:rFonts w:eastAsia="Times New Roman" w:cs="Times New Roman" w:ascii="Times New Roman" w:hAnsi="Times New Roman"/>
          <w:b w:val="false"/>
          <w:bCs w:val="false"/>
          <w:color w:val="auto"/>
          <w:kern w:val="0"/>
          <w:sz w:val="24"/>
          <w:szCs w:val="24"/>
          <w:lang w:val="pt-PT" w:eastAsia="en-US" w:bidi="ar-SA"/>
        </w:rPr>
        <w:t xml:space="preserve"> agudiza o modernismo influenciado </w:t>
      </w:r>
      <w:r>
        <w:rPr>
          <w:rFonts w:eastAsia="Times New Roman" w:cs="Times New Roman" w:ascii="Times New Roman" w:hAnsi="Times New Roman"/>
          <w:b w:val="false"/>
          <w:bCs w:val="false"/>
          <w:color w:val="auto"/>
          <w:kern w:val="0"/>
          <w:sz w:val="24"/>
          <w:szCs w:val="24"/>
          <w:lang w:val="pt-PT" w:eastAsia="en-US" w:bidi="ar-SA"/>
        </w:rPr>
        <w:t xml:space="preserve">pelo </w:t>
      </w:r>
      <w:r>
        <w:rPr>
          <w:rFonts w:eastAsia="Times New Roman" w:cs="Times New Roman" w:ascii="Times New Roman" w:hAnsi="Times New Roman"/>
          <w:b w:val="false"/>
          <w:bCs w:val="false"/>
          <w:color w:val="auto"/>
          <w:kern w:val="0"/>
          <w:sz w:val="24"/>
          <w:szCs w:val="24"/>
          <w:lang w:val="pt-PT" w:eastAsia="en-US" w:bidi="ar-SA"/>
        </w:rPr>
        <w:t xml:space="preserve">recurso </w:t>
      </w:r>
      <w:r>
        <w:rPr>
          <w:rFonts w:eastAsia="Times New Roman" w:cs="Times New Roman" w:ascii="Times New Roman" w:hAnsi="Times New Roman"/>
          <w:b w:val="false"/>
          <w:bCs w:val="false"/>
          <w:color w:val="auto"/>
          <w:kern w:val="0"/>
          <w:sz w:val="24"/>
          <w:szCs w:val="24"/>
          <w:lang w:val="pt-PT" w:eastAsia="en-US" w:bidi="ar-SA"/>
        </w:rPr>
        <w:t>às</w:t>
      </w:r>
      <w:r>
        <w:rPr>
          <w:rFonts w:eastAsia="Times New Roman" w:cs="Times New Roman" w:ascii="Times New Roman" w:hAnsi="Times New Roman"/>
          <w:b w:val="false"/>
          <w:bCs w:val="false"/>
          <w:color w:val="auto"/>
          <w:kern w:val="0"/>
          <w:sz w:val="24"/>
          <w:szCs w:val="24"/>
          <w:lang w:val="pt-PT" w:eastAsia="en-US" w:bidi="ar-SA"/>
        </w:rPr>
        <w:t xml:space="preserve"> TICs,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Grönlund &amp; Horanm, </w:t>
      </w:r>
      <w:r>
        <w:rPr>
          <w:rFonts w:eastAsia="Times New Roman" w:cs="Times New Roman" w:ascii="Times New Roman" w:hAnsi="Times New Roman"/>
          <w:b w:val="false"/>
          <w:bCs w:val="false"/>
          <w:color w:val="auto"/>
          <w:kern w:val="0"/>
          <w:sz w:val="24"/>
          <w:szCs w:val="24"/>
          <w:lang w:val="pt-PT" w:eastAsia="en-US" w:bidi="ar-SA"/>
        </w:rPr>
        <w:t>(</w:t>
      </w:r>
      <w:r>
        <w:rPr>
          <w:rFonts w:eastAsia="Times New Roman" w:cs="Times New Roman" w:ascii="Times New Roman" w:hAnsi="Times New Roman"/>
          <w:b w:val="false"/>
          <w:bCs w:val="false"/>
          <w:color w:val="auto"/>
          <w:kern w:val="0"/>
          <w:sz w:val="24"/>
          <w:szCs w:val="24"/>
          <w:lang w:val="pt-PT" w:eastAsia="en-US" w:bidi="ar-SA"/>
        </w:rPr>
        <w:t xml:space="preserve">2004) </w:t>
      </w:r>
      <w:r>
        <w:rPr>
          <w:rFonts w:eastAsia="Times New Roman" w:cs="Times New Roman" w:ascii="Times New Roman" w:hAnsi="Times New Roman"/>
          <w:b w:val="false"/>
          <w:bCs w:val="false"/>
          <w:color w:val="auto"/>
          <w:kern w:val="0"/>
          <w:sz w:val="24"/>
          <w:szCs w:val="24"/>
          <w:lang w:val="pt-PT" w:eastAsia="en-US" w:bidi="ar-SA"/>
        </w:rPr>
        <w:t xml:space="preserve">refereciados por </w:t>
      </w:r>
      <w:r>
        <w:rPr>
          <w:rFonts w:eastAsia="Times New Roman" w:cs="Times New Roman" w:ascii="Times New Roman" w:hAnsi="Times New Roman"/>
          <w:b w:val="false"/>
          <w:bCs w:val="false"/>
          <w:color w:val="auto"/>
          <w:kern w:val="0"/>
          <w:sz w:val="24"/>
          <w:szCs w:val="24"/>
          <w:lang w:val="pt-PT" w:eastAsia="en-US" w:bidi="ar-SA"/>
        </w:rPr>
        <w:t xml:space="preserve">Dias </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O governo eletrônico é o uso da tecnologia da informação (TI) por organizações do se</w:t>
      </w:r>
      <w:r>
        <w:rPr>
          <w:rFonts w:eastAsia="Times New Roman" w:cs="Times New Roman" w:ascii="Times New Roman" w:hAnsi="Times New Roman"/>
          <w:b w:val="false"/>
          <w:bCs w:val="false"/>
          <w:color w:val="auto"/>
          <w:kern w:val="0"/>
          <w:sz w:val="24"/>
          <w:szCs w:val="24"/>
          <w:lang w:val="pt-PT" w:eastAsia="en-US" w:bidi="ar-SA"/>
        </w:rPr>
        <w:t>c</w:t>
      </w:r>
      <w:r>
        <w:rPr>
          <w:rFonts w:eastAsia="Times New Roman" w:cs="Times New Roman" w:ascii="Times New Roman" w:hAnsi="Times New Roman"/>
          <w:b w:val="false"/>
          <w:bCs w:val="false"/>
          <w:color w:val="auto"/>
          <w:kern w:val="0"/>
          <w:sz w:val="24"/>
          <w:szCs w:val="24"/>
          <w:lang w:val="pt-PT" w:eastAsia="en-US" w:bidi="ar-SA"/>
        </w:rPr>
        <w:t xml:space="preserve">tor público, </w:t>
      </w:r>
      <w:r>
        <w:rPr>
          <w:rFonts w:eastAsia="Times New Roman" w:cs="Times New Roman" w:ascii="Times New Roman" w:hAnsi="Times New Roman"/>
          <w:b w:val="false"/>
          <w:bCs w:val="false"/>
          <w:color w:val="auto"/>
          <w:kern w:val="0"/>
          <w:sz w:val="24"/>
          <w:szCs w:val="24"/>
          <w:lang w:val="pt-PT" w:eastAsia="en-US" w:bidi="ar-SA"/>
        </w:rPr>
        <w:t xml:space="preserve">afirma Heeks (2006). Ora, esta definição é parcialmente correcta, pois não se pode afirmar categoricamente que se está mediante um cenário </w:t>
      </w:r>
      <w:r>
        <w:rPr>
          <w:rFonts w:eastAsia="Times New Roman" w:cs="Times New Roman" w:ascii="Times New Roman" w:hAnsi="Times New Roman"/>
          <w:b w:val="false"/>
          <w:bCs w:val="false"/>
          <w:color w:val="auto"/>
          <w:kern w:val="0"/>
          <w:sz w:val="24"/>
          <w:szCs w:val="24"/>
          <w:lang w:val="pt-PT" w:eastAsia="en-US" w:bidi="ar-SA"/>
        </w:rPr>
        <w:t>e-Gov, simpl</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smente porque determinada instituição da Administração Pública, adoptou as TICs na presecução das suas actividades. </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mbora o recurso as TICs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para a materialização do e-Gov,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porque são pressupostos do e-Gov a promoção da eficiência e a facilidade de acesso dos serviços prestados aos cidadãos/organizações </w:t>
      </w:r>
      <w:r>
        <w:rPr>
          <w:rFonts w:eastAsia="Times New Roman" w:cs="Times New Roman" w:ascii="Times New Roman" w:hAnsi="Times New Roman"/>
          <w:b w:val="false"/>
          <w:bCs w:val="false"/>
          <w:i w:val="false"/>
          <w:iCs w:val="false"/>
          <w:color w:val="auto"/>
          <w:kern w:val="0"/>
          <w:sz w:val="24"/>
          <w:szCs w:val="24"/>
          <w:lang w:val="pt-PT" w:eastAsia="en-US" w:bidi="ar-SA"/>
        </w:rPr>
        <w:t>pelas instituições da Admistraçãp Pública.</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N</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ão é com mera incorporação das TICs nas instituições da Admistração Pública  que automaticamente se alcança o estágio de e-Gov, pois é condição necessária também, que essas mesmas TiCs, estejam ajustadas </w:t>
      </w:r>
      <w:r>
        <w:rPr>
          <w:rFonts w:eastAsia="Times New Roman" w:cs="Times New Roman" w:ascii="Times New Roman" w:hAnsi="Times New Roman"/>
          <w:b w:val="false"/>
          <w:bCs w:val="false"/>
          <w:i w:val="false"/>
          <w:iCs w:val="false"/>
          <w:color w:val="auto"/>
          <w:kern w:val="0"/>
          <w:sz w:val="24"/>
          <w:szCs w:val="24"/>
          <w:lang w:val="pt-PT" w:eastAsia="en-US" w:bidi="ar-SA"/>
        </w:rPr>
        <w:t>à</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s necessidades dessas instituiçoes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da AP, por forma que possam corresponder aos processos do negócio dessas instituições.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E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como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consequência, temos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 redução do custo de operação das instituições conforme afirmam Viera e Santos (2010) citados por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Dias </w:t>
      </w:r>
      <w:r>
        <w:rPr>
          <w:rFonts w:eastAsia="Times New Roman" w:cs="Times New Roman" w:ascii="Times New Roman" w:hAnsi="Times New Roman"/>
          <w:b w:val="false"/>
          <w:bCs w:val="false"/>
          <w:i w:val="false"/>
          <w:iCs w:val="false"/>
          <w:color w:val="auto"/>
          <w:kern w:val="0"/>
          <w:sz w:val="24"/>
          <w:szCs w:val="24"/>
          <w:lang w:val="pt-PT" w:eastAsia="en-US" w:bidi="ar-SA"/>
        </w:rPr>
        <w:t>e</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 Gomes (2025), </w:t>
      </w:r>
      <w:r>
        <w:rPr>
          <w:rFonts w:eastAsia="Times New Roman" w:cs="Times New Roman" w:ascii="Times New Roman" w:hAnsi="Times New Roman"/>
          <w:b w:val="false"/>
          <w:bCs w:val="false"/>
          <w:i w:val="false"/>
          <w:iCs w:val="false"/>
          <w:color w:val="auto"/>
          <w:kern w:val="0"/>
          <w:sz w:val="24"/>
          <w:szCs w:val="24"/>
          <w:lang w:val="pt-PT" w:eastAsia="en-US" w:bidi="ar-SA"/>
        </w:rPr>
        <w:t>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 xml:space="preserve">Por exemplo,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Heeks (2006)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afirma que a maioria dos projetos de governo eletrônico fracassa.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w:t>
      </w:r>
      <w:r>
        <w:rPr>
          <w:rFonts w:eastAsia="Times New Roman" w:cs="Times New Roman" w:ascii="Times New Roman" w:hAnsi="Times New Roman"/>
          <w:b w:val="false"/>
          <w:bCs w:val="false"/>
          <w:i w:val="false"/>
          <w:iCs w:val="false"/>
          <w:color w:val="auto"/>
          <w:kern w:val="0"/>
          <w:sz w:val="24"/>
          <w:szCs w:val="24"/>
          <w:lang w:val="pt-PT" w:eastAsia="en-US" w:bidi="ar-SA"/>
        </w:rPr>
        <w:t>O a</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utor cita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ainda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eletrónico é uma parte importante da economia digital, pois visa utilizar a tecnologia para melhorar os serviços públicos e facilitar a vida dos cidadãos, contribuindo para o crescimento da economia. </w:t>
      </w:r>
      <w:r>
        <w:rPr>
          <w:rFonts w:eastAsia="Times New Roman" w:cs="Times New Roman" w:ascii="Times New Roman" w:hAnsi="Times New Roman"/>
          <w:b w:val="false"/>
          <w:bCs w:val="false"/>
          <w:color w:val="auto"/>
          <w:kern w:val="0"/>
          <w:sz w:val="24"/>
          <w:szCs w:val="24"/>
          <w:lang w:val="pt-PT" w:eastAsia="en-US" w:bidi="ar-SA"/>
        </w:rPr>
        <w:t>De forma sintética, pode-se depreender o</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 xml:space="preserve">e-Gov, </w:t>
      </w:r>
      <w:r>
        <w:rPr>
          <w:rFonts w:eastAsia="Times New Roman" w:cs="Times New Roman" w:ascii="Times New Roman" w:hAnsi="Times New Roman"/>
          <w:b w:val="false"/>
          <w:bCs w:val="false"/>
          <w:color w:val="auto"/>
          <w:kern w:val="0"/>
          <w:sz w:val="24"/>
          <w:szCs w:val="24"/>
          <w:lang w:val="pt-PT" w:eastAsia="en-US" w:bidi="ar-SA"/>
        </w:rPr>
        <w:t xml:space="preserve">como </w:t>
      </w:r>
      <w:r>
        <w:rPr>
          <w:rFonts w:eastAsia="Times New Roman" w:cs="Times New Roman" w:ascii="Times New Roman" w:hAnsi="Times New Roman"/>
          <w:b w:val="false"/>
          <w:bCs w:val="false"/>
          <w:color w:val="auto"/>
          <w:kern w:val="0"/>
          <w:sz w:val="24"/>
          <w:szCs w:val="24"/>
          <w:lang w:val="pt-PT" w:eastAsia="en-US" w:bidi="ar-SA"/>
        </w:rPr>
        <w:t xml:space="preserve">recurso </w:t>
      </w:r>
      <w:r>
        <w:rPr>
          <w:rFonts w:eastAsia="Times New Roman" w:cs="Times New Roman" w:ascii="Times New Roman" w:hAnsi="Times New Roman"/>
          <w:b w:val="false"/>
          <w:bCs w:val="false"/>
          <w:color w:val="auto"/>
          <w:kern w:val="0"/>
          <w:sz w:val="24"/>
          <w:szCs w:val="24"/>
          <w:lang w:val="pt-PT" w:eastAsia="en-US" w:bidi="ar-SA"/>
        </w:rPr>
        <w:t>à</w:t>
      </w:r>
      <w:r>
        <w:rPr>
          <w:rFonts w:eastAsia="Times New Roman" w:cs="Times New Roman" w:ascii="Times New Roman" w:hAnsi="Times New Roman"/>
          <w:b w:val="false"/>
          <w:bCs w:val="false"/>
          <w:color w:val="auto"/>
          <w:kern w:val="0"/>
          <w:sz w:val="24"/>
          <w:szCs w:val="24"/>
          <w:lang w:val="pt-PT" w:eastAsia="en-US" w:bidi="ar-SA"/>
        </w:rPr>
        <w:t xml:space="preserve">s TICs pelos órgãos de </w:t>
      </w:r>
      <w:r>
        <w:rPr>
          <w:rFonts w:eastAsia="Times New Roman" w:cs="Times New Roman" w:ascii="Times New Roman" w:hAnsi="Times New Roman"/>
          <w:b w:val="false"/>
          <w:bCs w:val="false"/>
          <w:color w:val="auto"/>
          <w:kern w:val="0"/>
          <w:sz w:val="24"/>
          <w:szCs w:val="24"/>
          <w:lang w:val="pt-PT" w:eastAsia="en-US" w:bidi="ar-SA"/>
        </w:rPr>
        <w:t>A</w:t>
      </w:r>
      <w:r>
        <w:rPr>
          <w:rFonts w:eastAsia="Times New Roman" w:cs="Times New Roman" w:ascii="Times New Roman" w:hAnsi="Times New Roman"/>
          <w:b w:val="false"/>
          <w:bCs w:val="false"/>
          <w:color w:val="auto"/>
          <w:kern w:val="0"/>
          <w:sz w:val="24"/>
          <w:szCs w:val="24"/>
          <w:lang w:val="pt-PT" w:eastAsia="en-US" w:bidi="ar-SA"/>
        </w:rPr>
        <w:t xml:space="preserve">dmistração </w:t>
      </w:r>
      <w:r>
        <w:rPr>
          <w:rFonts w:eastAsia="Times New Roman" w:cs="Times New Roman" w:ascii="Times New Roman" w:hAnsi="Times New Roman"/>
          <w:b w:val="false"/>
          <w:bCs w:val="false"/>
          <w:color w:val="auto"/>
          <w:kern w:val="0"/>
          <w:sz w:val="24"/>
          <w:szCs w:val="24"/>
          <w:lang w:val="pt-PT" w:eastAsia="en-US" w:bidi="ar-SA"/>
        </w:rPr>
        <w:t>P</w:t>
      </w:r>
      <w:r>
        <w:rPr>
          <w:rFonts w:eastAsia="Times New Roman" w:cs="Times New Roman" w:ascii="Times New Roman" w:hAnsi="Times New Roman"/>
          <w:b w:val="false"/>
          <w:bCs w:val="false"/>
          <w:color w:val="auto"/>
          <w:kern w:val="0"/>
          <w:sz w:val="24"/>
          <w:szCs w:val="24"/>
          <w:lang w:val="pt-PT" w:eastAsia="en-US" w:bidi="ar-SA"/>
        </w:rPr>
        <w:t xml:space="preserve">ública para a provisão </w:t>
      </w:r>
      <w:r>
        <w:rPr>
          <w:rFonts w:eastAsia="Times New Roman" w:cs="Times New Roman" w:ascii="Times New Roman" w:hAnsi="Times New Roman"/>
          <w:b w:val="false"/>
          <w:bCs w:val="false"/>
          <w:color w:val="auto"/>
          <w:kern w:val="0"/>
          <w:sz w:val="24"/>
          <w:szCs w:val="24"/>
          <w:lang w:val="pt-PT" w:eastAsia="en-US" w:bidi="ar-SA"/>
        </w:rPr>
        <w:t xml:space="preserve">de bens e serviços </w:t>
      </w:r>
      <w:r>
        <w:rPr>
          <w:rFonts w:eastAsia="Times New Roman" w:cs="Times New Roman" w:ascii="Times New Roman" w:hAnsi="Times New Roman"/>
          <w:b w:val="false"/>
          <w:bCs w:val="false"/>
          <w:color w:val="auto"/>
          <w:kern w:val="0"/>
          <w:sz w:val="24"/>
          <w:szCs w:val="24"/>
          <w:lang w:val="pt-PT" w:eastAsia="en-US" w:bidi="ar-SA"/>
        </w:rPr>
        <w:t>e com grande potencial para gerar uma outra vertente da Economia,  a designada Economia Digital.</w: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8">
                <wp:simplePos x="0" y="0"/>
                <wp:positionH relativeFrom="column">
                  <wp:posOffset>763905</wp:posOffset>
                </wp:positionH>
                <wp:positionV relativeFrom="paragraph">
                  <wp:posOffset>-133985</wp:posOffset>
                </wp:positionV>
                <wp:extent cx="5089525" cy="2913380"/>
                <wp:effectExtent l="0" t="0" r="0" b="0"/>
                <wp:wrapSquare wrapText="largest"/>
                <wp:docPr id="11" name="Frame2"/>
                <a:graphic xmlns:a="http://schemas.openxmlformats.org/drawingml/2006/main">
                  <a:graphicData uri="http://schemas.microsoft.com/office/word/2010/wordprocessingShape">
                    <wps:wsp>
                      <wps:cNvSpPr txBox="1"/>
                      <wps:spPr>
                        <a:xfrm>
                          <a:off x="0" y="0"/>
                          <a:ext cx="5089525" cy="2913380"/>
                        </a:xfrm>
                        <a:prstGeom prst="rect"/>
                      </wps:spPr>
                      <wps:txbx>
                        <w:txbxContent>
                          <w:p>
                            <w:pPr>
                              <w:pStyle w:val="Figura"/>
                              <w:spacing w:before="120" w:after="120"/>
                              <w:jc w:val="center"/>
                              <w:rPr/>
                            </w:pPr>
                            <w:r>
                              <w:rPr>
                                <w:b/>
                                <w:bCs/>
                              </w:rPr>
                              <w:drawing>
                                <wp:inline distT="0" distB="0" distL="0" distR="0">
                                  <wp:extent cx="4274820" cy="232918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4274820" cy="2329180"/>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2</w:t>
                            </w:r>
                            <w:r>
                              <w:rPr>
                                <w:b/>
                                <w:bCs/>
                              </w:rPr>
                              <w:fldChar w:fldCharType="end"/>
                            </w:r>
                            <w:r>
                              <w:rPr/>
                              <w:t>: Sistemas De e-Gov Como Sistemas De Informação: Visão Estrutural</w:t>
                            </w:r>
                          </w:p>
                        </w:txbxContent>
                      </wps:txbx>
                      <wps:bodyPr anchor="t" lIns="0" tIns="0" rIns="0" bIns="0">
                        <a:noAutofit/>
                      </wps:bodyPr>
                    </wps:wsp>
                  </a:graphicData>
                </a:graphic>
              </wp:anchor>
            </w:drawing>
          </mc:Choice>
          <mc:Fallback>
            <w:pict>
              <v:rect style="position:absolute;rotation:0;width:400.75pt;height:229.4pt;mso-wrap-distance-left:0pt;mso-wrap-distance-right:0pt;mso-wrap-distance-top:0pt;mso-wrap-distance-bottom:0pt;margin-top:-10.55pt;mso-position-vertical-relative:text;margin-left:60.15pt;mso-position-horizontal-relative:text">
                <v:textbox inset="0in,0in,0in,0in">
                  <w:txbxContent>
                    <w:p>
                      <w:pPr>
                        <w:pStyle w:val="Figura"/>
                        <w:spacing w:before="120" w:after="120"/>
                        <w:jc w:val="center"/>
                        <w:rPr/>
                      </w:pPr>
                      <w:r>
                        <w:rPr>
                          <w:b/>
                          <w:bCs/>
                        </w:rPr>
                        <w:drawing>
                          <wp:inline distT="0" distB="0" distL="0" distR="0">
                            <wp:extent cx="4274820" cy="232918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4274820" cy="2329180"/>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2</w:t>
                      </w:r>
                      <w:r>
                        <w:rPr>
                          <w:b/>
                          <w:bCs/>
                        </w:rPr>
                        <w:fldChar w:fldCharType="end"/>
                      </w:r>
                      <w:r>
                        <w:rPr/>
                        <w:t>: Sistemas De e-Gov Como Sistemas De Informação: Visão Estrutural</w:t>
                      </w:r>
                    </w:p>
                  </w:txbxContent>
                </v:textbox>
                <w10:wrap type="square" side="largest"/>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Em bom rigor, a máquina governativa para poder operar, depende da colecta de impostos  dos cidadãos. Ora, se  os cidadãos é que subsidiam ao estado, para que este por sua vez seja capaz de operar a tal ponto de poder  prover bens e serviços públicos, isso remete o entendmento de que os cidadãos, estão no seu direito de exigir a qualidade dos mesmos serviços, que lhes são providos pelo estado por via da função pública. A adopção da Governação Electrónica, tem em vista em grande medida, responder o anseio dos cidadãos pela provisão de Bens e Serviços com qualidade desejável.</w:t>
      </w:r>
    </w:p>
    <w:p>
      <w:pPr>
        <w:pStyle w:val="TextBody"/>
        <w:spacing w:lineRule="auto" w:line="360"/>
        <w:jc w:val="both"/>
        <w:rPr/>
      </w:pPr>
      <w:bookmarkStart w:id="20" w:name="__RefHeading___Toc1130_3678721922"/>
      <w:bookmarkEnd w:id="20"/>
      <w:r>
        <w:rPr>
          <w:rFonts w:eastAsia="Times New Roman" w:cs="Times New Roman" w:ascii="Times New Roman" w:hAnsi="Times New Roman"/>
          <w:b w:val="false"/>
          <w:bCs w:val="false"/>
          <w:color w:val="auto"/>
          <w:kern w:val="0"/>
          <w:sz w:val="24"/>
          <w:szCs w:val="24"/>
          <w:lang w:val="pt-PT" w:eastAsia="en-US" w:bidi="ar-SA"/>
        </w:rPr>
        <w:t>Sucede que a adopção da Governação Electrónica, tem um grande potencial de despoletar uma outra vertente da economia, a desginada Economia Digital, na medida em que a governação electrónica é uma componente da Economia Digital</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pPr>
      <w:bookmarkStart w:id="21" w:name="__RefHeading___Toc2650_3411858530"/>
      <w:bookmarkEnd w:id="21"/>
      <w:r>
        <w:rPr>
          <w:rFonts w:eastAsia="Times New Roman" w:cs="Times New Roman" w:ascii="Times New Roman" w:hAnsi="Times New Roman"/>
          <w:b/>
          <w:bCs/>
          <w:sz w:val="32"/>
          <w:szCs w:val="32"/>
          <w:lang w:val="pt-PT" w:eastAsia="en-US" w:bidi="ar-SA"/>
        </w:rPr>
        <w:t>Sistemas de Informação</w:t>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2827_2399318446"/>
      <w:bookmarkEnd w:id="22"/>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095_3411858530"/>
      <w:bookmarkEnd w:id="23"/>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34109_3411858530"/>
      <w:bookmarkEnd w:id="24"/>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2_2541426179"/>
      <w:bookmarkEnd w:id="25"/>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4_2541426179"/>
      <w:bookmarkEnd w:id="26"/>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7" w:name="__RefHeading___Toc996_2541426179"/>
      <w:bookmarkEnd w:id="27"/>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8" w:name="__RefHeading___Toc2690_1641839962"/>
      <w:bookmarkEnd w:id="28"/>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9" w:name="__RefHeading___Toc984_2166704190"/>
      <w:bookmarkEnd w:id="29"/>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6_2166704190"/>
      <w:bookmarkEnd w:id="30"/>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88_2166704190"/>
      <w:bookmarkEnd w:id="31"/>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0_2166704190"/>
      <w:bookmarkEnd w:id="32"/>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tru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3" w:name="__RefHeading___Toc992_2166704190"/>
      <w:bookmarkEnd w:id="33"/>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tru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4" w:name="__RefHeading___Toc994_2166704190"/>
      <w:bookmarkEnd w:id="34"/>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6_2166704190"/>
      <w:bookmarkEnd w:id="35"/>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6" w:name="__RefHeading___Toc998_2166704190"/>
      <w:bookmarkEnd w:id="36"/>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7" w:name="__RefHeading___Toc2692_1641839962"/>
      <w:bookmarkEnd w:id="37"/>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8" w:name="__RefHeading___Toc2694_1641839962"/>
      <w:bookmarkEnd w:id="38"/>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696_1641839962"/>
      <w:bookmarkEnd w:id="39"/>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40" w:name="__RefHeading___Toc2700_1641839962"/>
      <w:bookmarkEnd w:id="40"/>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8">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9">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1" w:name="__RefHeading___Toc2702_1641839962"/>
      <w:bookmarkEnd w:id="41"/>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10"/>
      <w:type w:val="nextPage"/>
      <w:pgSz w:w="11909" w:h="16834"/>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69875" cy="213360"/>
              <wp:effectExtent l="0" t="0" r="0" b="0"/>
              <wp:wrapNone/>
              <wp:docPr id="6" name="Frame3"/>
              <a:graphic xmlns:a="http://schemas.openxmlformats.org/drawingml/2006/main">
                <a:graphicData uri="http://schemas.microsoft.com/office/word/2010/wordprocessingShape">
                  <wps:wsp>
                    <wps:cNvSpPr/>
                    <wps:spPr>
                      <a:xfrm>
                        <a:off x="0" y="0"/>
                        <a:ext cx="269280" cy="21276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15pt;height:16.7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0510" cy="213995"/>
              <wp:effectExtent l="0" t="0" r="0" b="0"/>
              <wp:wrapNone/>
              <wp:docPr id="7" name="Frame12"/>
              <a:graphic xmlns:a="http://schemas.openxmlformats.org/drawingml/2006/main">
                <a:graphicData uri="http://schemas.microsoft.com/office/word/2010/wordprocessingShape">
                  <wps:wsp>
                    <wps:cNvSpPr/>
                    <wps:spPr>
                      <a:xfrm>
                        <a:off x="0" y="0"/>
                        <a:ext cx="270000" cy="21348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2pt;height:16.75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rameContents">
    <w:name w:val="Frame Contents"/>
    <w:basedOn w:val="Normal"/>
    <w:qFormat/>
    <w:pPr/>
    <w:rPr/>
  </w:style>
  <w:style w:type="paragraph" w:styleId="ContentsHeading">
    <w:name w:val="TOA Heading"/>
    <w:basedOn w:val="IndexHeading"/>
    <w:pPr>
      <w:suppressLineNumbers/>
      <w:ind w:left="0" w:hanging="0"/>
    </w:pPr>
    <w:rPr>
      <w:b/>
      <w:bCs/>
      <w:sz w:val="32"/>
      <w:szCs w:val="32"/>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inage.gov.mz/?page_id=11" TargetMode="External"/><Relationship Id="rId9" Type="http://schemas.openxmlformats.org/officeDocument/2006/relationships/hyperlink" Target="http://www.intic.gov.mz/?page_id=731"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2303</TotalTime>
  <Application>LibreOffice/6.4.7.2$Linux_X86_64 LibreOffice_project/40$Build-2</Application>
  <Pages>25</Pages>
  <Words>3950</Words>
  <Characters>21916</Characters>
  <CharactersWithSpaces>25723</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2025-06-19T03:34:34Z</dcterms:modified>
  <cp:revision>135</cp:revision>
  <dc:subject/>
  <dc:title/>
</cp:coreProperties>
</file>