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3403" w:right="0" w:hanging="0"/>
        <w:jc w:val="left"/>
        <w:rPr/>
      </w:pPr>
      <w:r>
        <w:rPr/>
      </w:r>
    </w:p>
    <w:p>
      <w:pPr>
        <w:pStyle w:val="Normal"/>
        <w:bidi w:val="0"/>
        <w:ind w:left="3403" w:right="0" w:hanging="0"/>
        <w:jc w:val="left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7" w:after="0"/>
        <w:jc w:val="left"/>
        <w:rPr>
          <w:sz w:val="9"/>
        </w:rPr>
      </w:pPr>
      <w:r>
        <w:rPr>
          <w:sz w:val="9"/>
        </w:rPr>
      </w:r>
    </w:p>
    <w:p>
      <w:pPr>
        <w:pStyle w:val="Normal"/>
        <w:bidi w:val="0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2" w:after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2" w:after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bidi w:val="0"/>
        <w:spacing w:before="1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TextBody"/>
        <w:bidi w:val="0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123" w:right="1123" w:header="0" w:top="547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spacing w:before="8" w:after="0"/>
        <w:jc w:val="left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bidi w:val="0"/>
        <w:spacing w:before="6" w:after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bidi w:val="0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6232" w:leader="none"/>
          <w:tab w:val="left" w:pos="7483" w:leader="none"/>
        </w:tabs>
        <w:bidi w:val="0"/>
        <w:spacing w:before="154" w:after="0"/>
        <w:ind w:left="2281" w:right="0" w:hanging="0"/>
        <w:jc w:val="left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   \de</w:t>
        <w:tab/>
        <w:t>de</w:t>
      </w:r>
      <w:r>
        <w:rPr>
          <w:spacing w:val="-1"/>
        </w:rPr>
        <w:t xml:space="preserve"> </w:t>
      </w:r>
      <w:r>
        <w:rPr/>
        <w:t>2025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" w:after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6280" cy="3238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480" cy="31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3pt;height:2.4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6280" cy="3238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480" cy="31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3pt;height:2.4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6280" cy="3238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480" cy="31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3pt;height:2.4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bidi w:val="0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1" w:after="0"/>
        <w:jc w:val="lef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9170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4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6" w:after="0"/>
        <w:jc w:val="left"/>
        <w:rPr>
          <w:sz w:val="15"/>
        </w:rPr>
      </w:pPr>
      <w:r>
        <w:rPr>
          <w:sz w:val="15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/>
      </w:pPr>
      <w:r>
        <w:rPr>
          <w:sz w:val="28"/>
        </w:rPr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>
          <w:sz w:val="28"/>
        </w:rPr>
        <w:t>)</w:t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bidi w:val="0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bidi w:val="0"/>
        <w:spacing w:before="7" w:after="0"/>
        <w:jc w:val="left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sectPr>
          <w:type w:val="continuous"/>
          <w:pgSz w:w="11906" w:h="16838"/>
          <w:pgMar w:left="1320" w:right="980" w:header="0" w:top="1008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bidi w:val="0"/>
        <w:spacing w:before="10" w:after="0"/>
        <w:jc w:val="left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before="9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Epígrafe</w:t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Palavras-chave: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bidi w:val="0"/>
        <w:spacing w:before="8" w:after="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before="10" w:after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>Keywords: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FIGURAS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GRÁFICOS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TABELAS</w:t>
      </w:r>
    </w:p>
    <w:p>
      <w:pPr>
        <w:pStyle w:val="Normal"/>
        <w:bidi w:val="0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bidi w:val="0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bidi w:val="0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bidi w:val="0"/>
              <w:spacing w:lineRule="auto" w:line="480" w:before="7" w:after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Índice</w:t>
          </w:r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0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INTRODUÇÃO</w:t>
              <w:tab/>
              <w:t>1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 Contexualização</w:t>
              <w:tab/>
              <w:t>1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  Definição do problema</w:t>
              <w:tab/>
              <w:t>2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1.4  Motivação</w:t>
              <w:tab/>
              <w:t>3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3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1.5  Importância do trabalho</w:t>
              <w:tab/>
              <w:t>3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  Objectivos</w:t>
              <w:tab/>
              <w:t>4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281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1.6.1  Objectivo Geral</w:t>
              <w:tab/>
              <w:t>4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281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1.6.2  Objectuvos Específicos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1.7  Pergunta de investigação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9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1.8  Resultados esperados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2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REVISÃO DA LITERATURA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2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Administração/Função Pública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5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 Governação Electrónica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48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  Economia Digital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50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2.4  Sistemas de Informação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2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  Interoperabilidade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34095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2.5.1  Tipos de Interoperabilidade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34109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2.5.2  Formatos de Dados para Interoperabilidade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2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  Machine Learning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4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2.7  Modelo TAM (Technology Acceptance Model)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6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2.8  Modos de Implementação de Sistema de Informação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84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 Metodologia de Pesquisa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86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3.1.1  Tipo de Pesquisa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88_2166704190">
            <w:r>
              <w:rPr>
                <w:rStyle w:val="IndexLink"/>
              </w:rPr>
              <w:t>a) Quanto à Abordagem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0_2166704190">
            <w:r>
              <w:rPr>
                <w:rStyle w:val="IndexLink"/>
              </w:rPr>
              <w:t>b) Quanto a Estratégia de Pesquisa</w:t>
              <w:tab/>
              <w:t>5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2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3.1.2  Técnicas de Recolha de Dados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4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 Modelação da Proposta do Framework Para Interoperabilidade</w:t>
              <w:tab/>
              <w:t>6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6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3.2.1  Ferramenta de Modelação</w:t>
              <w:tab/>
              <w:t>6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8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3.2.2  Frameworks Para Criação de Mocks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2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RESULTADOS E DISCUÇÃO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CONSTRANGIMENTOS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6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CONCLUSÃO E RECOMMENDAÇÕES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70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 REFERENCIAS BIBLIOGRÁFICAS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4"/>
              <w:type w:val="nextPage"/>
              <w:pgSz w:w="11906" w:h="16838"/>
              <w:pgMar w:left="1320" w:right="980" w:header="0" w:top="562" w:footer="274" w:bottom="696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numPr>
          <w:ilvl w:val="0"/>
          <w:numId w:val="3"/>
        </w:numPr>
        <w:tabs>
          <w:tab w:val="clear" w:pos="709"/>
          <w:tab w:val="left" w:pos="-300" w:leader="none"/>
        </w:tabs>
        <w:bidi w:val="0"/>
        <w:spacing w:before="61" w:after="0"/>
        <w:ind w:left="0" w:right="0" w:hanging="0"/>
        <w:jc w:val="left"/>
        <w:rPr/>
      </w:pPr>
      <w:bookmarkStart w:id="0" w:name="__RefHeading___Toc2801_2399318446"/>
      <w:bookmarkEnd w:id="0"/>
      <w:r>
        <w:rPr/>
        <w:t>INTRODUÇÃO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" w:name="__RefHeading___Toc2803_2399318446"/>
      <w:bookmarkEnd w:id="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Contexualização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u w:val="none"/>
          <w:lang w:val="pt-PT" w:eastAsia="en-US" w:bidi="ar-SA"/>
        </w:rPr>
        <w:t xml:space="preserve">o </w:t>
      </w:r>
      <w:hyperlink r:id="rId5">
        <w:r>
          <w:rPr>
            <w:rStyle w:val="InternetLink"/>
            <w:rFonts w:eastAsia="Times New Roman" w:cs="Times New Roman;Times New Roman" w:ascii="Times New Roman;Times New Roman" w:hAnsi="Times New Roman;Times New Roman"/>
            <w:b w:val="false"/>
            <w:bCs w:val="false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" w:name="__RefHeading___Toc2805_2399318446"/>
      <w:bookmarkEnd w:id="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Definição do problema</w:t>
      </w:r>
    </w:p>
    <w:p>
      <w:pPr>
        <w:pStyle w:val="Normal"/>
        <w:bidi w:val="0"/>
        <w:spacing w:lineRule="auto" w:line="360" w:before="114" w:after="114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" w:name="__RefHeading___Toc2807_2399318446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Motivação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b w:val="false"/>
          <w:bCs w:val="false"/>
          <w:color w:val="auto"/>
          <w:sz w:val="24"/>
          <w:szCs w:val="24"/>
          <w:lang w:val="pt-PT" w:eastAsia="en-US" w:bidi="ar-SA"/>
        </w:rPr>
        <w:t>subsidiar os tomadores de decisões nesta matéria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.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" w:name="__RefHeading___Toc2831_2399318446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Importância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do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trabalho</w:t>
      </w:r>
    </w:p>
    <w:p>
      <w:pPr>
        <w:pStyle w:val="TextBody"/>
        <w:bidi w:val="0"/>
        <w:spacing w:lineRule="auto" w:line="360" w:before="171" w:after="311"/>
        <w:ind w:left="0" w:right="449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tabs>
          <w:tab w:val="clear" w:pos="709"/>
          <w:tab w:val="left" w:pos="961" w:leader="none"/>
        </w:tabs>
        <w:bidi w:val="0"/>
        <w:spacing w:lineRule="auto" w:line="360" w:before="164" w:after="0"/>
        <w:ind w:left="120" w:right="457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5" w:name="__RefHeading___Toc2811_2399318446"/>
      <w:bookmarkEnd w:id="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Objectivos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6" w:name="__RefHeading___Toc2813_2399318446"/>
      <w:bookmarkEnd w:id="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 Geral</w:t>
      </w:r>
    </w:p>
    <w:p>
      <w:pPr>
        <w:pStyle w:val="PargrafodaLista"/>
        <w:bidi w:val="0"/>
        <w:spacing w:lineRule="auto" w:line="360" w:before="171" w:after="171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Governação Electrónico.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7" w:name="__RefHeading___Toc2815_2399318446"/>
      <w:bookmarkEnd w:id="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Objectuvos Específicos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225" w:leader="none"/>
        </w:tabs>
        <w:bidi w:val="0"/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8" w:name="__RefHeading___Toc2817_2399318446"/>
      <w:bookmarkEnd w:id="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Pergunta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 w:ascii="Times New Roman" w:hAnsi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vestigação</w:t>
      </w:r>
    </w:p>
    <w:p>
      <w:pPr>
        <w:pStyle w:val="TextBody"/>
        <w:bidi w:val="0"/>
        <w:spacing w:before="6" w:after="0"/>
        <w:jc w:val="left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9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13" w:leader="none"/>
        </w:tabs>
        <w:bidi w:val="0"/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" w:name="__RefHeading___Toc2819_2399318446"/>
      <w:bookmarkEnd w:id="9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 w:ascii="Times New Roman" w:hAnsi="Times New Roman"/>
          <w:b/>
          <w:bCs/>
          <w:color w:val="auto"/>
          <w:spacing w:val="-10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esperados</w:t>
      </w:r>
    </w:p>
    <w:p>
      <w:pPr>
        <w:pStyle w:val="TextBody"/>
        <w:bidi w:val="0"/>
        <w:spacing w:lineRule="auto" w:line="360" w:before="0" w:after="140"/>
        <w:ind w:left="0" w:right="449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 este trabalho pretende-se 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2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r>
        <w:br w:type="page"/>
      </w:r>
    </w:p>
    <w:p>
      <w:pPr>
        <w:pStyle w:val="Heading1"/>
        <w:numPr>
          <w:ilvl w:val="0"/>
          <w:numId w:val="8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0" w:name="__RefHeading___Toc2821_2399318446"/>
      <w:bookmarkEnd w:id="1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REVISÃO</w:t>
      </w:r>
      <w:r>
        <w:rPr>
          <w:rFonts w:eastAsia="Times New Roman" w:cs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DA</w:t>
      </w:r>
      <w:r>
        <w:rPr>
          <w:rFonts w:eastAsia="Times New Roman" w:cs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LITERATURA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bidi w:val="0"/>
        <w:jc w:val="both"/>
        <w:rPr/>
      </w:pPr>
      <w:bookmarkStart w:id="11" w:name="__RefHeading___Toc2652_1641839962"/>
      <w:bookmarkEnd w:id="11"/>
      <w:r>
        <w:rPr/>
        <w:t>Neste capítulo, abordar-se-á conceitos incontornáveis a temática do presente trabalho de pesquisa, com vista a trazer subsídios que concorrem para a melhor clareza sobre o tema do estudo em apreço.</w:t>
      </w:r>
    </w:p>
    <w:p>
      <w:pPr>
        <w:pStyle w:val="Heading1"/>
        <w:bidi w:val="0"/>
        <w:jc w:val="both"/>
        <w:rPr/>
      </w:pPr>
      <w:r>
        <w:rPr/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2" w:name="__RefHeading___Toc2825_2399318446"/>
      <w:bookmarkEnd w:id="1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Administração/Função Pública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3" w:name="__RefHeading___Toc2654_1641839962"/>
      <w:bookmarkEnd w:id="1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Governação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lectrónica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4" w:name="__RefHeading___Toc2648_3411858530"/>
      <w:bookmarkEnd w:id="1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Economia Digital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5" w:name="__RefHeading___Toc2650_3411858530"/>
      <w:bookmarkEnd w:id="1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Sistemas de Informação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6" w:name="__RefHeading___Toc2827_2399318446"/>
      <w:bookmarkEnd w:id="16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7" w:name="__RefHeading___Toc34095_3411858530"/>
      <w:bookmarkEnd w:id="17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Tipos de 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8" w:name="__RefHeading___Toc34109_3411858530"/>
      <w:bookmarkEnd w:id="18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Formatos de Dados para Interoperabilidade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9" w:name="__RefHeading___Toc992_2541426179"/>
      <w:bookmarkEnd w:id="19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Machine Learning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0" w:name="__RefHeading___Toc994_2541426179"/>
      <w:bookmarkEnd w:id="20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odelo TAM (Technology Acceptance Model)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1" w:name="__RefHeading___Toc996_2541426179"/>
      <w:bookmarkEnd w:id="21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Modos de Implementação de Sistema de Informação</w:t>
      </w:r>
    </w:p>
    <w:p>
      <w:pPr>
        <w:pStyle w:val="TextBody"/>
        <w:numPr>
          <w:ilvl w:val="0"/>
          <w:numId w:val="0"/>
        </w:numPr>
        <w:bidi w:val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numPr>
          <w:ilvl w:val="0"/>
          <w:numId w:val="0"/>
        </w:numPr>
        <w:bidi w:val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2" w:name="__RefHeading___Toc2690_1641839962"/>
      <w:bookmarkEnd w:id="22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METODOLOGIA</w:t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3" w:name="__RefHeading___Toc984_2166704190"/>
      <w:bookmarkEnd w:id="2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Metodologia de Pesquisa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4" w:name="__RefHeading___Toc986_2166704190"/>
      <w:bookmarkEnd w:id="24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Tipo de Pesquisa</w:t>
      </w:r>
    </w:p>
    <w:p>
      <w:pPr>
        <w:pStyle w:val="Heading3"/>
        <w:keepNext w:val="true"/>
        <w:widowControl/>
        <w:numPr>
          <w:ilvl w:val="2"/>
          <w:numId w:val="1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5" w:name="__RefHeading___Toc988_2166704190"/>
      <w:bookmarkEnd w:id="25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Quanto à Abordagem</w:t>
      </w:r>
    </w:p>
    <w:p>
      <w:pPr>
        <w:pStyle w:val="Heading3"/>
        <w:keepNext w:val="true"/>
        <w:widowControl/>
        <w:numPr>
          <w:ilvl w:val="2"/>
          <w:numId w:val="1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outlineLvl w:val="2"/>
        <w:rPr/>
      </w:pPr>
      <w:bookmarkStart w:id="26" w:name="__RefHeading___Toc990_2166704190"/>
      <w:bookmarkEnd w:id="26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Quanto a Estratégia de Pesquisa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/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/>
      </w:pPr>
      <w:bookmarkStart w:id="27" w:name="__RefHeading___Toc992_2166704190"/>
      <w:bookmarkEnd w:id="27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Técnicas de Recolha de Dados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/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8" w:name="__RefHeading___Toc994_2166704190"/>
      <w:bookmarkEnd w:id="2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Modelação da Proposta do Framework Para Interoperabilidade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9" w:name="__RefHeading___Toc996_2166704190"/>
      <w:bookmarkEnd w:id="29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Ferramenta de Modelação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0" w:name="__RefHeading___Toc998_2166704190"/>
      <w:bookmarkEnd w:id="30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Frameworks Para Criação de Mocks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1" w:name="__RefHeading___Toc2692_1641839962"/>
      <w:bookmarkEnd w:id="31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RESULTADOS E DISCUÇÃO</w:t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2" w:name="__RefHeading___Toc2694_1641839962"/>
      <w:bookmarkEnd w:id="32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3" w:name="__RefHeading___Toc2696_1641839962"/>
      <w:bookmarkEnd w:id="33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CONCLUSÃO E RECOMMENDAÇÕES</w:t>
      </w:r>
      <w:r>
        <w:br w:type="page"/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4" w:name="__RefHeading___Toc2700_1641839962"/>
      <w:bookmarkEnd w:id="34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REFERENCIAS BIBLIOGRÁFICAS</w:t>
      </w:r>
    </w:p>
    <w:p>
      <w:pPr>
        <w:pStyle w:val="Heading1"/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6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7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bookmarkStart w:id="35" w:name="__RefHeading___Toc2702_1641839962"/>
      <w:bookmarkEnd w:id="35"/>
      <w:r>
        <w:rPr>
          <w:rFonts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</w:rPr>
        <w:t>portaldogoverno (2020). [online]. Disponível em www.portaldogoverno.gov.mz [Consultado em 17 de Abril de 2020]</w:t>
      </w:r>
      <w:r>
        <w:rPr>
          <w:rFonts w:cs="Times New Roman;Times New Roman" w:ascii="Times New Roman;Times New Roman" w:hAnsi="Times New Roman;Times New Roman"/>
          <w:color w:val="auto"/>
          <w:kern w:val="0"/>
          <w:sz w:val="24"/>
          <w:szCs w:val="24"/>
        </w:rPr>
        <w:t>.</w:t>
      </w:r>
    </w:p>
    <w:sectPr>
      <w:footerReference w:type="default" r:id="rId8"/>
      <w:type w:val="nextPage"/>
      <w:pgSz w:w="11906" w:h="16838"/>
      <w:pgMar w:left="1230" w:right="776" w:header="0" w:top="1440" w:footer="1049" w:bottom="1585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6700" cy="210185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040" cy="209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9pt;height:16.4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7335" cy="210820"/>
              <wp:effectExtent l="0" t="0" r="0" b="0"/>
              <wp:wrapNone/>
              <wp:docPr id="7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1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95pt;height:16.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2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lowerLetter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935" w:hanging="72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2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inage.gov.mz/" TargetMode="External"/><Relationship Id="rId6" Type="http://schemas.openxmlformats.org/officeDocument/2006/relationships/hyperlink" Target="https://www.inage.gov.mz/?page_id=11" TargetMode="External"/><Relationship Id="rId7" Type="http://schemas.openxmlformats.org/officeDocument/2006/relationships/hyperlink" Target="http://www.intic.gov.mz/?page_id=731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</TotalTime>
  <Application>LibreOffice/6.4.7.2$Linux_X86_64 LibreOffice_project/40$Build-2</Application>
  <Pages>23</Pages>
  <Words>2330</Words>
  <Characters>13115</Characters>
  <CharactersWithSpaces>15373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2025-05-28T11:51:40Z</dcterms:created>
  <dc:creator/>
  <dc:description/>
  <dc:language>en-US</dc:language>
  <cp:lastModifiedBy/>
  <dcterms:modified xsi:type="dcterms:W3CDTF">2025-06-06T04:50:37Z</dcterms:modified>
  <cp:revision>72</cp:revision>
  <dc:subject/>
  <dc:title/>
</cp:coreProperties>
</file>