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right="-599"/>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APacCHRIE 2026 Template for </w:t>
      </w:r>
      <w:r w:rsidDel="00000000" w:rsidR="00000000" w:rsidRPr="00000000">
        <w:rPr>
          <w:rFonts w:ascii="Times New Roman" w:cs="Times New Roman" w:eastAsia="Times New Roman" w:hAnsi="Times New Roman"/>
          <w:b w:val="1"/>
          <w:bCs w:val="1"/>
          <w:sz w:val="24"/>
          <w:szCs w:val="24"/>
          <w:u w:val="single"/>
          <w:rtl w:val="0"/>
        </w:rPr>
        <w:t xml:space="preserve">Abstracts</w:t>
      </w:r>
      <w:r w:rsidDel="00000000" w:rsidR="00000000" w:rsidRPr="00000000">
        <w:rPr>
          <w:rFonts w:ascii="Times New Roman" w:cs="Times New Roman" w:eastAsia="Times New Roman" w:hAnsi="Times New Roman"/>
          <w:sz w:val="24"/>
          <w:szCs w:val="24"/>
          <w:u w:val="single"/>
          <w:rtl w:val="0"/>
        </w:rPr>
        <w:t xml:space="preserve"> (Maximum 1,500 words including the reference section) and for </w:t>
      </w:r>
      <w:r w:rsidDel="00000000" w:rsidR="00000000" w:rsidRPr="00000000">
        <w:rPr>
          <w:rFonts w:ascii="Times New Roman" w:cs="Times New Roman" w:eastAsia="Times New Roman" w:hAnsi="Times New Roman"/>
          <w:b w:val="1"/>
          <w:bCs w:val="1"/>
          <w:sz w:val="24"/>
          <w:szCs w:val="24"/>
          <w:u w:val="single"/>
          <w:rtl w:val="0"/>
        </w:rPr>
        <w:t xml:space="preserve">Full Papers</w:t>
      </w:r>
      <w:r w:rsidDel="00000000" w:rsidR="00000000" w:rsidRPr="00000000">
        <w:rPr>
          <w:rFonts w:ascii="Times New Roman" w:cs="Times New Roman" w:eastAsia="Times New Roman" w:hAnsi="Times New Roman"/>
          <w:sz w:val="24"/>
          <w:szCs w:val="24"/>
          <w:u w:val="single"/>
          <w:rtl w:val="0"/>
        </w:rPr>
        <w:t xml:space="preserve"> (Maximum 7,000 words including the reference section)</w:t>
      </w:r>
    </w:p>
    <w:p w:rsidR="00000000" w:rsidDel="00000000" w:rsidP="00000000" w:rsidRDefault="00000000" w:rsidRPr="00000000" w14:paraId="00000002">
      <w:pPr>
        <w:widowControl w:val="0"/>
        <w:tabs>
          <w:tab w:val="left" w:leader="none" w:pos="7890"/>
        </w:tabs>
        <w:spacing w:after="0" w:line="240" w:lineRule="auto"/>
        <w:ind w:right="-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003">
      <w:pPr>
        <w:widowControl w:val="0"/>
        <w:spacing w:after="0" w:line="240" w:lineRule="auto"/>
        <w:ind w:right="-2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Title: </w:t>
      </w:r>
      <w:r w:rsidDel="00000000" w:rsidR="00000000" w:rsidRPr="00000000">
        <w:rPr>
          <w:rFonts w:ascii="Times New Roman" w:cs="Times New Roman" w:eastAsia="Times New Roman" w:hAnsi="Times New Roman"/>
          <w:b w:val="1"/>
          <w:bCs w:val="1"/>
          <w:sz w:val="24"/>
          <w:szCs w:val="24"/>
          <w:u w:val="single"/>
          <w:rtl w:val="0"/>
        </w:rPr>
        <w:t xml:space="preserve">Curriculum Network Analysis of Quantitative Bottlenecks in Hospitality Management Education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33"/>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1"/>
          <w:bCs w:val="1"/>
          <w:color w:val="333333"/>
          <w:sz w:val="24"/>
          <w:szCs w:val="24"/>
          <w:vertAlign w:val="superscript"/>
        </w:rPr>
      </w:pPr>
      <w:r w:rsidDel="00000000" w:rsidR="00000000" w:rsidRPr="00000000">
        <w:rPr>
          <w:rFonts w:ascii="Times New Roman" w:cs="Times New Roman" w:eastAsia="Times New Roman" w:hAnsi="Times New Roman"/>
          <w:b w:val="1"/>
          <w:bCs w:val="1"/>
          <w:color w:val="333333"/>
          <w:sz w:val="24"/>
          <w:szCs w:val="24"/>
          <w:rtl w:val="0"/>
        </w:rPr>
        <w:t xml:space="preserve">Larissa Mae Maranan Montano</w:t>
      </w:r>
      <w:r w:rsidDel="00000000" w:rsidR="00000000" w:rsidRPr="00000000">
        <w:rPr>
          <w:rFonts w:ascii="Times New Roman" w:cs="Times New Roman" w:eastAsia="Times New Roman" w:hAnsi="Times New Roman"/>
          <w:b w:val="1"/>
          <w:bCs w:val="1"/>
          <w:color w:val="333333"/>
          <w:sz w:val="24"/>
          <w:szCs w:val="24"/>
          <w:vertAlign w:val="superscript"/>
          <w:rtl w:val="0"/>
        </w:rPr>
        <w:t xml:space="preserve">1,3</w:t>
      </w:r>
      <w:r w:rsidDel="00000000" w:rsidR="00000000" w:rsidRPr="00000000">
        <w:rPr>
          <w:rFonts w:ascii="Times New Roman" w:cs="Times New Roman" w:eastAsia="Times New Roman" w:hAnsi="Times New Roman"/>
          <w:b w:val="1"/>
          <w:bCs w:val="1"/>
          <w:color w:val="333333"/>
          <w:sz w:val="24"/>
          <w:szCs w:val="24"/>
          <w:rtl w:val="0"/>
        </w:rPr>
        <w:t xml:space="preserve"> </w:t>
      </w:r>
      <w:r w:rsidDel="00000000" w:rsidR="00000000" w:rsidRPr="00000000">
        <w:rPr>
          <w:rFonts w:ascii="Times New Roman" w:cs="Times New Roman" w:eastAsia="Times New Roman" w:hAnsi="Times New Roman"/>
          <w:b w:val="1"/>
          <w:bCs w:val="1"/>
          <w:color w:val="333333"/>
          <w:sz w:val="24"/>
          <w:szCs w:val="24"/>
          <w:rtl w:val="0"/>
        </w:rPr>
        <w:t xml:space="preserve">&amp; Giovanni A. Tapang</w:t>
      </w:r>
      <w:r w:rsidDel="00000000" w:rsidR="00000000" w:rsidRPr="00000000">
        <w:rPr>
          <w:rFonts w:ascii="Times New Roman" w:cs="Times New Roman" w:eastAsia="Times New Roman" w:hAnsi="Times New Roman"/>
          <w:b w:val="1"/>
          <w:bCs w:val="1"/>
          <w:color w:val="333333"/>
          <w:sz w:val="24"/>
          <w:szCs w:val="24"/>
          <w:vertAlign w:val="superscript"/>
          <w:rtl w:val="0"/>
        </w:rPr>
        <w:t xml:space="preserve">2,3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vertAlign w:val="superscript"/>
          <w:rtl w:val="0"/>
        </w:rPr>
        <w:t xml:space="preserve">1</w:t>
      </w:r>
      <w:r w:rsidDel="00000000" w:rsidR="00000000" w:rsidRPr="00000000">
        <w:rPr>
          <w:rFonts w:ascii="Times New Roman" w:cs="Times New Roman" w:eastAsia="Times New Roman" w:hAnsi="Times New Roman"/>
          <w:color w:val="333333"/>
          <w:sz w:val="24"/>
          <w:szCs w:val="24"/>
          <w:rtl w:val="0"/>
        </w:rPr>
        <w:t xml:space="preserve"> Department of Hotel, Restaurant and Institution Management, College of Home Economics, University of the Philippines Diliman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vertAlign w:val="superscript"/>
          <w:rtl w:val="0"/>
        </w:rPr>
        <w:t xml:space="preserve">2</w:t>
      </w:r>
      <w:r w:rsidDel="00000000" w:rsidR="00000000" w:rsidRPr="00000000">
        <w:rPr>
          <w:rFonts w:ascii="Times New Roman" w:cs="Times New Roman" w:eastAsia="Times New Roman" w:hAnsi="Times New Roman"/>
          <w:color w:val="333333"/>
          <w:sz w:val="24"/>
          <w:szCs w:val="24"/>
          <w:rtl w:val="0"/>
        </w:rPr>
        <w:t xml:space="preserve"> National Institute of Physics, College of Science, University of the Philippines Diliman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vertAlign w:val="superscript"/>
          <w:rtl w:val="0"/>
        </w:rPr>
        <w:t xml:space="preserve">3</w:t>
      </w:r>
      <w:r w:rsidDel="00000000" w:rsidR="00000000" w:rsidRPr="00000000">
        <w:rPr>
          <w:rFonts w:ascii="Times New Roman" w:cs="Times New Roman" w:eastAsia="Times New Roman" w:hAnsi="Times New Roman"/>
          <w:color w:val="333333"/>
          <w:sz w:val="24"/>
          <w:szCs w:val="24"/>
          <w:rtl w:val="0"/>
        </w:rPr>
        <w:t xml:space="preserve"> Data Science Program, College of Science, University of the Philippines Diliman</w:t>
      </w:r>
    </w:p>
    <w:p w:rsidR="00000000" w:rsidDel="00000000" w:rsidP="00000000" w:rsidRDefault="00000000" w:rsidRPr="00000000" w14:paraId="00000009">
      <w:pPr>
        <w:pStyle w:val="Heading2"/>
        <w:tabs>
          <w:tab w:val="left" w:leader="none" w:pos="426"/>
        </w:tabs>
        <w:spacing w:before="0" w:lineRule="auto"/>
        <w:jc w:val="center"/>
        <w:rPr>
          <w:b w:val="0"/>
          <w:bCs w:val="0"/>
          <w:sz w:val="24"/>
          <w:szCs w:val="24"/>
        </w:rPr>
      </w:pPr>
      <w:r w:rsidDel="00000000" w:rsidR="00000000" w:rsidRPr="00000000">
        <w:rPr>
          <w:b w:val="0"/>
          <w:bCs w:val="0"/>
          <w:sz w:val="24"/>
          <w:szCs w:val="24"/>
          <w:rtl w:val="0"/>
        </w:rPr>
        <w:t xml:space="preserve">Room 203 Alonso Hall, College of Home Economics, A. Ma. Regidor Street, UP Campus, Diliman, Quezon City, Philippines</w:t>
      </w:r>
    </w:p>
    <w:p w:rsidR="00000000" w:rsidDel="00000000" w:rsidP="00000000" w:rsidRDefault="00000000" w:rsidRPr="00000000" w14:paraId="0000000A">
      <w:pPr>
        <w:pStyle w:val="Heading2"/>
        <w:tabs>
          <w:tab w:val="left" w:leader="none" w:pos="426"/>
        </w:tabs>
        <w:spacing w:before="0" w:lineRule="auto"/>
        <w:jc w:val="center"/>
        <w:rPr>
          <w:b w:val="0"/>
          <w:bCs w:val="0"/>
        </w:rPr>
      </w:pPr>
      <w:r w:rsidDel="00000000" w:rsidR="00000000" w:rsidRPr="00000000">
        <w:rPr>
          <w:b w:val="0"/>
          <w:bCs w:val="0"/>
          <w:sz w:val="24"/>
          <w:szCs w:val="24"/>
          <w:rtl w:val="0"/>
        </w:rPr>
        <w:t xml:space="preserve">lrmaranan@up.edu.ph</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tl w:val="0"/>
        </w:rPr>
      </w:r>
    </w:p>
    <w:tbl>
      <w:tblPr>
        <w:tblStyle w:val="Table1"/>
        <w:tblW w:w="96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9"/>
        <w:gridCol w:w="6237"/>
        <w:tblGridChange w:id="0">
          <w:tblGrid>
            <w:gridCol w:w="3369"/>
            <w:gridCol w:w="6237"/>
          </w:tblGrid>
        </w:tblGridChange>
      </w:tblGrid>
      <w:tr>
        <w:trPr>
          <w:cantSplit w:val="0"/>
          <w:trHeight w:val="30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type</w:t>
            </w:r>
          </w:p>
          <w:p w:rsidR="00000000" w:rsidDel="00000000" w:rsidP="00000000" w:rsidRDefault="00000000" w:rsidRPr="00000000" w14:paraId="0000000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indicate your preference </w:t>
            </w:r>
          </w:p>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 Stand-up paper presentation only</w:t>
            </w:r>
          </w:p>
          <w:p w:rsidR="00000000" w:rsidDel="00000000" w:rsidP="00000000" w:rsidRDefault="00000000" w:rsidRPr="00000000" w14:paraId="0000001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Poster presentation only</w:t>
            </w:r>
          </w:p>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 preference</w:t>
            </w:r>
          </w:p>
        </w:tc>
      </w:tr>
      <w:tr>
        <w:trPr>
          <w:cantSplit w:val="0"/>
          <w:trHeight w:val="30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total words</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7043 ) words</w:t>
            </w:r>
          </w:p>
        </w:tc>
      </w:tr>
      <w:tr>
        <w:trPr>
          <w:cantSplit w:val="0"/>
          <w:trHeight w:val="309"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type</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submit in </w:t>
            </w:r>
            <w:r w:rsidDel="00000000" w:rsidR="00000000" w:rsidRPr="00000000">
              <w:rPr>
                <w:rFonts w:ascii="Times New Roman" w:cs="Times New Roman" w:eastAsia="Times New Roman" w:hAnsi="Times New Roman"/>
                <w:b w:val="1"/>
                <w:bCs w:val="1"/>
                <w:highlight w:val="green"/>
                <w:rtl w:val="0"/>
              </w:rPr>
              <w:t xml:space="preserve">MS Word</w:t>
            </w:r>
            <w:r w:rsidDel="00000000" w:rsidR="00000000" w:rsidRPr="00000000">
              <w:rPr>
                <w:rFonts w:ascii="Times New Roman" w:cs="Times New Roman" w:eastAsia="Times New Roman" w:hAnsi="Times New Roman"/>
                <w:rtl w:val="0"/>
              </w:rPr>
              <w:t xml:space="preserve"> format (</w:t>
            </w:r>
            <w:r w:rsidDel="00000000" w:rsidR="00000000" w:rsidRPr="00000000">
              <w:rPr>
                <w:rFonts w:ascii="Times New Roman" w:cs="Times New Roman" w:eastAsia="Times New Roman" w:hAnsi="Times New Roman"/>
                <w:u w:val="single"/>
                <w:rtl w:val="0"/>
              </w:rPr>
              <w:t xml:space="preserve">NOT</w:t>
            </w:r>
            <w:r w:rsidDel="00000000" w:rsidR="00000000" w:rsidRPr="00000000">
              <w:rPr>
                <w:rFonts w:ascii="Times New Roman" w:cs="Times New Roman" w:eastAsia="Times New Roman" w:hAnsi="Times New Roman"/>
                <w:rtl w:val="0"/>
              </w:rPr>
              <w:t xml:space="preserve"> PDF)</w:t>
            </w:r>
          </w:p>
        </w:tc>
      </w:tr>
    </w:tbl>
    <w:p w:rsidR="00000000" w:rsidDel="00000000" w:rsidP="00000000" w:rsidRDefault="00000000" w:rsidRPr="00000000" w14:paraId="0000001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after="0" w:line="240" w:lineRule="auto"/>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Submission Date: </w:t>
      </w:r>
      <w:r w:rsidDel="00000000" w:rsidR="00000000" w:rsidRPr="00000000">
        <w:rPr>
          <w:rFonts w:ascii="Times New Roman" w:cs="Times New Roman" w:eastAsia="Times New Roman" w:hAnsi="Times New Roman"/>
          <w:b w:val="1"/>
          <w:bCs w:val="1"/>
          <w:u w:val="single"/>
          <w:rtl w:val="0"/>
        </w:rPr>
        <w:t xml:space="preserve">March 25, 2026 </w:t>
      </w:r>
    </w:p>
    <w:p w:rsidR="00000000" w:rsidDel="00000000" w:rsidP="00000000" w:rsidRDefault="00000000" w:rsidRPr="00000000" w14:paraId="0000002F">
      <w:pPr>
        <w:spacing w:after="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after="0" w:line="24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Submitted exclusively to Paper Review Team of APacCHRIE 2026 </w:t>
      </w:r>
    </w:p>
    <w:p w:rsidR="00000000" w:rsidDel="00000000" w:rsidP="00000000" w:rsidRDefault="00000000" w:rsidRPr="00000000" w14:paraId="00000031">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Curriculum Network Analysis of Quantitative Bottlenecks in </w:t>
      </w:r>
    </w:p>
    <w:p w:rsidR="00000000" w:rsidDel="00000000" w:rsidP="00000000" w:rsidRDefault="00000000" w:rsidRPr="00000000" w14:paraId="0000003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Hospitality Management Education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Abstract: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uses a dual-network analysis to evaluate student progression in a rapidly growing BS in Hotel, Restaurant, and Institution Management (BS HRIM) program. The program has expanded by 64% since 2024, yet the 2021 curricular revision has produced an on-time graduation rate of only 24%. To identify the systemic drivers of this delay, the curriculum is modeled through two distinct lenses: a structural curriculum network based on official prerequisites and an empirical progression network derived from the records of N=269 students. Structural analysis reveals a high-risk prerequisite chain centered on Math 21 and Stat 101, with HRIM 131 functioning as the main structural chokepoint (betweenness centrality = 0.0335). Louvain community detection confirms strong structural partitioning (modularity Q = 0.674) that degrades sharply in the empirical network (Q = 0.231), where failure and retake cycles blur intended prerequisite tiers. Math 21 emerges as the dominant academic bottleneck, with a 37.3% failure rate, 295 total attempts from 194 unique students, and a self-loop weight of 71, confirming mandatory failure-driven retakes. The dominant empirical hub by degree is PE 2, a structural artifact of its four-time enrollment requirement. T</w:t>
      </w:r>
      <w:r w:rsidDel="00000000" w:rsidR="00000000" w:rsidRPr="00000000">
        <w:rPr>
          <w:rFonts w:ascii="Georgia" w:cs="Georgia" w:eastAsia="Georgia" w:hAnsi="Georgia"/>
          <w:sz w:val="24"/>
          <w:szCs w:val="24"/>
          <w:rtl w:val="0"/>
        </w:rPr>
        <w:t xml:space="preserve">hese findings support targeted early intervention in quantitative courses and curriculum revisions that reduce reliance on a single prerequisite chain. In this program, 76% of students did not graduate on time under the revised curriculum, even though some may eventually complete it.</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Keywords: Hospitality education, curriculum network, curriculum roadblocks</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Hospitality education, curriculum network, curriculum roadblocks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Introduction</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BS Hotel, Restaurant and Institution Management (BS HRIM) program has seen a period of unprecedented growth. Between 2023 and 2025, new cohorts have grown to represent over 60% of total enrollment, with section counts escalating from a single section in 2021 to four sections by 2025. However, this growth has collided with the structural rigidities of the 156-unit curriculum revised in 2021. Preliminary data from the inaugural 2021 cohort reveal a concerning trend: only 24% graduated on time. On-time graduation means completing all 156 required units within eight regular semesters (four academic years), excluding midyear terms. The remaining 76% have either withdrawn or faced significant delays.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driver of delays is the prerequisite trap centered on core quantitative and professional courses. The progression into the HRIM 150 series requires successful completion of HRIM 131 (Operations Management), a critical fifth-semester block that must be taken in its entirety. HRIM 131 requires Math 21 (Elementary Analytics) and Stat 101 (Elementary Statistics). High failure rates in these foundational subjects have created a massive backlog. The department has offered HRIM 131 every semester since 2022 to accommodate students delayed from one to five semesters.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off-season scheduling places an unsustainable strain on limited faculty and classroom resources. With the population nearly quadrupling in four years, the department faces a dual crisis: maintaining academic rigor while ensuring student flow through a curriculum that currently lacks the flexibility to absorb failure or delay. There is an urgent need to shift from anecdotal observations to data-driven modeling to understand how these prerequisite chains impact student momentum.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Research Objectives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provide a quantitative framework for curriculum management by pursuing the following objectives: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Map the BS HRIM curriculum as an empirical progression network to visualize student flow.</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specific bottleneck nodes that disproportionately hinder on-time graduation.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 the impact of failure rates on institutional resources and student progress.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2. Literature Review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2.1. S</w:t>
      </w:r>
      <w:r w:rsidDel="00000000" w:rsidR="00000000" w:rsidRPr="00000000">
        <w:rPr>
          <w:rFonts w:ascii="Times New Roman" w:cs="Times New Roman" w:eastAsia="Times New Roman" w:hAnsi="Times New Roman"/>
          <w:i w:val="1"/>
          <w:iCs w:val="1"/>
          <w:sz w:val="24"/>
          <w:szCs w:val="24"/>
          <w:rtl w:val="0"/>
        </w:rPr>
        <w:t xml:space="preserve">tructural Complexity and Curricular Analytics</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analysis is widely used across fields to study complex systems by modeling entities as nodes and their relationships as links (Roxas, 2010). Modern curricular assessment has shifted from subjective evaluation toward curricular analytics, which models degree programs as directed curriculum networks. Within this framework, courses are treated as nodes and prerequisites as directed edges. Aldrich (2015) provided an early formal treatment by modeling the undergraduate curriculum at Benedictine University as a Course Prerequisite Network (CPN), revealing hidden community clusters, bridges, and hub courses not apparent from the catalogue alone. Structural complexity in CPNs is defined by three key metrics: the blocking factor (courses blocked by a single failure), the delay factor (the longest prerequisite chain through a course), and centrality (Slim et al., 2014; Heileman et al., 2019). High structural complexity often correlates with higher failure rates and elongated time-to-degree, particularly in professional programs where foundational quantitative sequences act as gatekeepers with high blocking factors.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Yang et al. (2024) provide the most comprehensive peer-reviewed CPN application across public universities. They formally define the CPN as G = (V, E) and apply centrality measures—betweenness centrality, out-degree, reach, and transpose PageRank—to the CPNs of six American institutions. Their reach(v) metric quantifies the total downstream courses for which course v is a direct or indirect prerequisite. Their findings confirm that mathematics courses achieve the highest betweenness centrality and reach values across all institutions studied, establishing mathematics prerequisites as a structural feature of STEM-adjacent curricula rather than an institutional anomaly. Yang et al. further introduce the Longest Paths Induced sub-Graph (LPIG), the subgraph containing all courses on prerequisite chains of length ≥ k, as a formal construct for identifying the most highly constrained degree pathways.</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Zuev &amp; Stavrinides (2025) introduce three global CPN measures—breadth (B), depth (D), and flux (Φ)—grounded in topological stratification, enabling whole-curriculum diagnosis beyond node-level properties. Basavaraj et al. (2022) combined Sankey visualizations with network science curricular analytics to map degree mobility patterns, finding that foundational course performance is the primary driver of differences in progression across cohorts. This body of work establishes that the network-analytic approach is not merely descriptive but diagnostic: the structural position of a course in the CPN predicts its real-world impact on student progression and time-to-degree.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mallCaps w:val="0"/>
          <w:strike w:val="0"/>
          <w:sz w:val="24"/>
          <w:szCs w:val="24"/>
          <w:u w:val="none"/>
          <w:shd w:fill="auto" w:val="clear"/>
          <w:vertAlign w:val="baseline"/>
          <w:rtl w:val="0"/>
        </w:rPr>
        <w:t xml:space="preserve">2.2. </w:t>
      </w:r>
      <w:r w:rsidDel="00000000" w:rsidR="00000000" w:rsidRPr="00000000">
        <w:rPr>
          <w:rFonts w:ascii="Times New Roman" w:cs="Times New Roman" w:eastAsia="Times New Roman" w:hAnsi="Times New Roman"/>
          <w:i w:val="1"/>
          <w:iCs w:val="1"/>
          <w:sz w:val="24"/>
          <w:szCs w:val="24"/>
          <w:rtl w:val="0"/>
        </w:rPr>
        <w:t xml:space="preserve">Learning Analytics and Student Progression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analytics (LA) measures and reports data on learners and their contexts to understand and optimize learning and the environments in which it occurs (Conijn et al., 2017). Rienties &amp; Toetenel (2016) studied 151 modules and 111,256 students at the UK Open University, finding that the structural design of a course strongly predicts student engagement, retention, and satisfaction. This parallels the rationale for applying network-level curriculum metrics: both approaches treat program structure as a tractable, data-measurable driver of student outcomes rather than as a fixed condition.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modeling has extended this to the identification of individual at-risk individuals. Conijn et al. (2017) compared 17 blended courses at a Dutch university and demonstrated that LMS engagement data can accurately predict final course grades, enabling intervention before failure becomes irreversible. For structured prerequisite programs like BS HRIM, this has significant implications: early engagement predicts course-level outcomes, and course-level outcomes in prerequisite-gating courses predict degree-level trajectories. Identifying bottleneck courses through network analysis is a critical first step in at-risk identification pipelines.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Philippine higher education context, these issues carry particular urgency. The Commission on Higher Education (CHED) updates its Policies, Standards, and Guidelines (PSGs) on average every 11 years (EDCOM II, 2023). Structural curricular problems identified today may persist for nearly a decade before the next revision window. This institutional inertia makes data-driven, within-cycle evidence especially valuable. Curriculum network analysis provides precisely this type of evidence, allowing programs to optimize student outcomes without waiting for a full curriculum overhaul.</w:t>
      </w:r>
    </w:p>
    <w:p w:rsidR="00000000" w:rsidDel="00000000" w:rsidP="00000000" w:rsidRDefault="00000000" w:rsidRPr="00000000" w14:paraId="00000054">
      <w:pPr>
        <w:pStyle w:val="Heading2"/>
        <w:spacing w:before="200" w:line="276" w:lineRule="auto"/>
        <w:rPr>
          <w:b w:val="0"/>
          <w:bCs w:val="0"/>
          <w:i w:val="1"/>
          <w:iCs w:val="1"/>
          <w:color w:val="4f81bd"/>
          <w:sz w:val="24"/>
          <w:szCs w:val="24"/>
        </w:rPr>
      </w:pPr>
      <w:r w:rsidDel="00000000" w:rsidR="00000000" w:rsidRPr="00000000">
        <w:rPr>
          <w:b w:val="0"/>
          <w:bCs w:val="0"/>
          <w:i w:val="1"/>
          <w:iCs w:val="1"/>
          <w:sz w:val="24"/>
          <w:szCs w:val="24"/>
          <w:rtl w:val="0"/>
        </w:rPr>
        <w:t xml:space="preserve">2.3. The Hospitality Curriculum</w:t>
      </w:r>
      <w:r w:rsidDel="00000000" w:rsidR="00000000" w:rsidRPr="00000000">
        <w:rPr>
          <w:rtl w:val="0"/>
        </w:rPr>
      </w:r>
    </w:p>
    <w:p w:rsidR="00000000" w:rsidDel="00000000" w:rsidP="00000000" w:rsidRDefault="00000000" w:rsidRPr="00000000" w14:paraId="00000055">
      <w:pPr>
        <w:rPr>
          <w:rFonts w:ascii="Georgia" w:cs="Georgia" w:eastAsia="Georgia" w:hAnsi="Georgia"/>
          <w:sz w:val="24"/>
          <w:szCs w:val="24"/>
        </w:rPr>
      </w:pPr>
      <w:r w:rsidDel="00000000" w:rsidR="00000000" w:rsidRPr="00000000">
        <w:rPr>
          <w:rFonts w:ascii="Times New Roman" w:cs="Times New Roman" w:eastAsia="Times New Roman" w:hAnsi="Times New Roman"/>
          <w:sz w:val="24"/>
          <w:szCs w:val="24"/>
          <w:rtl w:val="0"/>
        </w:rPr>
        <w:t xml:space="preserve">Quantitative subjects such as calculus and statistics have long been integrated into hospitality curricula (Cullen &amp; Lambert, 1987). </w:t>
      </w:r>
      <w:r w:rsidDel="00000000" w:rsidR="00000000" w:rsidRPr="00000000">
        <w:rPr>
          <w:rFonts w:ascii="Georgia" w:cs="Georgia" w:eastAsia="Georgia" w:hAnsi="Georgia"/>
          <w:sz w:val="24"/>
          <w:szCs w:val="24"/>
          <w:rtl w:val="0"/>
        </w:rPr>
        <w:t xml:space="preserve">For example, Cullen and Lambert (1987) report that leading U.S. hospitality programs typically require at least one semester of business statistics and one analytics-oriented course. More recently, Fei et al. (2025) highlight modules on revenue management, demand forecasting, and data-driven pricing as standard quantitative components in contemporary hospitality degrees.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comparisons of hospitality programs in Asia reveal that curricula frequently struggle to balance business-theoretical foundations with specialized practical training (Wang &amp; Abukhalifeh, 2021). Fei et al. (2025) recommend that future curricular revisions prioritize immersive industry-based learning, hospitality-specific technologies such as CRM systems and online reservation platforms, and a heightened focus on big data and analytics.</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Notably, the ASEAN Common Competency Standards for Tourism Professionals (ACCSTP) and the Common ASEAN Tourism Curriculum (CATC) do not list quantitative analytics, statistics, or calculus as explicit competency domains. The heavy quantitative prerequisite chain in the BS HRIM curriculum (Math 20 → Math 21 → Stat 101 → HRIM 131) is therefore a feature of CHED’s academic degree framework, not a requirement of the ACCSTP vocational competency standards. This structural tension between academic gating logic and the industry-facing competency framework governing regional workforce mobility is a key contextual factor in the present analysis.</w:t>
      </w:r>
    </w:p>
    <w:p w:rsidR="00000000" w:rsidDel="00000000" w:rsidP="00000000" w:rsidRDefault="00000000" w:rsidRPr="00000000" w14:paraId="00000058">
      <w:pPr>
        <w:pStyle w:val="Heading2"/>
        <w:spacing w:before="200" w:line="276" w:lineRule="auto"/>
        <w:rPr>
          <w:b w:val="0"/>
          <w:bCs w:val="0"/>
          <w:i w:val="1"/>
          <w:iCs w:val="1"/>
          <w:color w:val="4f81bd"/>
          <w:sz w:val="24"/>
          <w:szCs w:val="24"/>
        </w:rPr>
      </w:pPr>
      <w:bookmarkStart w:colFirst="0" w:colLast="0" w:name="_yw3jbxy4fx24" w:id="0"/>
      <w:bookmarkEnd w:id="0"/>
      <w:r w:rsidDel="00000000" w:rsidR="00000000" w:rsidRPr="00000000">
        <w:rPr>
          <w:b w:val="0"/>
          <w:bCs w:val="0"/>
          <w:i w:val="1"/>
          <w:iCs w:val="1"/>
          <w:sz w:val="24"/>
          <w:szCs w:val="24"/>
          <w:rtl w:val="0"/>
        </w:rPr>
        <w:t xml:space="preserve">2.4. Research Gap</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network analysis literature is growing, but applications to hospitality management programs remain absent. Existing CPN studies have focused on STEM, computing, and general undergraduate programs at North American and European institutions (Aldrich, 2015; Yang et al., 2024). The structural dynamics of professional service-sector curricula—which combine quantitative requirements with practicum-heavy experiential sequences—remain unexamined.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Philippine hospitality programs face additional complexity. The BS HRIM program is governed by CHED’s PSG framework, operates under AUN-QA accreditation standards, and has undergone rapid enrollment expansion in the post-pandemic period. These conditions allow structural prerequisite bottlenecks to compound quickly across large cohorts. The present study fills this gap by applying a dual-network curriculum analysis that combines a structural blueprint with empirical student flow—the first network-analytic bottleneck assessment of a hospitality management curriculum in the ASEAN region.</w:t>
      </w:r>
    </w:p>
    <w:p w:rsidR="00000000" w:rsidDel="00000000" w:rsidP="00000000" w:rsidRDefault="00000000" w:rsidRPr="00000000" w14:paraId="0000005B">
      <w:pPr>
        <w:pStyle w:val="Heading1"/>
        <w:spacing w:after="0" w:lineRule="auto"/>
        <w:rPr>
          <w:rFonts w:ascii="Times New Roman" w:cs="Times New Roman" w:eastAsia="Times New Roman" w:hAnsi="Times New Roman"/>
          <w:color w:val="366091"/>
          <w:sz w:val="24"/>
          <w:szCs w:val="24"/>
        </w:rPr>
      </w:pPr>
      <w:bookmarkStart w:colFirst="0" w:colLast="0" w:name="_d5jtqdt0mvlu" w:id="1"/>
      <w:bookmarkEnd w:id="1"/>
      <w:r w:rsidDel="00000000" w:rsidR="00000000" w:rsidRPr="00000000">
        <w:rPr>
          <w:rFonts w:ascii="Times New Roman" w:cs="Times New Roman" w:eastAsia="Times New Roman" w:hAnsi="Times New Roman"/>
          <w:sz w:val="24"/>
          <w:szCs w:val="24"/>
          <w:rtl w:val="0"/>
        </w:rPr>
        <w:t xml:space="preserve">3. Methodology</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study employs a dual-network analysis approach to evaluate the BS HRIM program. Both networks share the same node set of courses. However, they encode different edge types. The structural network uses prerequisites from the official curriculum document. The empirical network uses observed student transitions from enrollment records. We developed two distinct models. The Structural Curriculum Network maps the program's theoretical design. The Empirical Progression Network analyzes the actual movement of N = 269 students.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3.1. Structural Curriculum Network</w:t>
        <w:br w:type="textWrapping"/>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 initial phase involved modeling the formal 156-unit BS HRIM curriculum as a directed graph to quantify its inherent complexity. Following Yang et al. (2024), the curriculum is formally encoded as a CPN G = (V, E). Graph-theoretic centrality measures identify courses of structural importance, including betweenness centrality and node reach. Following Zuev &amp; Stavrinides (2025), a transitive reduction was applied to remove any edge i → k where a longer directed path i → … → k already exists, ensuring that computed centrality values reflect only essential prerequisite structure.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represent each unique subject in the 156-unit program. Directed edges link prerequisite subjects to their subsequent target courses. Prerequisite edges were assigned weight w = 2, reflecting a hard sequential dependency where failure fully blocks access. Corequisite edges were assigned w = 1, reflecting softer coupling allowing concurrent enrollment. To assess sensitivity, all centrality measures reported in §4.1 were recomputed under uniform weighting (w = 1 for all edges). The top-five betweenness and reach rankings were unchanged, confirming that structural bottleneck identification is robust to the weighting scheme (see Supplementary Table S1).</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Co-requisites are treated as unidirectional edges from the first-offered term to the co-offered course. Retake loops in the empirical flow are represented as parallel paths rather than back-edges. This preserves the acyclicity of the directed curriculum network.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pStyle w:val="Heading2"/>
        <w:spacing w:before="200" w:line="276" w:lineRule="auto"/>
        <w:ind w:left="0" w:firstLine="0"/>
        <w:rPr>
          <w:b w:val="0"/>
          <w:bCs w:val="0"/>
          <w:i w:val="1"/>
          <w:iCs w:val="1"/>
          <w:sz w:val="24"/>
          <w:szCs w:val="24"/>
        </w:rPr>
      </w:pPr>
      <w:r w:rsidDel="00000000" w:rsidR="00000000" w:rsidRPr="00000000">
        <w:rPr>
          <w:b w:val="0"/>
          <w:bCs w:val="0"/>
          <w:i w:val="1"/>
          <w:iCs w:val="1"/>
          <w:sz w:val="24"/>
          <w:szCs w:val="24"/>
          <w:rtl w:val="0"/>
        </w:rPr>
        <w:t xml:space="preserve">3.2. Empirical Progression Network</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phase modeled students' actual academic histories to identify deviations from the theoretical blueprint. We extracted and anonymized the curriculum checklists of N = 269 students currently enrolled under the 2021 curriculum (covering the 2021–2025 cohorts). Unlike the static structural network, this model maps the subjects students actually took sequentially, including retakes and off-season enrollments. Each node was enriched with performance data, including total attempts, failure rate (f), and counts of incomplete (INC) or dropped (DRP) attempts. Edges were weighted by transition frequency—the volume of student flow between subjects across all recorded semesters.</w:t>
      </w:r>
    </w:p>
    <w:p w:rsidR="00000000" w:rsidDel="00000000" w:rsidP="00000000" w:rsidRDefault="00000000" w:rsidRPr="00000000" w14:paraId="0000006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follows the analytical pipeline established by Basavaraj et al. (2022), who extracted term-by-term institutional enrollment records for student cohorts and overlaid them on a curricular network representation to identify which courses generated the greatest disruptions in student degree mobility. Their approach of coupling historical student-flow data with network analysis to “provide recommendations to improve student outcomes” (Basavaraj et al., 2022, p. 791) directly informs the construction of the empirical progression network in the present study.</w:t>
      </w:r>
    </w:p>
    <w:p w:rsidR="00000000" w:rsidDel="00000000" w:rsidP="00000000" w:rsidRDefault="00000000" w:rsidRPr="00000000" w14:paraId="00000067">
      <w:pPr>
        <w:pStyle w:val="Heading2"/>
        <w:spacing w:before="200" w:line="276" w:lineRule="auto"/>
        <w:ind w:left="0" w:firstLine="0"/>
        <w:rPr>
          <w:b w:val="0"/>
          <w:bCs w:val="0"/>
          <w:i w:val="1"/>
          <w:iCs w:val="1"/>
          <w:color w:val="4f81bd"/>
          <w:sz w:val="24"/>
          <w:szCs w:val="24"/>
        </w:rPr>
      </w:pPr>
      <w:bookmarkStart w:colFirst="0" w:colLast="0" w:name="_euzfdjr8hkls" w:id="2"/>
      <w:bookmarkEnd w:id="2"/>
      <w:r w:rsidDel="00000000" w:rsidR="00000000" w:rsidRPr="00000000">
        <w:rPr>
          <w:b w:val="0"/>
          <w:bCs w:val="0"/>
          <w:i w:val="1"/>
          <w:iCs w:val="1"/>
          <w:sz w:val="24"/>
          <w:szCs w:val="24"/>
          <w:rtl w:val="0"/>
        </w:rPr>
        <w:t xml:space="preserve">3.3. Visualization and Comparative Analysis</w:t>
      </w: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networks were constructed and analyzed using the Python NetworkX library (Hagberg et al., 2008). The structural network was rendered using a hierarchical layout ordered by topological level—entry-point courses with no prerequisites at the top, deeper prerequisite levels descending—to make prerequisite flow visually explicit. The empirical network was rendered using the ForceAtlas2 force-directed algorithm (Jacomy et al., 2014), which positions high-degree hub nodes centrally and clusters tightly connected courses together.</w:t>
      </w:r>
    </w:p>
    <w:p w:rsidR="00000000" w:rsidDel="00000000" w:rsidP="00000000" w:rsidRDefault="00000000" w:rsidRPr="00000000" w14:paraId="0000006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follows Yang et al. (2024), who similarly employed Gephi alongside NetworkX to compute and visualize betweenness centrality distributions and modularity-based clustering. Community detection was performed using the Louvain algorithm (Blondel et al., 2008), and modularity scores (Newman &amp; Girvan, 2004) were computed for both networks.</w:t>
      </w:r>
    </w:p>
    <w:p w:rsidR="00000000" w:rsidDel="00000000" w:rsidP="00000000" w:rsidRDefault="00000000" w:rsidRPr="00000000" w14:paraId="0000006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structural integrity and friction of the program were evaluated by comparing the two networks through three primary lenses: in-degree and out-degree distributions, to identify gateway and bottleneck courses where student flow stalls; transition density, to quantify the velocity of student movement through high-stakes blocks like the HRIM 150 series; and path deviation, comparing theoretical network diameter against the actual multi-attempt paths taken by students to identify systemic delays.</w:t>
      </w:r>
    </w:p>
    <w:p w:rsidR="00000000" w:rsidDel="00000000" w:rsidP="00000000" w:rsidRDefault="00000000" w:rsidRPr="00000000" w14:paraId="0000006C">
      <w:pPr>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D">
      <w:pPr>
        <w:pStyle w:val="Heading1"/>
        <w:spacing w:after="0" w:lineRule="auto"/>
        <w:rPr>
          <w:rFonts w:ascii="Times New Roman" w:cs="Times New Roman" w:eastAsia="Times New Roman" w:hAnsi="Times New Roman"/>
          <w:color w:val="366091"/>
          <w:sz w:val="24"/>
          <w:szCs w:val="24"/>
        </w:rPr>
      </w:pPr>
      <w:r w:rsidDel="00000000" w:rsidR="00000000" w:rsidRPr="00000000">
        <w:rPr>
          <w:rFonts w:ascii="Times New Roman" w:cs="Times New Roman" w:eastAsia="Times New Roman" w:hAnsi="Times New Roman"/>
          <w:sz w:val="24"/>
          <w:szCs w:val="24"/>
          <w:rtl w:val="0"/>
        </w:rPr>
        <w:t xml:space="preserve">4. Results</w:t>
      </w:r>
      <w:r w:rsidDel="00000000" w:rsidR="00000000" w:rsidRPr="00000000">
        <w:rPr>
          <w:rtl w:val="0"/>
        </w:rPr>
      </w:r>
    </w:p>
    <w:p w:rsidR="00000000" w:rsidDel="00000000" w:rsidP="00000000" w:rsidRDefault="00000000" w:rsidRPr="00000000" w14:paraId="0000006E">
      <w:pPr>
        <w:pStyle w:val="Heading2"/>
        <w:spacing w:before="200" w:line="276" w:lineRule="auto"/>
        <w:rPr>
          <w:color w:val="4f81bd"/>
          <w:sz w:val="24"/>
          <w:szCs w:val="24"/>
        </w:rPr>
      </w:pPr>
      <w:bookmarkStart w:colFirst="0" w:colLast="0" w:name="_6aphpo9eqvca" w:id="3"/>
      <w:bookmarkEnd w:id="3"/>
      <w:r w:rsidDel="00000000" w:rsidR="00000000" w:rsidRPr="00000000">
        <w:rPr>
          <w:sz w:val="24"/>
          <w:szCs w:val="24"/>
          <w:rtl w:val="0"/>
        </w:rPr>
        <w:t xml:space="preserve">4.1. Structural Curriculum Network Analysis</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 reveals a highly centralized network architecture with a clear prerequisite backbone. The following are the key structural features of the curriculum.</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High-risk Prerequisite Chain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1, the red cluster constitutes the highest-risk prerequisite sequence in the structural network. This path is a single-file line starting with Math 20, a non-credit bridging course that is a prerequisite for Math 21. Stat 101 and Math 21 are prerequisites for HRIM 131, which is the gateway to the HRIM 150 series. Failure at any node in this sequence blocks all downstream progression. Academic advisers encourage students to attempt Math 21 and Stat 101 during their first year to minimize cumulative delay.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34036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 Structural Curriculum Network of the BS HRIM Program (156 Units). Nodes represent individual courses; directed edges point from prerequisite to dependent course. Node colour encodes Louvain community membership (modularity Q = 0.674; red = quantitative chain community, blue = HRIM foundation cluster, grey = GE and other clusters). Node size is proportional to out-degree. Key bottleneck courses (Math 21, Stat 101, HRIM 120, HRIM 131) are labeled in the figure.</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Hub Dominance</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major high-degree star subgraphs are evident: HRIM 120 (generally taken during the first two years) and HRIM 150/HRIM 199 (junior courses). HRIM 120 has a massive out-degree, serving as the prerequisite for at least seven core courses. HRIM 150 and 199 act as gatekeepers to senior courses with high betweenness centrality. Congestion at either node constrains the entire graduation pipeline.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Asymmetry</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early clusters are broad but shallow; the later clusters are deep with many successive prerequisites. In the framework of Zuev &amp; Stavrinides (2025), this asymmetry is formally captured by topological stratification: the early strata S₁–S₂ are wide (high breadth, many courses per stratum), while the later strata leading to the HRIM 150 and HRIM 160 series are narrow, producing a high-depth, low-breadth terminal structure. A curriculum with this profile has the longest path relative to its total node count—precisely the structural condition that Zuev &amp; Stavrinides identify as associated with constrained degree programs and extended time-to-graduation. The “high-risk chain of survival” corresponds to the long-path subgraph that would dominate the BS HRIM LPIG, confirming the linear quantitative prerequisite chain as a systemic architectural feature.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Community Structure</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community detection yields nine communities at Q = 0.674, well above the threshold for meaningful community structure (Q &gt; 0.30; Newman &amp; Girvan, 2004). The largest community (C1, 12 courses) groups Math 20, Math 21, Stat 101, and HRIM 131 together with their downstream senior electives, confirming this chain as a single structurally cohesive unit. C2 (9 courses) captures the HRIM foundation cluster anchored by HRIM 120, encompassing all seven courses directly unlocked by HRIM 120, along with its two prerequisite feeders (HRIM 110, HRIM 116). Smaller communities correspond to the PE series, English composition, NSTP, and foreign language elective pairs. The high modularity reinforces structural asymmetry: the curriculum is a set of largely separate prerequisite sub-chains converging at two chokepoints, HRIM 120 and HRIM 131, before diverging again into the senior tier.</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 Network Centrality Measures</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reports six graph-theoretic metrics for key curriculum nodes (Yang et al., 2024; Zuev &amp; Stavrinides, 2025). In-degree counts prerequisites; out-degree counts courses directly unlocked; betweenness centrality measures the proportion of shortest paths passing through a node; reach quantifies the total downstream courses; delay factor measures the longest prerequisite chain from a node; and blocking factor counts courses immediately inaccessible upon failure. </w:t>
      </w:r>
      <w:r w:rsidDel="00000000" w:rsidR="00000000" w:rsidRPr="00000000">
        <w:rPr>
          <w:rFonts w:ascii="Georgia" w:cs="Georgia" w:eastAsia="Georgia" w:hAnsi="Georgia"/>
          <w:sz w:val="24"/>
          <w:szCs w:val="24"/>
          <w:rtl w:val="0"/>
        </w:rPr>
        <w:t xml:space="preserve">Reach values in Table 1 count all downstream courses in the curriculum, including both HRIM and non-HRIM subjects, which explains why HRIM 120’s reach (26) exceeds Math 21’s reach (17).</w:t>
      </w:r>
      <w:r w:rsidDel="00000000" w:rsidR="00000000" w:rsidRPr="00000000">
        <w:rPr>
          <w:rtl w:val="0"/>
        </w:rPr>
      </w:r>
    </w:p>
    <w:p w:rsidR="00000000" w:rsidDel="00000000" w:rsidP="00000000" w:rsidRDefault="00000000" w:rsidRPr="00000000" w14:paraId="0000007D">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Structural Centrality Measures — Key BS HRIM Curriculum Nodes</w:t>
      </w:r>
      <w:r w:rsidDel="00000000" w:rsidR="00000000" w:rsidRPr="00000000">
        <w:rPr>
          <w:rtl w:val="0"/>
        </w:rPr>
      </w:r>
    </w:p>
    <w:tbl>
      <w:tblPr>
        <w:tblStyle w:val="Table2"/>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tl w:val="0"/>
              </w:rPr>
            </w:r>
          </w:p>
        </w:tc>
        <w:tc>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In-deg</w:t>
            </w:r>
            <w:r w:rsidDel="00000000" w:rsidR="00000000" w:rsidRPr="00000000">
              <w:rPr>
                <w:rtl w:val="0"/>
              </w:rPr>
            </w:r>
          </w:p>
        </w:tc>
        <w:tc>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Out-deg</w:t>
            </w:r>
            <w:r w:rsidDel="00000000" w:rsidR="00000000" w:rsidRPr="00000000">
              <w:rPr>
                <w:rtl w:val="0"/>
              </w:rPr>
            </w:r>
          </w:p>
        </w:tc>
        <w:tc>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Betweenness</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Reach</w:t>
            </w: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Block. F.</w:t>
            </w:r>
            <w:r w:rsidDel="00000000" w:rsidR="00000000" w:rsidRPr="00000000">
              <w:rPr>
                <w:rtl w:val="0"/>
              </w:rPr>
            </w:r>
          </w:p>
        </w:tc>
        <w:tc>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Delay F.</w:t>
            </w:r>
            <w:r w:rsidDel="00000000" w:rsidR="00000000" w:rsidRPr="00000000">
              <w:rPr>
                <w:rtl w:val="0"/>
              </w:rPr>
            </w:r>
          </w:p>
        </w:tc>
      </w:tr>
      <w:tr>
        <w:trPr>
          <w:cantSplit w:val="0"/>
          <w:tblHeader w:val="0"/>
        </w:trPr>
        <w:tc>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131</w:t>
            </w:r>
          </w:p>
        </w:tc>
        <w:tc>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0.0335</w:t>
            </w:r>
          </w:p>
        </w:tc>
        <w:tc>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120</w:t>
            </w:r>
          </w:p>
        </w:tc>
        <w:tc>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0.0182</w:t>
            </w:r>
          </w:p>
        </w:tc>
        <w:tc>
          <w:tcPr/>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150</w:t>
            </w:r>
          </w:p>
        </w:tc>
        <w:tc>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0.0098</w:t>
            </w:r>
          </w:p>
        </w:tc>
        <w:tc>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21</w:t>
            </w:r>
          </w:p>
        </w:tc>
        <w:tc>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0.0059</w:t>
            </w:r>
          </w:p>
        </w:tc>
        <w:tc>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199</w:t>
            </w:r>
          </w:p>
        </w:tc>
        <w:tc>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0.0028</w:t>
            </w:r>
          </w:p>
        </w:tc>
        <w:tc>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101</w:t>
            </w:r>
          </w:p>
        </w:tc>
        <w:tc>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110</w:t>
            </w:r>
          </w:p>
        </w:tc>
        <w:tc>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116</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20</w:t>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186</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0.0000</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Betweenness centrality is normalized. Reach = total downstream courses unlocked (Yang et al., 2024). Blocking factor = number of courses immediately inaccessible upon failure. Delay factor = length of the longest prerequisite chain from this node. Bold values indicate the maximum for each column.</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findings stand out from Table 1. First, HRIM 131 has the highest betweenness centrality (BC = 0.0335). It is the sole gateway through which all paths from foundational quantitative courses—Math 21, Stat 101, and HRIM 120—converge and fan out into the HRIM 150 series, making it the curriculum’s structural chokepoint. Second, HRIM 120 has the highest out-degree and blocking factor (8), serving as the program’s primary hub; a single failure can lock out eight courses simultaneously. Third, Math 21’s betweenness is comparatively lower (BC = 0.0059), but its reach of 17 and delay factor of 4 confirm disproportionate downstream influence. Any student who fails Math 21 is indirectly blocked from 17 courses and faces a prerequisite chain four levels deep before program completion.</w:t>
      </w:r>
    </w:p>
    <w:p w:rsidR="00000000" w:rsidDel="00000000" w:rsidP="00000000" w:rsidRDefault="00000000" w:rsidRPr="00000000" w14:paraId="000000CF">
      <w:pPr>
        <w:pStyle w:val="Heading2"/>
        <w:spacing w:before="200" w:line="276" w:lineRule="auto"/>
        <w:rPr>
          <w:color w:val="4f81bd"/>
          <w:sz w:val="24"/>
          <w:szCs w:val="24"/>
        </w:rPr>
      </w:pPr>
      <w:r w:rsidDel="00000000" w:rsidR="00000000" w:rsidRPr="00000000">
        <w:rPr>
          <w:sz w:val="24"/>
          <w:szCs w:val="24"/>
          <w:rtl w:val="0"/>
        </w:rPr>
        <w:t xml:space="preserve">4.2. Profile of Respondents for the Empirical Progression Network</w:t>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consists of 269 students. The distribution is skewed toward new students: 34.6% are from the 2025–2026 cohort, and 29.4% are from the 2024–2025 cohort. The overall average Weighted Average Grade (WAG) is 1.81.</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Cohort Distribution</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 (Started)</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of Total</w:t>
            </w:r>
            <w:r w:rsidDel="00000000" w:rsidR="00000000" w:rsidRPr="00000000">
              <w:rPr>
                <w:rtl w:val="0"/>
              </w:rPr>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21-22</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r>
      <w:tr>
        <w:trPr>
          <w:cantSplit w:val="0"/>
          <w:tblHeader w:val="0"/>
        </w:trPr>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22-23</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15.61%</w:t>
            </w:r>
          </w:p>
        </w:tc>
      </w:tr>
      <w:tr>
        <w:trPr>
          <w:cantSplit w:val="0"/>
          <w:tblHeader w:val="0"/>
        </w:trPr>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23-24</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w:t>
            </w:r>
          </w:p>
        </w:tc>
      </w:tr>
      <w:tr>
        <w:trPr>
          <w:cantSplit w:val="0"/>
          <w:tblHeader w:val="0"/>
        </w:trPr>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24-25</w:t>
            </w:r>
          </w:p>
        </w:tc>
        <w:tc>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29.37%</w:t>
            </w:r>
          </w:p>
        </w:tc>
      </w:tr>
      <w:tr>
        <w:trPr>
          <w:cantSplit w:val="0"/>
          <w:tblHeader w:val="0"/>
        </w:trPr>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25-26</w:t>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34.57%</w:t>
            </w:r>
          </w:p>
        </w:tc>
      </w:tr>
      <w:tr>
        <w:trPr>
          <w:cantSplit w:val="0"/>
          <w:tblHeader w:val="0"/>
        </w:trPr>
        <w:tc>
          <w:tcPr/>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is growing. The two newest cohorts (2024–2025 and 2025–2026) together make up 64% of enrolled students.</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Performance by Cohort</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Cohort</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w:t>
            </w: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WAG</w:t>
            </w: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Credited Units</w:t>
            </w: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 5.00</w:t>
            </w: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 INC</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21-22</w:t>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1.657</w:t>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128.63</w:t>
            </w:r>
          </w:p>
        </w:tc>
        <w:tc>
          <w:tcPr/>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22-23</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1.796</w:t>
            </w:r>
          </w:p>
        </w:tc>
        <w:tc>
          <w:tcPr/>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122.22</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23-24</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1.864</w:t>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88.62</w:t>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24-25</w:t>
            </w:r>
          </w:p>
        </w:tc>
        <w:tc>
          <w:tcPr/>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1.815</w:t>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61.84</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1st Sem 25-26</w:t>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1.824</w:t>
            </w:r>
          </w:p>
        </w:tc>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30.54</w:t>
            </w:r>
          </w:p>
        </w:tc>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bl>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oldest cohort (21-22) has the best WAG (1.657) and is near completion. The high rate of 5.00 grades across middle cohorts (59%) is primarily driven by Math 21.</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4. Academic Performance: WAG Range</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WAG Range</w:t>
            </w: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1.00–1.25</w:t>
            </w:r>
          </w:p>
        </w:tc>
        <w:tc>
          <w:tcPr/>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1.26–1.50</w:t>
            </w:r>
          </w:p>
        </w:tc>
        <w:tc>
          <w:tcPr/>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17.84%</w:t>
            </w:r>
          </w:p>
        </w:tc>
      </w:tr>
      <w:tr>
        <w:trPr>
          <w:cantSplit w:val="0"/>
          <w:tblHeader w:val="0"/>
        </w:trPr>
        <w:tc>
          <w:tcPr/>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1.51–1.75</w:t>
            </w:r>
          </w:p>
        </w:tc>
        <w:tc>
          <w:tcPr/>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26.39%</w:t>
            </w:r>
          </w:p>
        </w:tc>
      </w:tr>
      <w:tr>
        <w:trPr>
          <w:cantSplit w:val="0"/>
          <w:tblHeader w:val="0"/>
        </w:trPr>
        <w:tc>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1.76–2.00</w:t>
            </w:r>
          </w:p>
        </w:tc>
        <w:tc>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23.05%</w:t>
            </w:r>
          </w:p>
        </w:tc>
      </w:tr>
      <w:tr>
        <w:trPr>
          <w:cantSplit w:val="0"/>
          <w:tblHeader w:val="0"/>
        </w:trPr>
        <w:tc>
          <w:tcPr/>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2.01–2.25</w:t>
            </w:r>
          </w:p>
        </w:tc>
        <w:tc>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17.10%</w:t>
            </w:r>
          </w:p>
        </w:tc>
      </w:tr>
      <w:tr>
        <w:trPr>
          <w:cantSplit w:val="0"/>
          <w:tblHeader w:val="0"/>
        </w:trPr>
        <w:tc>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2.26–2.50</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8.18%</w:t>
            </w:r>
          </w:p>
        </w:tc>
      </w:tr>
      <w:tr>
        <w:trPr>
          <w:cantSplit w:val="0"/>
          <w:tblHeader w:val="0"/>
        </w:trPr>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2.51–2.75</w:t>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2.23%</w:t>
            </w:r>
          </w:p>
        </w:tc>
      </w:tr>
      <w:tr>
        <w:trPr>
          <w:cantSplit w:val="0"/>
          <w:tblHeader w:val="0"/>
        </w:trPr>
        <w:tc>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2.76–3.00</w:t>
            </w:r>
          </w:p>
        </w:tc>
        <w:tc>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w:t>
            </w:r>
          </w:p>
        </w:tc>
      </w:tr>
      <w:tr>
        <w:trPr>
          <w:cantSplit w:val="0"/>
          <w:tblHeader w:val="0"/>
        </w:trPr>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w:t>
            </w:r>
          </w:p>
        </w:tc>
        <w:tc>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0.37%</w:t>
            </w:r>
          </w:p>
        </w:tc>
      </w:tr>
      <w:tr>
        <w:trPr>
          <w:cantSplit w:val="0"/>
          <w:tblHeader w:val="0"/>
        </w:trPr>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 72% of students have a WAG of 2.25 or better, indicating solid overall academic performance.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5. Academic Progress — Credited Units (Total: 156 units required)</w:t>
      </w:r>
      <w:r w:rsidDel="00000000" w:rsidR="00000000" w:rsidRPr="00000000">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Units Completed</w:t>
            </w: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w:t>
            </w: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w:t>
            </w:r>
          </w:p>
        </w:tc>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21.19%</w:t>
            </w:r>
          </w:p>
        </w:tc>
      </w:tr>
      <w:tr>
        <w:trPr>
          <w:cantSplit w:val="0"/>
          <w:tblHeader w:val="0"/>
        </w:trPr>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30–59</w:t>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26.39%</w:t>
            </w:r>
          </w:p>
        </w:tc>
      </w:tr>
      <w:tr>
        <w:trPr>
          <w:cantSplit w:val="0"/>
          <w:tblHeader w:val="0"/>
        </w:trPr>
        <w:tc>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60–89</w:t>
            </w:r>
          </w:p>
        </w:tc>
        <w:tc>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w:t>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25.65%</w:t>
            </w:r>
          </w:p>
        </w:tc>
      </w:tr>
      <w:tr>
        <w:trPr>
          <w:cantSplit w:val="0"/>
          <w:tblHeader w:val="0"/>
        </w:trPr>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90–119</w:t>
            </w:r>
          </w:p>
        </w:tc>
        <w:tc>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13.38%</w:t>
            </w:r>
          </w:p>
        </w:tc>
      </w:tr>
      <w:tr>
        <w:trPr>
          <w:cantSplit w:val="0"/>
          <w:tblHeader w:val="0"/>
        </w:trPr>
        <w:tc>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120–156</w:t>
            </w:r>
          </w:p>
        </w:tc>
        <w:tc>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13.38%</w:t>
            </w:r>
          </w:p>
        </w:tc>
      </w:tr>
      <w:tr>
        <w:trPr>
          <w:cantSplit w:val="0"/>
          <w:tblHeader w:val="0"/>
        </w:trPr>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r>
    </w:tbl>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students (13.4%) are near or at completion (120+ units). 57 students (21.2%) are in their early stages (&lt;30 units), consistent with the large incoming cohort.</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6. Course Completion Rates</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HRIM Course</w:t>
            </w: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Satisfied</w:t>
            </w: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110</w:t>
            </w:r>
          </w:p>
        </w:tc>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267</w:t>
            </w:r>
          </w:p>
        </w:tc>
        <w:tc>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99.26%</w:t>
            </w:r>
          </w:p>
        </w:tc>
      </w:tr>
      <w:tr>
        <w:trPr>
          <w:cantSplit w:val="0"/>
          <w:tblHeader w:val="0"/>
        </w:trPr>
        <w:tc>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116</w:t>
            </w:r>
          </w:p>
        </w:tc>
        <w:tc>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95.17%</w:t>
            </w:r>
          </w:p>
        </w:tc>
      </w:tr>
      <w:tr>
        <w:trPr>
          <w:cantSplit w:val="0"/>
          <w:tblHeader w:val="0"/>
        </w:trPr>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101</w:t>
            </w:r>
          </w:p>
        </w:tc>
        <w:tc>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203</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75.46%</w:t>
            </w:r>
          </w:p>
        </w:tc>
      </w:tr>
      <w:tr>
        <w:trPr>
          <w:cantSplit w:val="0"/>
          <w:tblHeader w:val="0"/>
        </w:trPr>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120</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67.66%</w:t>
            </w:r>
          </w:p>
        </w:tc>
      </w:tr>
      <w:tr>
        <w:trPr>
          <w:cantSplit w:val="0"/>
          <w:tblHeader w:val="0"/>
        </w:trPr>
        <w:tc>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21</w:t>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w:t>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63.57%</w:t>
            </w:r>
          </w:p>
        </w:tc>
      </w:tr>
      <w:tr>
        <w:trPr>
          <w:cantSplit w:val="0"/>
          <w:tblHeader w:val="0"/>
        </w:trPr>
        <w:tc>
          <w:tcPr/>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 105</w:t>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170</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63.20%</w:t>
            </w:r>
          </w:p>
        </w:tc>
      </w:tr>
      <w:tr>
        <w:trPr>
          <w:cantSplit w:val="0"/>
          <w:tblHeader w:val="0"/>
        </w:trPr>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102</w:t>
            </w:r>
          </w:p>
        </w:tc>
        <w:tc>
          <w:tcPr/>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164</w:t>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60.97%</w:t>
            </w:r>
          </w:p>
        </w:tc>
      </w:tr>
      <w:tr>
        <w:trPr>
          <w:cantSplit w:val="0"/>
          <w:tblHeader w:val="0"/>
        </w:trPr>
        <w:tc>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102</w:t>
            </w:r>
          </w:p>
        </w:tc>
        <w:tc>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159</w:t>
            </w:r>
          </w:p>
        </w:tc>
        <w:tc>
          <w:tcPr/>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59.11%</w:t>
            </w:r>
          </w:p>
        </w:tc>
      </w:tr>
      <w:tr>
        <w:trPr>
          <w:cantSplit w:val="0"/>
          <w:tblHeader w:val="0"/>
        </w:trPr>
        <w:tc>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100</w:t>
            </w:r>
          </w:p>
        </w:tc>
        <w:tc>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w:t>
            </w:r>
          </w:p>
        </w:tc>
        <w:tc>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58.36%</w:t>
            </w:r>
          </w:p>
        </w:tc>
      </w:tr>
      <w:tr>
        <w:trPr>
          <w:cantSplit w:val="0"/>
          <w:tblHeader w:val="0"/>
        </w:trPr>
        <w:tc>
          <w:tcPr/>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132</w:t>
            </w:r>
          </w:p>
        </w:tc>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148</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55.02%</w:t>
            </w:r>
          </w:p>
        </w:tc>
      </w:tr>
      <w:tr>
        <w:trPr>
          <w:cantSplit w:val="0"/>
          <w:tblHeader w:val="0"/>
        </w:trPr>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131</w:t>
            </w:r>
          </w:p>
        </w:tc>
        <w:tc>
          <w:tcPr/>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138</w:t>
            </w:r>
          </w:p>
        </w:tc>
        <w:tc>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51.30%</w:t>
            </w:r>
          </w:p>
        </w:tc>
      </w:tr>
      <w:tr>
        <w:trPr>
          <w:cantSplit w:val="0"/>
          <w:tblHeader w:val="0"/>
        </w:trPr>
        <w:tc>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101</w:t>
            </w:r>
          </w:p>
        </w:tc>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w:t>
            </w:r>
          </w:p>
        </w:tc>
        <w:tc>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49.07%</w:t>
            </w:r>
          </w:p>
        </w:tc>
      </w:tr>
      <w:tr>
        <w:trPr>
          <w:cantSplit w:val="0"/>
          <w:tblHeader w:val="0"/>
        </w:trPr>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140</w:t>
            </w:r>
          </w:p>
        </w:tc>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32.34%</w:t>
            </w:r>
          </w:p>
        </w:tc>
      </w:tr>
      <w:tr>
        <w:trPr>
          <w:cantSplit w:val="0"/>
          <w:tblHeader w:val="0"/>
        </w:trPr>
        <w:tc>
          <w:tcPr/>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144</w:t>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w:t>
            </w:r>
          </w:p>
        </w:tc>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31.97%</w:t>
            </w:r>
          </w:p>
        </w:tc>
      </w:tr>
      <w:tr>
        <w:trPr>
          <w:cantSplit w:val="0"/>
          <w:tblHeader w:val="0"/>
        </w:trPr>
        <w:tc>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143</w:t>
            </w:r>
          </w:p>
        </w:tc>
        <w:tc>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c>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w:t>
            </w:r>
          </w:p>
        </w:tc>
      </w:tr>
      <w:tr>
        <w:trPr>
          <w:cantSplit w:val="0"/>
          <w:tblHeader w:val="0"/>
        </w:trPr>
        <w:tc>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142</w:t>
            </w:r>
          </w:p>
        </w:tc>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w:t>
            </w:r>
          </w:p>
        </w:tc>
        <w:tc>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30.86%</w:t>
            </w:r>
          </w:p>
        </w:tc>
      </w:tr>
      <w:tr>
        <w:trPr>
          <w:cantSplit w:val="0"/>
          <w:tblHeader w:val="0"/>
        </w:trPr>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150–156 (group)</w:t>
            </w:r>
          </w:p>
        </w:tc>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24.16%</w:t>
            </w:r>
          </w:p>
        </w:tc>
      </w:tr>
      <w:tr>
        <w:trPr>
          <w:cantSplit w:val="0"/>
          <w:tblHeader w:val="0"/>
        </w:trPr>
        <w:tc>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 100</w:t>
            </w:r>
          </w:p>
        </w:tc>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21.93%</w:t>
            </w:r>
          </w:p>
        </w:tc>
      </w:tr>
      <w:tr>
        <w:trPr>
          <w:cantSplit w:val="0"/>
          <w:tblHeader w:val="0"/>
        </w:trPr>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160–163 (group)</w:t>
            </w:r>
          </w:p>
        </w:tc>
        <w:tc>
          <w:tcPr/>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13.01%</w:t>
            </w:r>
          </w:p>
        </w:tc>
      </w:tr>
      <w:tr>
        <w:trPr>
          <w:cantSplit w:val="0"/>
          <w:tblHeader w:val="0"/>
        </w:trPr>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176–179, 200 (group)</w:t>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9.29%</w:t>
            </w:r>
          </w:p>
        </w:tc>
      </w:tr>
    </w:tbl>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all students have completed HRIM 110 (Macro Perspectives). Nearly 5% have yet to pass HRIM 116, indicating an early bottleneck. More students have passed Stat 101 than Math 21. Low completion rates for upper-level courses (HRIM 150+) are expected given the large incoming cohorts.</w:t>
      </w:r>
    </w:p>
    <w:p w:rsidR="00000000" w:rsidDel="00000000" w:rsidP="00000000" w:rsidRDefault="00000000" w:rsidRPr="00000000" w14:paraId="00000189">
      <w:pPr>
        <w:pStyle w:val="Heading2"/>
        <w:spacing w:before="200" w:line="276" w:lineRule="auto"/>
        <w:rPr>
          <w:color w:val="4f81bd"/>
          <w:sz w:val="24"/>
          <w:szCs w:val="24"/>
        </w:rPr>
      </w:pPr>
      <w:r w:rsidDel="00000000" w:rsidR="00000000" w:rsidRPr="00000000">
        <w:rPr>
          <w:sz w:val="24"/>
          <w:szCs w:val="24"/>
          <w:rtl w:val="0"/>
        </w:rPr>
        <w:t xml:space="preserve">4.3. Results of Network and Bottleneck Analysis</w:t>
      </w: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7. Network Overview</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(courses)</w:t>
            </w:r>
          </w:p>
        </w:tc>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edges</w:t>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1,633</w:t>
            </w:r>
          </w:p>
        </w:tc>
      </w:tr>
      <w:tr>
        <w:trPr>
          <w:cantSplit w:val="0"/>
          <w:tblHeader w:val="0"/>
        </w:trPr>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Self-loop edges (retakes)</w:t>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Non-self-loop transition edges</w:t>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1,621</w:t>
            </w:r>
          </w:p>
        </w:tc>
      </w:tr>
      <w:tr>
        <w:trPr>
          <w:cantSplit w:val="0"/>
          <w:tblHeader w:val="0"/>
        </w:trPr>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HRIM-prefix nodes</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 / other nodes</w:t>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pure source node (no in-edges)</w:t>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 1</w:t>
            </w:r>
          </w:p>
        </w:tc>
      </w:tr>
      <w:tr>
        <w:trPr>
          <w:cantSplit w:val="0"/>
          <w:tblHeader w:val="0"/>
        </w:trPr>
        <w:tc>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in-degree node</w:t>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2 (in = 1,541)</w:t>
            </w:r>
          </w:p>
        </w:tc>
      </w:tr>
      <w:tr>
        <w:trPr>
          <w:cantSplit w:val="0"/>
          <w:tblHeader w:val="0"/>
        </w:trPr>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 out-degree node</w:t>
            </w:r>
          </w:p>
        </w:tc>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2 (out = 1,679)</w:t>
            </w:r>
          </w:p>
        </w:tc>
      </w:tr>
      <w:tr>
        <w:trPr>
          <w:cantSplit w:val="0"/>
          <w:tblHeader w:val="0"/>
        </w:trPr>
        <w:tc>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Strongest convergence sink</w:t>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120 (in = 1,106)</w:t>
            </w:r>
          </w:p>
        </w:tc>
      </w:tr>
    </w:tbl>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269 students moving through the curriculum, the high edge count shows that students are not following a linear path. They are distributing across available courses, likely due to failing prerequisites. HRIM 120 serves as the primary convergence sink, demonstrating its role as a high-friction gatekeeper.</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community detection on the empirical network yields three communities at Q = 0.231. While lower than the structural network’s Q = 0.674—which is expected given that students physically traverse all tiers and create cross-community edges—the value remains above the Q &gt; 0.10 threshold for detectable mesoscale structure (Newman &amp; Girvan, 2004). The three communities correspond to curriculum tiers: Community 3 (red, n = 16) groups foundation and entry-level courses; Community 2 (blue, n = 20) captures the gateway and mid-tier courses including the quantitative bottleneck (Math 21, Stat 101) and the HRIM 131 convergence node; and Community 1 (green, n = 20) encompasses upper-division and senior specialisation courses. The lower modularity quantifies a key finding: failing students recycle through foundation courses across semesters, blurring the clean tier boundaries visible in the official curriculum.</w:t>
      </w:r>
    </w:p>
    <w:p w:rsidR="00000000" w:rsidDel="00000000" w:rsidP="00000000" w:rsidRDefault="00000000" w:rsidRPr="00000000" w14:paraId="000001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486400" cy="4273022"/>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427302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2. Empirical Progression Network of BS HRIM Students (N = 269, 2021–2026 Cohorts). Nodes represent courses as actually enrolled in by students; directed edges connect sequentially enrolled courses across semesters, with only transitions of five or more student instances shown. Edge thickness proportional to transition frequency. Node colour encodes Louvain community membership (Q = 0.231). Node size proportional to weighted in-degree. Red rings indicate failure rate above 5%. Self-loops on Math 21, Stat 101, and PE 2 indicate re-enrolment. </w:t>
      </w:r>
      <w:r w:rsidDel="00000000" w:rsidR="00000000" w:rsidRPr="00000000">
        <w:rPr>
          <w:rtl w:val="0"/>
        </w:rPr>
      </w:r>
    </w:p>
    <w:p w:rsidR="00000000" w:rsidDel="00000000" w:rsidP="00000000" w:rsidRDefault="00000000" w:rsidRPr="00000000" w14:paraId="000001A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Figure 3. BS HRIM Student Progression Flow (N = 269). Three-tier curriculum funnel from enrollment through the quantitative gate to upper-division HRIM coursework and near-completion. Grey = not yet at quantitative gate (n ≈ 75); Red = retaking Math 21 or Stat 101 (n ≈ 23); Orange = pending next milestone; Green/Teal = milestone cleared.</w:t>
      </w: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 is organized into three structural layers, as shown in Figure 2. The color corresponds to these structural layers.</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 1: Foundation and General Education (red)</w:t>
      </w: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courses have a large out-degree relative to their in-degree, serving as launch pads that propel students into many subsequent courses. The dominant first-semester entries are HRIM 110 (268 attempts, out-degree 1,069) and HRIM 116 (273 attempts, out-degree 1,022). Other high-out-degree Layer 1 nodes include Arts 1 (out 1,012), Kas 1 (out 957), Philo 1 (out 907), and Speech 30 (out 904). Math 20 (115 attempts) is a non-credit bridge course; all recorded grades are P/F, INC, or DRP. Eng 1 is the only pure source node (in-degree = 0, out-degree = 7).</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 2: Quantitative Bottleneck (blue)</w:t>
      </w:r>
      <w:r w:rsidDel="00000000" w:rsidR="00000000" w:rsidRPr="00000000">
        <w:rPr>
          <w:rtl w:val="0"/>
        </w:rPr>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21 is the most consequential bottleneck node. It recorded 295 attempts from 194 unique students, a 37.3% failure rate, an average grade of 3.56, and a self-loop weight of 71 with avg_grade_from = 4.94, confirming that nearly all retakers had failed previously. Math 21 holds the second-highest in-degree (1,181) and a very high out-degree (928). It is simultaneously a major destination and a major source of transitions.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101 shows a parallel but less extreme pattern: 249 attempts from 212 students, a 13.2% failure rate, an average grade of 2.80, and a self-loop weight of 21 with avg_grade_from = 4.85. Econ 11 (Markets and the State) is a GE subject with a moderate 4.9% failure rate across 185 attempts. HRIM 116 is the only HRIM course with a non-trivial failure rate: 4.0% from 273 attempts, average grade 2.09, self-loop weight 11.</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Layer 3: HRIM Majors Convergence Sink (green)</w:t>
      </w: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students clear the quantitative bottleneck, the network converges toward a dense cluster of HRIM subjects. HRIM 120 receives the highest in-degree of any non-PE node at 1,106. Its 0.0% failure rate and average grade of 1.35 indicate that students who reach HRIM 120 perform exceptionally well. Downstream, the network fans out into core HRIM courses, all with 0.0% failure rates and grades clustering between 1.0 and 1.7: HRIM 131 (138 students, avg 1.69), HRIM 132 (148, avg 1.25), HRIM 140–144 (84–87 students, avg 1.36–1.52), and HE/FN/FS courses (0.0–0.6% failure). HRIM 186 (Practicum) is the terminal course; 15 students are currently enrolled.</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Georgia" w:cs="Georgia" w:eastAsia="Georgia" w:hAnsi="Georgia"/>
          <w:sz w:val="24"/>
          <w:szCs w:val="24"/>
          <w:rtl w:val="0"/>
        </w:rPr>
        <w:t xml:space="preserve">The Sankey diagram in Figure 3 visualizes how 269 BS HRIM students progress through a three-tier funnel: from all enrolled students, through the quantitative gate (Math 21 + Stat 101), to HRIM 131, then to the HRIM 150+ series and near completion. It highlights three key flows: students not yet at the quantitative gate; students stuck in quantitative retakes (Math 21/Stat 101); and students who have cleared HRIM 131 and are either pending HRIM 150+ or already near/at completion. The width of each stream makes clear that the largest losses and delays occur at the quantitative gate and just before HRIM 150+, not in the upper-division HRIM core itself.</w:t>
      </w:r>
      <w:r w:rsidDel="00000000" w:rsidR="00000000" w:rsidRPr="00000000">
        <w:rPr>
          <w:rtl w:val="0"/>
        </w:rPr>
      </w:r>
    </w:p>
    <w:p w:rsidR="00000000" w:rsidDel="00000000" w:rsidP="00000000" w:rsidRDefault="00000000" w:rsidRPr="00000000" w14:paraId="000001B0">
      <w:pPr>
        <w:pStyle w:val="Heading2"/>
        <w:spacing w:before="200" w:line="276" w:lineRule="auto"/>
        <w:rPr>
          <w:color w:val="4f81bd"/>
          <w:sz w:val="24"/>
          <w:szCs w:val="24"/>
        </w:rPr>
      </w:pPr>
      <w:r w:rsidDel="00000000" w:rsidR="00000000" w:rsidRPr="00000000">
        <w:rPr>
          <w:sz w:val="24"/>
          <w:szCs w:val="24"/>
          <w:rtl w:val="0"/>
        </w:rPr>
        <w:t xml:space="preserve">4.4. Comparative Network Parameters</w:t>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 presents computed graph-theoretic parameters for both networks side by side. The contrast between the two columns is the quantitative signature of the gap between curriculum design and actual student navigation.</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8. Comparative Network Parameters — Structural vs. Empirical Networks</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Parameter</w:t>
            </w: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Structural</w:t>
            </w:r>
            <w:r w:rsidDel="00000000" w:rsidR="00000000" w:rsidRPr="00000000">
              <w:rPr>
                <w:rtl w:val="0"/>
              </w:rPr>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Empirical</w:t>
            </w:r>
            <w:r w:rsidDel="00000000" w:rsidR="00000000" w:rsidRPr="00000000">
              <w:rPr>
                <w:rtl w:val="0"/>
              </w:rPr>
            </w:r>
          </w:p>
        </w:tc>
      </w:tr>
      <w:tr>
        <w:trPr>
          <w:cantSplit w:val="0"/>
          <w:tblHeader w:val="0"/>
        </w:trPr>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Nodes (N)</w:t>
            </w:r>
          </w:p>
        </w:tc>
        <w:tc>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Edges (excl. self-loops)</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1,621</w:t>
            </w:r>
          </w:p>
        </w:tc>
      </w:tr>
      <w:tr>
        <w:trPr>
          <w:cantSplit w:val="0"/>
          <w:tblHeader w:val="0"/>
        </w:trPr>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Self-loop edges</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 density</w:t>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0.015</w:t>
            </w:r>
          </w:p>
        </w:tc>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0.526</w:t>
            </w:r>
          </w:p>
        </w:tc>
      </w:tr>
      <w:tr>
        <w:trPr>
          <w:cantSplit w:val="0"/>
          <w:tblHeader w:val="0"/>
        </w:trPr>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degree (in = out)</w:t>
            </w:r>
          </w:p>
        </w:tc>
        <w:tc>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w:t>
            </w:r>
          </w:p>
        </w:tc>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28.95</w:t>
            </w:r>
          </w:p>
        </w:tc>
      </w:tr>
      <w:tr>
        <w:trPr>
          <w:cantSplit w:val="0"/>
          <w:tblHeader w:val="0"/>
        </w:trPr>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in-degree</w:t>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r>
      <w:tr>
        <w:trPr>
          <w:cantSplit w:val="0"/>
          <w:tblHeader w:val="0"/>
        </w:trPr>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out-degree</w:t>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w:t>
            </w:r>
          </w:p>
        </w:tc>
      </w:tr>
      <w:tr>
        <w:trPr>
          <w:cantSplit w:val="0"/>
          <w:tblHeader w:val="0"/>
        </w:trPr>
        <w:tc>
          <w:tcPr/>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Weakly connected components</w:t>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connected components</w:t>
            </w:r>
          </w:p>
        </w:tc>
        <w:tc>
          <w:tcPr/>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Largest WCC node count</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w:t>
            </w:r>
          </w:p>
        </w:tc>
      </w:tr>
      <w:tr>
        <w:trPr>
          <w:cantSplit w:val="0"/>
          <w:tblHeader w:val="0"/>
        </w:trPr>
        <w:tc>
          <w:tcPr/>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shortest path (largest WCC)</w:t>
            </w:r>
          </w:p>
        </w:tc>
        <w:tc>
          <w:tcPr/>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3.135</w:t>
            </w:r>
          </w:p>
        </w:tc>
        <w:tc>
          <w:tcPr/>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1.358</w:t>
            </w:r>
          </w:p>
        </w:tc>
      </w:tr>
      <w:tr>
        <w:trPr>
          <w:cantSplit w:val="0"/>
          <w:tblHeader w:val="0"/>
        </w:trPr>
        <w:tc>
          <w:tcPr/>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diameter (largest WCC)</w:t>
            </w:r>
          </w:p>
        </w:tc>
        <w:tc>
          <w:tcPr/>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Avg clustering coefficient</w:t>
            </w:r>
          </w:p>
        </w:tc>
        <w:tc>
          <w:tcPr/>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0.807</w:t>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Reciprocity</w:t>
            </w:r>
          </w:p>
        </w:tc>
        <w:tc>
          <w:tcPr/>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0.000</w:t>
            </w:r>
          </w:p>
        </w:tc>
        <w:tc>
          <w:tcPr/>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0.780</w:t>
            </w:r>
          </w:p>
        </w:tc>
      </w:tr>
      <w:tr>
        <w:trPr>
          <w:cantSplit w:val="0"/>
          <w:tblHeader w:val="0"/>
        </w:trPr>
        <w:tc>
          <w:tcPr/>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DAG?</w:t>
            </w:r>
          </w:p>
        </w:tc>
        <w:tc>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Longest prereq path (edges)</w:t>
            </w:r>
          </w:p>
        </w:tc>
        <w:tc>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nodes (in-deg = 0)</w:t>
            </w:r>
          </w:p>
        </w:tc>
        <w:tc>
          <w:tcPr/>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 nodes (out-deg = 0)</w:t>
            </w:r>
          </w:p>
        </w:tc>
        <w:tc>
          <w:tcPr/>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Louvain communities</w:t>
            </w:r>
          </w:p>
        </w:tc>
        <w:tc>
          <w:tcPr/>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Modularity Q</w:t>
            </w:r>
          </w:p>
        </w:tc>
        <w:tc>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0.674</w:t>
            </w:r>
          </w:p>
        </w:tc>
        <w:tc>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0.231</w:t>
            </w:r>
          </w:p>
        </w:tc>
      </w:tr>
    </w:tbl>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Gungsuh" w:cs="Gungsuh" w:eastAsia="Gungsuh" w:hAnsi="Gungsuh"/>
          <w:i w:val="1"/>
          <w:iCs w:val="1"/>
          <w:sz w:val="24"/>
          <w:szCs w:val="24"/>
          <w:rtl w:val="0"/>
        </w:rPr>
        <w:t xml:space="preserve">Note. Density = E / [N(N−1)]. Shortest path and diameter computed on undirected projection of largest weakly connected component. Node-count difference (49 vs. 56) arises because the empirical network includes elective variants and alternative-slot choices appearing in student records but not in the prerequisite graph. Weighted parameters: avg. weighted degree = 408.4; max weighted in-degree = 1,541 (PE 2); max weighted out-degree = 1,679 (PE 2).</w:t>
      </w: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Density exhibits the starkest contrast: the structural network’s 0.015 indicates only 1.5% of potential directed links are official prerequisites, whereas the empirical network’s 0.526 shows over half of possible transitions observed, a 35-fold difference reflecting students’ behaviors like enrolling in multiple courses simultaneously, repeating failed ones, and taking optional courses in flexible sequences—connections not prescribed by the curriculum.</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statistics reinforce this: the structural network’s average degree of 0.74 suggests most courses have fewer than one prerequisite or dependent, consistent with a sparse prerequisite tree, while the empirical network’s average degree of 28.95 shows each course connected to nearly every other through observed transitions, with a maximum in-degree of 3 (HRIM 131) versus 55 (PE 2). Shortest path length decreases from 3.14 to 1.36, and diameter from 6 to 2, reflecting that nearly any two courses are directly connected or separated by one course in the empirical network. Clustering coefficient and reciprocity are zero in the structural network but high (0.807 and 0.780) in the empirical network, indicating co-enrollment and students moving back and forth across semesters. Modularity drops from 0.674 to 0.231, indicating blurred community boundaries and suggesting increased curriculum friction, in which students cycle through lower-level courses rather than progressing.</w:t>
      </w:r>
    </w:p>
    <w:p w:rsidR="00000000" w:rsidDel="00000000" w:rsidP="00000000" w:rsidRDefault="00000000" w:rsidRPr="00000000" w14:paraId="000001F5">
      <w:pPr>
        <w:pStyle w:val="Heading2"/>
        <w:spacing w:before="200" w:line="276" w:lineRule="auto"/>
        <w:rPr>
          <w:color w:val="4f81bd"/>
          <w:sz w:val="24"/>
          <w:szCs w:val="24"/>
        </w:rPr>
      </w:pPr>
      <w:r w:rsidDel="00000000" w:rsidR="00000000" w:rsidRPr="00000000">
        <w:rPr>
          <w:sz w:val="24"/>
          <w:szCs w:val="24"/>
          <w:rtl w:val="0"/>
        </w:rPr>
        <w:t xml:space="preserve">4.5. Self-Loops (Retake Patterns)</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Twelve courses generated self-loop edges, meaning students returned to take the same course in a later semester.</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9. Self-Loop Analysis</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tl w:val="0"/>
              </w:rPr>
            </w:r>
          </w:p>
        </w:tc>
        <w:tc>
          <w:tcPr/>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Retake Count</w:t>
            </w: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Avg Grade at Entry</w:t>
            </w: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2</w:t>
            </w:r>
          </w:p>
        </w:tc>
        <w:tc>
          <w:tcPr/>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w:t>
            </w:r>
          </w:p>
        </w:tc>
        <w:tc>
          <w:tcPr/>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w:t>
            </w:r>
          </w:p>
        </w:tc>
        <w:tc>
          <w:tcPr/>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required to take PE four times</w:t>
            </w:r>
          </w:p>
        </w:tc>
      </w:tr>
      <w:tr>
        <w:trPr>
          <w:cantSplit w:val="0"/>
          <w:tblHeader w:val="0"/>
        </w:trPr>
        <w:tc>
          <w:tcPr/>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NSTP</w:t>
            </w:r>
          </w:p>
        </w:tc>
        <w:tc>
          <w:tcPr/>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w:t>
            </w:r>
          </w:p>
        </w:tc>
        <w:tc>
          <w:tcPr/>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NSTP modules span two semesters</w:t>
            </w:r>
          </w:p>
        </w:tc>
      </w:tr>
      <w:tr>
        <w:trPr>
          <w:cantSplit w:val="0"/>
          <w:tblHeader w:val="0"/>
        </w:trPr>
        <w:tc>
          <w:tcPr/>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21</w:t>
            </w:r>
          </w:p>
        </w:tc>
        <w:tc>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w:t>
            </w:r>
          </w:p>
        </w:tc>
        <w:tc>
          <w:tcPr/>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4.94</w:t>
            </w:r>
          </w:p>
        </w:tc>
        <w:tc>
          <w:tcPr/>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Failure-driven: avg grade ≈ 5.0, mandatory retake</w:t>
            </w:r>
          </w:p>
        </w:tc>
      </w:tr>
      <w:tr>
        <w:trPr>
          <w:cantSplit w:val="0"/>
          <w:tblHeader w:val="0"/>
        </w:trPr>
        <w:tc>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4</w:t>
            </w:r>
          </w:p>
        </w:tc>
        <w:tc>
          <w:tcPr/>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 student-athletes take PE 4 four times</w:t>
            </w:r>
          </w:p>
        </w:tc>
      </w:tr>
      <w:tr>
        <w:trPr>
          <w:cantSplit w:val="0"/>
          <w:tblHeader w:val="0"/>
        </w:trPr>
        <w:tc>
          <w:tcPr/>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 101</w:t>
            </w:r>
          </w:p>
        </w:tc>
        <w:tc>
          <w:tcPr/>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4.85</w:t>
            </w:r>
          </w:p>
        </w:tc>
        <w:tc>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Failure-driven: avg grade ≈ 5.0, required retake</w:t>
            </w:r>
          </w:p>
        </w:tc>
      </w:tr>
      <w:tr>
        <w:trPr>
          <w:cantSplit w:val="0"/>
          <w:tblHeader w:val="0"/>
        </w:trPr>
        <w:tc>
          <w:tcPr/>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116</w:t>
            </w:r>
          </w:p>
        </w:tc>
        <w:tc>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3.82</w:t>
            </w:r>
          </w:p>
        </w:tc>
        <w:tc>
          <w:tcPr/>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Mixed: near-failing students repeating</w:t>
            </w:r>
          </w:p>
        </w:tc>
      </w:tr>
      <w:tr>
        <w:trPr>
          <w:cantSplit w:val="0"/>
          <w:tblHeader w:val="0"/>
        </w:trPr>
        <w:tc>
          <w:tcPr/>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Kas 1</w:t>
            </w:r>
          </w:p>
        </w:tc>
        <w:tc>
          <w:tcPr/>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small number</w:t>
            </w:r>
          </w:p>
        </w:tc>
      </w:tr>
      <w:tr>
        <w:trPr>
          <w:cantSplit w:val="0"/>
          <w:tblHeader w:val="0"/>
        </w:trPr>
        <w:tc>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HRIM 110</w:t>
            </w:r>
          </w:p>
        </w:tc>
        <w:tc>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Philo 1</w:t>
            </w:r>
          </w:p>
        </w:tc>
        <w:tc>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 1</w:t>
            </w:r>
          </w:p>
        </w:tc>
        <w:tc>
          <w:tcPr/>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FN 102</w:t>
            </w:r>
          </w:p>
        </w:tc>
        <w:tc>
          <w:tcPr/>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r>
        <w:trPr>
          <w:cantSplit w:val="0"/>
          <w:tblHeader w:val="0"/>
        </w:trPr>
        <w:tc>
          <w:tcPr/>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 Elective 1</w:t>
            </w:r>
          </w:p>
        </w:tc>
        <w:tc>
          <w:tcPr/>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Failure-driven: single instance</w:t>
            </w:r>
          </w:p>
        </w:tc>
      </w:tr>
    </w:tbl>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pattern is clear: Math 21 and Stat 101 generate mandatory failure-retake loops (average entry grade near 5.0), while PE 2 generates self-loops because it must be taken 4 times.</w:t>
      </w:r>
    </w:p>
    <w:p w:rsidR="00000000" w:rsidDel="00000000" w:rsidP="00000000" w:rsidRDefault="00000000" w:rsidRPr="00000000" w14:paraId="0000022D">
      <w:pPr>
        <w:pStyle w:val="Heading2"/>
        <w:spacing w:before="200" w:line="276" w:lineRule="auto"/>
        <w:rPr>
          <w:color w:val="4f81bd"/>
          <w:sz w:val="24"/>
          <w:szCs w:val="24"/>
        </w:rPr>
      </w:pPr>
      <w:bookmarkStart w:colFirst="0" w:colLast="0" w:name="_eb9fwbf856m4" w:id="4"/>
      <w:bookmarkEnd w:id="4"/>
      <w:r w:rsidDel="00000000" w:rsidR="00000000" w:rsidRPr="00000000">
        <w:rPr>
          <w:sz w:val="24"/>
          <w:szCs w:val="24"/>
          <w:rtl w:val="0"/>
        </w:rPr>
        <w:t xml:space="preserve">4.6. Curriculum Flexibility</w:t>
      </w: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checklist includes several slash-alternative slots in which students satisfy a requirement by choosing one of two or more designated courses. Zuev &amp; Stavrinides (2025) distinguish between conjunctive prerequisites (all required) and disjunctive prerequisites (one of several alternatives). The BS HRIM slash-alternatives are disjunctive; each was parsed separately and treated as a distinct node reflecting actual enrollment.</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Among the observed choices, Soc Sci 1 attracted 100 students, compared with 77 for Soc Sci 2. STS 1 was the overwhelming choice (191 students), compared with DRMAPS (7 students), reflecting disparities in section availability. HRIM electives follow a strict sequential pattern (Elective 1 → 2 → 3). A cohort of off-season students took an elective ahead of schedule but could not progress to the HRIM 150 series due to prerequisite restrictions—specifically, failure to pass Math 21 on time. PI 100 (Life and Works of Jose Rizal), mandated by Republic Act No. 1425, has been completed by 59 students with a 0.0% failure rate. Overall, the limited flexibility of alternatives offers few options for students stuck at quantitative bottlenecks.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Discussion and Implications</w:t>
      </w:r>
    </w:p>
    <w:p w:rsidR="00000000" w:rsidDel="00000000" w:rsidP="00000000" w:rsidRDefault="00000000" w:rsidRPr="00000000" w14:paraId="00000232">
      <w:pPr>
        <w:pStyle w:val="Heading2"/>
        <w:spacing w:before="200" w:line="276" w:lineRule="auto"/>
        <w:rPr>
          <w:color w:val="4f81bd"/>
          <w:sz w:val="24"/>
          <w:szCs w:val="24"/>
        </w:rPr>
      </w:pPr>
      <w:r w:rsidDel="00000000" w:rsidR="00000000" w:rsidRPr="00000000">
        <w:rPr>
          <w:sz w:val="24"/>
          <w:szCs w:val="24"/>
          <w:rtl w:val="0"/>
        </w:rPr>
        <w:t xml:space="preserve">5.1. Discussion</w: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weighted dual-network analysis reveals a three-tier curriculum funnel: a broad general education and introductory HRIM foundation layer that co-enrolls with dozens of courses and generates dense early-semester transitions; a quantitative bottleneck (Math 21 and Stat 101) that acts as a filter before HRIM 131; and a tightly convergent upper-division HRIM core anchored by HRIM 120 (in-degree 1,106, 0.0% failure rate), flowing into specialization courses and the terminal practicum cluster.</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three-tier structure maps onto the flux profile of Zuev &amp; Stavrinides (2025). Layer 1 corresponds to positive-flux strata that emit more prerequisite links downstream than they receive—the curriculum’s knowledge-injection layer. Layer 2 represents the peak-flux stratum where prerequisite concentration is highest and failure has maximum downstream consequence. Layer 3 corresponds to negative-flux strata that consume many prerequisites while producing few—the terminal knowledge-absorption phase. This flux interpretation elevates the three-tier model from descriptive observation to theoretical characterization.</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 21’s downstream impact is best understood through the reach metric (Yang et al., 2024). Math 21 is an indirect prerequisite to the entire HRIM 150 series and all subsequent major courses. Any student who fails faces two consequences: delay in that single course and effective lockout from a large portion of their degree for at least one additional semester. Yang et al. found introductory mathematics bottlenecks most severe at the largest institutions. UP Diliman, as the flagship state university of the Philippines, fits this pattern precisely, strengthening the generalizability of the BS HRIM findings across different national and institutional contexts.</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actionable signal is the Math 21 bottleneck. Targeted early intervention—tutoring support and curricular scaffolding with Math 20—is the highest-leverage action. Another option is to allow students who failed Math 21 to take HRIM 131 concurrently, with both courses required before progressing to the HRIM 150 series. Without this change, the Math 21 self-loop continues indefinitely. All HRIM courses above HRIM 120 have zero failures, suggesting that once students clear the quantitative prerequisites, they are well prepared to complete their major requirements.</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 network analysis (Table 8) provides macro-level quantification of curriculum friction. The modularity gap (0.674 vs. 0.231) reveals a design-reality gap: the curriculum is designed as well-partitioned communities, but student progression blurs these boundaries as failing students cycle back through lower-tier courses. The 35-fold density contrast (0.015 vs. 0.526) confirms students are not following the prescribed linear path, driven largely by the Math 21/Stat 101 bottleneck forcing schedule reorganization.</w:t>
        <w:br w:type="textWrapping"/>
        <w:br w:type="textWrapping"/>
      </w:r>
      <w:r w:rsidDel="00000000" w:rsidR="00000000" w:rsidRPr="00000000">
        <w:rPr>
          <w:rFonts w:ascii="Georgia" w:cs="Georgia" w:eastAsia="Georgia" w:hAnsi="Georgia"/>
          <w:sz w:val="24"/>
          <w:szCs w:val="24"/>
          <w:rtl w:val="0"/>
        </w:rPr>
        <w:t xml:space="preserve">We emphasize that network positions and failure rates identify structurally high‑risk locations rather than prove causality; structural risk (high reach, blocking factor) and performance risk (high failure rates) should be read together, and any causal claims would require additional qualitative work and predictive modeling using prior grades or entry scores.</w:t>
      </w:r>
      <w:r w:rsidDel="00000000" w:rsidR="00000000" w:rsidRPr="00000000">
        <w:rPr>
          <w:rtl w:val="0"/>
        </w:rPr>
      </w:r>
    </w:p>
    <w:p w:rsidR="00000000" w:rsidDel="00000000" w:rsidP="00000000" w:rsidRDefault="00000000" w:rsidRPr="00000000" w14:paraId="00000238">
      <w:pPr>
        <w:pStyle w:val="Heading2"/>
        <w:spacing w:before="200" w:line="276" w:lineRule="auto"/>
        <w:rPr>
          <w:color w:val="4f81bd"/>
          <w:sz w:val="24"/>
          <w:szCs w:val="24"/>
        </w:rPr>
      </w:pPr>
      <w:r w:rsidDel="00000000" w:rsidR="00000000" w:rsidRPr="00000000">
        <w:rPr>
          <w:sz w:val="24"/>
          <w:szCs w:val="24"/>
          <w:rtl w:val="0"/>
        </w:rPr>
        <w:t xml:space="preserve">5.2. Institutional Resource Impact of the Math 21 Bottleneck</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research objective was to quantify the impacts of failure rates on institutional resources and student progress. Of the 194 students who have attempted Math 21, only 171 have passed, leaving 23 students (11.9%) caught in mandatory retake cycles. The self-loop weight of 71 means Math 21 has consumed approximately 71 additional student-semester enrollment slots beyond its expected first-attempt load.</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downstream cascade is severe. Each failed attempt at Math 21 delays access to 16 downstream courses (reach = 17, including HRIM 131 itself) by at least one semester. HRIM 131 has been offered every semester since 2022—twice per year rather than once—specifically to accommodate students delayed by failures in Math 21 and Stat 101. This constitutes at least three additional off-schedule section offerings over four academic years, each requiring faculty allocation, classroom assignment, and administrative scheduling outside the standard calendar.</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enrollment nearly quadrupling between 2021 and 2025, this structural pressure is not temporary but a recurring cost embedded in the current prerequisite architecture. The network analysis confirms that no alternative pathway exists: Math 21 has a blocking factor of 1 and a reach of 17, with no redundant route bypassing this chokepoint.</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universality of this pattern is supported by Yang et al. (2024), who found introductory mathematics courses achieved the highest betweenness centrality and reach values across all six institutional CPNs studied, from CalTech’s 771-node network to UIUC’s 5,126-node network. The BS HRIM finding extends this structural regularity to a non-STEM, service-sector professional program in the ASEAN region. In Zuev &amp; Stavrinides’s (2025) flux framework, the stratum containing Math 21 would exhibit anomalously high positive flux—it emits far more prerequisite links downstream than it receives—making it the most consequential leverage point for curricular intervention.</w:t>
      </w:r>
    </w:p>
    <w:p w:rsidR="00000000" w:rsidDel="00000000" w:rsidP="00000000" w:rsidRDefault="00000000" w:rsidRPr="00000000" w14:paraId="0000023D">
      <w:pPr>
        <w:pStyle w:val="Heading2"/>
        <w:spacing w:before="200" w:line="276" w:lineRule="auto"/>
        <w:rPr>
          <w:color w:val="4f81bd"/>
          <w:sz w:val="24"/>
          <w:szCs w:val="24"/>
        </w:rPr>
      </w:pPr>
      <w:r w:rsidDel="00000000" w:rsidR="00000000" w:rsidRPr="00000000">
        <w:rPr>
          <w:sz w:val="24"/>
          <w:szCs w:val="24"/>
          <w:rtl w:val="0"/>
        </w:rPr>
        <w:t xml:space="preserve">5.3. Academic and Practical Implications</w:t>
      </w: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inform curriculum review and future revisions. It aligns with ASEAN University Network Quality Assurance (AUN-QA) standards, under which the program was certified in 2023. These findings are actionable and consistent with Basavaraj et al. (2022), who demonstrated that network-based curricular analytics inform academic advising strategies by identifying which courses require additional support and which student sub-populations need targeted intervention.</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BS HRIM, this translates to actionable advising protocols. Flag students who have not cleared Math 21 or Stat 101 by end of their second semester. These students are at elevated risk of multi-semester delays. Early and proactive advising prevents the prerequisite trap from compounding.</w:t>
      </w:r>
    </w:p>
    <w:p w:rsidR="00000000" w:rsidDel="00000000" w:rsidP="00000000" w:rsidRDefault="00000000" w:rsidRPr="00000000" w14:paraId="00000240">
      <w:pPr>
        <w:pStyle w:val="Heading2"/>
        <w:spacing w:before="200" w:line="276" w:lineRule="auto"/>
        <w:rPr>
          <w:color w:val="4f81bd"/>
          <w:sz w:val="24"/>
          <w:szCs w:val="24"/>
        </w:rPr>
      </w:pPr>
      <w:bookmarkStart w:colFirst="0" w:colLast="0" w:name="_inlb62w3r1b3" w:id="5"/>
      <w:bookmarkEnd w:id="5"/>
      <w:r w:rsidDel="00000000" w:rsidR="00000000" w:rsidRPr="00000000">
        <w:rPr>
          <w:sz w:val="24"/>
          <w:szCs w:val="24"/>
          <w:rtl w:val="0"/>
        </w:rPr>
        <w:t xml:space="preserve">5.4. Limitations and Suggestions for Future Research</w:t>
      </w: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has important limitations. It is limited to a single institution and includes only currently enrolled students. Graduates and students who have left the program were excluded, introducing survivorship bias. Students who attempted Math 21 multiple times and ultimately withdrew are not represented in the N = 269 dataset. All reported course-level failure rates are therefore conservative lower-bound estimates; the actual proportion unable to clear the quantitative bottleneck is likely higher.</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should incorporate full cohort records including withdrawn students for unbiased attrition estimates. Qualitative interviews with students who dropped or failed would illuminate root causes—academic difficulty, scheduling conflicts, or both. Comparative studies with other BS HRIM or hospitality management programs in the Philippines and broader ASEAN region would help determine whether this bottleneck is institution-specific or reflects systemic patterns in hospitality education.</w:t>
      </w:r>
    </w:p>
    <w:p w:rsidR="00000000" w:rsidDel="00000000" w:rsidP="00000000" w:rsidRDefault="00000000" w:rsidRPr="00000000" w14:paraId="000002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Conclusion</w:t>
      </w:r>
    </w:p>
    <w:p w:rsidR="00000000" w:rsidDel="00000000" w:rsidP="00000000" w:rsidRDefault="00000000" w:rsidRPr="00000000" w14:paraId="0000024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dual-network analysis reveals a substantial design–reality gap between the sparse, hierarchical prerequisite structure of the BS HRIM curriculum and the dense, highly clustered empirical progression network generated by actual student trajectories. In particular, Math 21 and HRIM 131 form a quantitative gate that concentrates structural and performance risk and amplifies delays for large cohorts.</w:t>
      </w:r>
    </w:p>
    <w:p w:rsidR="00000000" w:rsidDel="00000000" w:rsidP="00000000" w:rsidRDefault="00000000" w:rsidRPr="00000000" w14:paraId="00000245">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practitioners and policy-makers, the main implications are to (1) prioritize early support and capacity planning for quantitative gatekeeping courses, (2) review the reliance on a single, linear quantitative chain in light of hospitality competency and accreditation frameworks, and (3) adopt curriculum network analytics as a routine tool for monitoring progression and evaluating proposed reforms before full-scale implementation.</w:t>
      </w:r>
    </w:p>
    <w:p w:rsidR="00000000" w:rsidDel="00000000" w:rsidP="00000000" w:rsidRDefault="00000000" w:rsidRPr="00000000" w14:paraId="00000246">
      <w:pPr>
        <w:spacing w:after="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248">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pStyle w:val="Heading1"/>
        <w:spacing w:after="0" w:lineRule="auto"/>
        <w:rPr>
          <w:rFonts w:ascii="Times New Roman" w:cs="Times New Roman" w:eastAsia="Times New Roman" w:hAnsi="Times New Roman"/>
          <w:color w:val="366091"/>
          <w:sz w:val="24"/>
          <w:szCs w:val="24"/>
        </w:rPr>
      </w:pPr>
      <w:bookmarkStart w:colFirst="0" w:colLast="0" w:name="_8vnxuvgr9voa" w:id="6"/>
      <w:bookmarkEnd w:id="6"/>
      <w:r w:rsidDel="00000000" w:rsidR="00000000" w:rsidRPr="00000000">
        <w:rPr>
          <w:rFonts w:ascii="Times New Roman" w:cs="Times New Roman" w:eastAsia="Times New Roman" w:hAnsi="Times New Roman"/>
          <w:sz w:val="24"/>
          <w:szCs w:val="24"/>
          <w:rtl w:val="0"/>
        </w:rPr>
        <w:t xml:space="preserve">References</w:t>
      </w:r>
      <w:r w:rsidDel="00000000" w:rsidR="00000000" w:rsidRPr="00000000">
        <w:rPr>
          <w:rtl w:val="0"/>
        </w:rPr>
      </w:r>
    </w:p>
    <w:p w:rsidR="00000000" w:rsidDel="00000000" w:rsidP="00000000" w:rsidRDefault="00000000" w:rsidRPr="00000000" w14:paraId="0000024A">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Aldrich, P. R. (2015). The curriculum prerequisite network: Modeling the curriculum as a complex system. Biochemistry and Molecular Biology Education, 43(3), 168–180. https://doi.org/10.1002/bmb.20861</w:t>
      </w:r>
    </w:p>
    <w:p w:rsidR="00000000" w:rsidDel="00000000" w:rsidP="00000000" w:rsidRDefault="00000000" w:rsidRPr="00000000" w14:paraId="0000024B">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Basavaraj, P., Garibay, I., &amp; Garibay, O. O. (2022). Pathway patterns mobility study of first time vs. transfer students in computer science and information technology programs at a public university. Journal of Applied Research in Higher Education, 14(2), 784–807. https://doi.org/10.1108/JARHE-12-2020-0429</w:t>
      </w:r>
    </w:p>
    <w:p w:rsidR="00000000" w:rsidDel="00000000" w:rsidP="00000000" w:rsidRDefault="00000000" w:rsidRPr="00000000" w14:paraId="0000024C">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Blondel, V. D., Guillaume, J.-L., Lambiotte, R., &amp; Lefebvre, E. (2008). Fast unfolding of communities in large networks. Journal of Statistical Mechanics: Theory and Experiment, 2008(10), P10008. https://doi.org/10.1088/1742-5468/2008/10/P10008</w:t>
      </w:r>
    </w:p>
    <w:p w:rsidR="00000000" w:rsidDel="00000000" w:rsidP="00000000" w:rsidRDefault="00000000" w:rsidRPr="00000000" w14:paraId="0000024D">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Conijn, R., Snijders, C. C. P., Kleingeld, P. A. M., &amp; Matzat, U. (2017). Predicting student performance from LMS data: A comparison of 17 blended courses using Moodle LMS. IEEE Transactions on Learning Technologies, 10(1), 17–29. https://doi.org/10.1109/TLT.2016.2616312</w:t>
      </w:r>
    </w:p>
    <w:p w:rsidR="00000000" w:rsidDel="00000000" w:rsidP="00000000" w:rsidRDefault="00000000" w:rsidRPr="00000000" w14:paraId="0000024E">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Cullen, T. P., &amp; Lambert, C. U. (1987). Teaching quantitative decision skills in a hospitality curriculum. Cornell Hotel and Restaurant Administration Quarterly, 28(2), 42–45. https://doi.org/10.1177/001088048702800215</w:t>
      </w:r>
    </w:p>
    <w:p w:rsidR="00000000" w:rsidDel="00000000" w:rsidP="00000000" w:rsidRDefault="00000000" w:rsidRPr="00000000" w14:paraId="0000024F">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EDCOM II. (2023). CHED curriculum updates take 11 years on average. https://edcom2.gov.ph/ched-curriculum-updates-take-11-years-on-average/</w:t>
      </w:r>
    </w:p>
    <w:p w:rsidR="00000000" w:rsidDel="00000000" w:rsidP="00000000" w:rsidRDefault="00000000" w:rsidRPr="00000000" w14:paraId="00000250">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 A., Chen, J., Lee, W., Xin, K., Behnke, C., &amp; Gordon, S. (2025). Designing hospitality curriculum for the future: A comprehensive assessment of an undergraduate program in the United States. Journal of Hospitality &amp; Tourism Education, 37(2), 138–153. https://doi.org/10.1080/10963758.2025.2453736</w:t>
      </w:r>
    </w:p>
    <w:p w:rsidR="00000000" w:rsidDel="00000000" w:rsidP="00000000" w:rsidRDefault="00000000" w:rsidRPr="00000000" w14:paraId="00000251">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Hagberg, A. A., Schult, D. A., &amp; Swart, P. J. (2008). Exploring network structure, dynamics, and function using NetworkX. In G. Varoquaux, T. Vaught, &amp; J. Millman (Eds.), Proceedings of the 7th Python in Science Conference (SciPy 2008) (pp. 11–15).</w:t>
      </w:r>
    </w:p>
    <w:p w:rsidR="00000000" w:rsidDel="00000000" w:rsidP="00000000" w:rsidRDefault="00000000" w:rsidRPr="00000000" w14:paraId="00000252">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Heileman, G. L., Thompson-Arjona, W. G., Abar, O., &amp; Free, H. W. (2019, June 15). Does curricular complexity imply program quality? 2019 ASEE Annual Conference &amp; Exposition. https://peer.asee.org/does-curricular-complexity-imply-program-quality</w:t>
      </w:r>
    </w:p>
    <w:p w:rsidR="00000000" w:rsidDel="00000000" w:rsidP="00000000" w:rsidRDefault="00000000" w:rsidRPr="00000000" w14:paraId="00000253">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Jacomy, M., Venturini, T., Heymann, S., &amp; Bastian, M. (2014). ForceAtlas2, a continuous graph layout algorithm for handy network visualization designed for the Gephi software. PLoS ONE, 9(6), e98679. https://doi.org/10.1371/journal.pone.0098679</w:t>
      </w:r>
    </w:p>
    <w:p w:rsidR="00000000" w:rsidDel="00000000" w:rsidP="00000000" w:rsidRDefault="00000000" w:rsidRPr="00000000" w14:paraId="00000254">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Newman, M. E. J., &amp; Girvan, M. (2004). Finding and evaluating community structure in networks. Physical Review E, 69(2), 026113. https://doi.org/10.1103/PhysRevE.69.026113</w:t>
      </w:r>
    </w:p>
    <w:p w:rsidR="00000000" w:rsidDel="00000000" w:rsidP="00000000" w:rsidRDefault="00000000" w:rsidRPr="00000000" w14:paraId="00000255">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Rienties, B., &amp; Toetenel, L. (2016). The impact of learning design on student behaviour, satisfaction and performance: A cross-institutional comparison across 151 modules. Computers in Human Behavior, 60, 333–341.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https://doi.org/10.1016/j.chb.2016.02.074</w:t>
        </w:r>
      </w:hyperlink>
      <w:r w:rsidDel="00000000" w:rsidR="00000000" w:rsidRPr="00000000">
        <w:rPr>
          <w:rtl w:val="0"/>
        </w:rPr>
      </w:r>
    </w:p>
    <w:p w:rsidR="00000000" w:rsidDel="00000000" w:rsidP="00000000" w:rsidRDefault="00000000" w:rsidRPr="00000000" w14:paraId="00000256">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Roxas, R. M., &amp; Tapang, G. (2010). Prose and poetry classification and boundary detection using word adjacency network analysis. International Journal of Modern Physics C, 21(04), 503-512.</w:t>
      </w:r>
    </w:p>
    <w:p w:rsidR="00000000" w:rsidDel="00000000" w:rsidP="00000000" w:rsidRDefault="00000000" w:rsidRPr="00000000" w14:paraId="00000257">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Slim, A, Heileman, G. L., J. Kozlick and C. T. Abdallah, "Predicting student success based on prior performance," 2014 IEEE Symposium on Computational Intelligence and Data Mining (CIDM), Orlando, FL, USA, 2014, pp. 410-415, doi: 10.1109/CIDM.2014.7008697. </w:t>
      </w:r>
    </w:p>
    <w:p w:rsidR="00000000" w:rsidDel="00000000" w:rsidP="00000000" w:rsidRDefault="00000000" w:rsidRPr="00000000" w14:paraId="00000258">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J., &amp; Abukhalifeh, A. N. M. (2021). Evaluating undergraduate curriculum in hospitality management: A comparison between China and South Korea. Journal of China Tourism Research, 17(4), 613–633. https://doi.org/10.1080/19388160.2020.1788684</w:t>
      </w:r>
    </w:p>
    <w:p w:rsidR="00000000" w:rsidDel="00000000" w:rsidP="00000000" w:rsidRDefault="00000000" w:rsidRPr="00000000" w14:paraId="00000259">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 Gharehbaygloo, M., Rondi, H. R., Hortis, E., Zeledon Lostalo, E., Huang, X., &amp; Ercal, G. (2024). Comparative analysis of course prerequisite networks for five Midwestern public institutions. Applied Network Science, 9, 25. https://doi.org/10.1007/s41109-024-00637-z</w:t>
      </w:r>
    </w:p>
    <w:p w:rsidR="00000000" w:rsidDel="00000000" w:rsidP="00000000" w:rsidRDefault="00000000" w:rsidRPr="00000000" w14:paraId="0000025A">
      <w:pPr>
        <w:spacing w:after="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Zuev, K. M., &amp; Stavrinides, P. (2025). Breadth, depth, and flux of course-prerequisite networks. Network Science, 13, e17, 1–17. https://doi.org/10.1017/nws.2025.10013</w:t>
      </w:r>
    </w:p>
    <w:p w:rsidR="00000000" w:rsidDel="00000000" w:rsidP="00000000" w:rsidRDefault="00000000" w:rsidRPr="00000000" w14:paraId="0000025B">
      <w:pPr>
        <w:spacing w:after="0" w:line="240" w:lineRule="auto"/>
        <w:ind w:left="720"/>
        <w:jc w:val="both"/>
        <w:rPr>
          <w:rFonts w:ascii="Times New Roman" w:cs="Times New Roman" w:eastAsia="Times New Roman" w:hAnsi="Times New Roman"/>
          <w:sz w:val="24"/>
          <w:szCs w:val="24"/>
        </w:rPr>
      </w:pPr>
      <w:r w:rsidDel="00000000" w:rsidR="00000000" w:rsidRPr="00000000">
        <w:rPr>
          <w:rtl w:val="0"/>
        </w:rPr>
      </w:r>
    </w:p>
    <w:sectPr>
      <w:headerReference r:id="rId10" w:type="default"/>
      <w:footerReference r:id="rId11" w:type="default"/>
      <w:pgSz w:h="16840" w:w="11920" w:orient="portrait"/>
      <w:pgMar w:bottom="1440" w:top="1440" w:left="1440" w:right="1440" w:header="709"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widowControl w:val="0"/>
      <w:spacing w:after="0" w:line="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APacCHRIE 2026 (May 28-31, 2026) in Osaka, Japan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40" w:line="240" w:lineRule="auto"/>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180" w:before="240" w:line="360" w:lineRule="auto"/>
      <w:ind w:left="431" w:hanging="431"/>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i.org/10.1016/j.chb.2016.02.074"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