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86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25"/>
        <w:gridCol w:w="915"/>
        <w:gridCol w:w="1545"/>
        <w:gridCol w:w="1605"/>
        <w:gridCol w:w="3675"/>
        <w:tblGridChange w:id="0">
          <w:tblGrid>
            <w:gridCol w:w="1125"/>
            <w:gridCol w:w="915"/>
            <w:gridCol w:w="1545"/>
            <w:gridCol w:w="1605"/>
            <w:gridCol w:w="3675"/>
          </w:tblGrid>
        </w:tblGridChange>
      </w:tblGrid>
      <w:tr>
        <w:trPr>
          <w:cantSplit w:val="0"/>
          <w:trHeight w:val="685.95703125" w:hRule="atLeast"/>
          <w:tblHeader w:val="0"/>
        </w:trPr>
        <w:tc>
          <w:tcPr>
            <w:gridSpan w:val="5"/>
          </w:tcPr>
          <w:p w:rsidR="00000000" w:rsidDel="00000000" w:rsidP="00000000" w:rsidRDefault="00000000" w:rsidRPr="00000000" w14:paraId="0000000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Baba’s Restaurant Goals for Q4</w:t>
            </w:r>
          </w:p>
        </w:tc>
      </w:tr>
      <w:tr>
        <w:trPr>
          <w:cantSplit w:val="0"/>
          <w:trHeight w:val="685.95703125" w:hRule="atLeast"/>
          <w:tblHeader w:val="0"/>
        </w:trPr>
        <w:tc>
          <w:tcPr>
            <w:gridSpan w:val="5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Business Goal: </w:t>
            </w:r>
          </w:p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By the end of Q4, increase annual revenue by 10% over 2020.</w:t>
            </w:r>
          </w:p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Marketing Goals: </w:t>
            </w:r>
          </w:p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numPr>
                <w:ilvl w:val="0"/>
                <w:numId w:val="2"/>
              </w:numPr>
              <w:ind w:left="720" w:hanging="360"/>
              <w:rPr>
                <w:rFonts w:ascii="Google Sans" w:cs="Google Sans" w:eastAsia="Google Sans" w:hAnsi="Google Sans"/>
                <w:highlight w:val="whit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highlight w:val="white"/>
                <w:rtl w:val="0"/>
              </w:rPr>
              <w:t xml:space="preserve">By the end of Q4, increase the combined CVR from all marketing channels by 2% (two percentage points) above the CVR in Q3. </w:t>
              <w:br w:type="textWrapping"/>
            </w:r>
          </w:p>
          <w:p w:rsidR="00000000" w:rsidDel="00000000" w:rsidP="00000000" w:rsidRDefault="00000000" w:rsidRPr="00000000" w14:paraId="0000000E">
            <w:pPr>
              <w:numPr>
                <w:ilvl w:val="0"/>
                <w:numId w:val="2"/>
              </w:numPr>
              <w:ind w:left="720" w:hanging="360"/>
              <w:rPr>
                <w:rFonts w:ascii="Google Sans" w:cs="Google Sans" w:eastAsia="Google Sans" w:hAnsi="Google Sans"/>
                <w:highlight w:val="whit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highlight w:val="white"/>
                <w:rtl w:val="0"/>
              </w:rPr>
              <w:t xml:space="preserve">By the end of Q4, increase the combined CTR from all marketing channels by 5% (five percentage points) above the CTR in Q3.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85.95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Media Channel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KPIs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Industry Benchmarks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Q3 Performance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Q4 Performance Goals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Email</w:t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CVR*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8.3%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7.5%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Improve email marketing CVR by .8% to meet industry standard by the end of Q4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CTR**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1.5%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Improve email marketing CTR by .5% to meet industry standard by the end of Q4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Social Media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CVR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3.3%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Improve social media marketing CVR by .7% to meet industry standard by the end of Q4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after="0" w:before="0" w:line="240" w:lineRule="auto"/>
              <w:ind w:left="0" w:firstLine="0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CTR</w:t>
            </w:r>
          </w:p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1.1%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Improve social media marketing CTR by .1% to meet industry standard by the end of Q4</w:t>
            </w:r>
          </w:p>
        </w:tc>
      </w:tr>
    </w:tbl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*CVR = Conversion rate 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**CTR = Click-through rate 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