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rial" w:cs="Arial" w:eastAsia="Arial" w:hAnsi="Arial"/>
        </w:rPr>
        <w:t xml:space="preserve">Penalties and Charges</w:t>
      </w:r>
    </w:p>
    <w:p>
      <w:pPr>
        <w:keepNext w:val="false"/>
        <w:spacing w:after="140"/>
      </w:pPr>
      <w:r>
        <w:rPr>
          <w:rFonts w:ascii="Arial" w:cs="Arial" w:eastAsia="Arial" w:hAnsi="Arial"/>
          <w:b/>
          <w:bCs/>
        </w:rPr>
        <w:t xml:space="preserve">Version 2.1 · Effective 1 January 2023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Late payment</w:t>
      </w:r>
    </w:p>
    <w:p>
      <w:pPr>
        <w:spacing w:after="140"/>
      </w:pPr>
      <w:r>
        <w:rPr>
          <w:rFonts w:ascii="Arial" w:cs="Arial" w:eastAsia="Arial" w:hAnsi="Arial"/>
        </w:rPr>
        <w:t xml:space="preserve">Instalments must be received on or before the due date. There is no grace period.</w:t>
      </w:r>
    </w:p>
    <w:p>
      <w:pPr>
        <w:keepNext w:val="false"/>
        <w:spacing w:after="140"/>
      </w:pPr>
      <w:r>
        <w:rPr>
          <w:rFonts w:ascii="Arial" w:cs="Arial" w:eastAsia="Arial" w:hAnsi="Arial"/>
        </w:rPr>
        <w:t xml:space="preserve">If an instalment is received after the due date, a penalty of </w:t>
      </w:r>
      <w:r>
        <w:rPr>
          <w:rFonts w:ascii="Arial" w:cs="Arial" w:eastAsia="Arial" w:hAnsi="Arial"/>
          <w:b/>
          <w:bCs/>
        </w:rPr>
        <w:t xml:space="preserve">10% of the instalment</w:t>
      </w:r>
      <w:r>
        <w:rPr>
          <w:rFonts w:ascii="Arial" w:cs="Arial" w:eastAsia="Arial" w:hAnsi="Arial"/>
        </w:rPr>
        <w:t xml:space="preserve"> is charged immediately. A further </w:t>
      </w:r>
      <w:r>
        <w:rPr>
          <w:rFonts w:ascii="Arial" w:cs="Arial" w:eastAsia="Arial" w:hAnsi="Arial"/>
          <w:b/>
          <w:bCs/>
        </w:rPr>
        <w:t xml:space="preserve">1% of the instalment is charged for each additional week</w:t>
      </w:r>
      <w:r>
        <w:rPr>
          <w:rFonts w:ascii="Arial" w:cs="Arial" w:eastAsia="Arial" w:hAnsi="Arial"/>
        </w:rPr>
        <w:t xml:space="preserve"> the instalment remains unpaid.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Returned payments</w:t>
      </w:r>
    </w:p>
    <w:p>
      <w:pPr>
        <w:spacing w:after="140"/>
      </w:pPr>
      <w:r>
        <w:rPr>
          <w:rFonts w:ascii="Arial" w:cs="Arial" w:eastAsia="Arial" w:hAnsi="Arial"/>
        </w:rPr>
        <w:t xml:space="preserve">A fee of P75 is charged for any debit order or payment that is reversed or returned.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Credit bureau reporting</w:t>
      </w:r>
    </w:p>
    <w:p>
      <w:pPr>
        <w:keepNext w:val="false"/>
        <w:spacing w:after="140"/>
      </w:pPr>
      <w:r>
        <w:rPr>
          <w:rFonts w:ascii="Arial" w:cs="Arial" w:eastAsia="Arial" w:hAnsi="Arial"/>
        </w:rPr>
        <w:t xml:space="preserve">Loans more than </w:t>
      </w:r>
      <w:r>
        <w:rPr>
          <w:rFonts w:ascii="Arial" w:cs="Arial" w:eastAsia="Arial" w:hAnsi="Arial"/>
          <w:b/>
          <w:bCs/>
        </w:rPr>
        <w:t xml:space="preserve">30 days</w:t>
      </w:r>
      <w:r>
        <w:rPr>
          <w:rFonts w:ascii="Arial" w:cs="Arial" w:eastAsia="Arial" w:hAnsi="Arial"/>
        </w:rPr>
        <w:t xml:space="preserve"> in arrears are reported to the credit bureau.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5"/>
        <w:szCs w:val="15"/>
      </w:rPr>
      <w:t xml:space="preserve">Page </w:t>
    </w:r>
    <w:r>
      <w:rPr>
        <w:rFonts w:ascii="Arial" w:cs="Arial" w:eastAsia="Arial" w:hAnsi="Arial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B52" w:sz="18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D6B52"/>
        <w:sz w:val="26"/>
        <w:szCs w:val="26"/>
      </w:rPr>
      <w:t xml:space="preserve">KOPANO</w:t>
    </w:r>
    <w:r>
      <w:rPr>
        <w:rFonts w:ascii="Arial" w:cs="Arial" w:eastAsia="Arial" w:hAnsi="Arial"/>
        <w:b/>
        <w:bCs/>
        <w:color w:val="D18B1F"/>
        <w:sz w:val="26"/>
        <w:szCs w:val="26"/>
      </w:rPr>
      <w:t xml:space="preserve">.</w:t>
    </w:r>
    <w:r>
      <w:rPr>
        <w:rFonts w:ascii="Arial" w:cs="Arial" w:eastAsia="Arial" w:hAnsi="Arial"/>
        <w:b/>
        <w:bCs/>
        <w:color w:val="1D6B52"/>
        <w:sz w:val="26"/>
        <w:szCs w:val="26"/>
      </w:rPr>
      <w:t xml:space="preserve"> MICROFINANCE</w:t>
    </w:r>
    <w:r>
      <w:rPr>
        <w:rFonts w:ascii="Arial" w:cs="Arial" w:eastAsia="Arial" w:hAnsi="Arial"/>
        <w:color w:val="777777"/>
        <w:sz w:val="15"/>
        <w:szCs w:val="15"/>
      </w:rPr>
      <w:t xml:space="preserve">	Kopano Microfinance (Pty) Ltd · Licensed by NBFIRA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3382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338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Penalties and Charges</dc:title>
  <dc:creator>Kopano Microfinance</dc:creator>
  <cp:lastModifiedBy>Un-named</cp:lastModifiedBy>
  <cp:revision>1</cp:revision>
  <dcterms:created xsi:type="dcterms:W3CDTF">2026-09-21T16:14:52.441Z</dcterms:created>
  <dcterms:modified xsi:type="dcterms:W3CDTF">2026-09-21T16:14:52.441Z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