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Arial" w:cs="Arial" w:eastAsia="Arial" w:hAnsi="Arial"/>
        </w:rPr>
        <w:t xml:space="preserve">Early Settlement</w:t>
      </w:r>
    </w:p>
    <w:p>
      <w:pPr>
        <w:spacing w:after="140"/>
      </w:pPr>
      <w:r>
        <w:rPr>
          <w:rFonts w:ascii="Arial" w:cs="Arial" w:eastAsia="Arial" w:hAnsi="Arial"/>
        </w:rPr>
        <w:t xml:space="preserve">You may settle your loan in full at any time.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Settlement amount</w:t>
      </w:r>
    </w:p>
    <w:p>
      <w:pPr>
        <w:keepNext w:val="false"/>
        <w:spacing w:after="140"/>
      </w:pPr>
      <w:r>
        <w:rPr>
          <w:rFonts w:ascii="Arial" w:cs="Arial" w:eastAsia="Arial" w:hAnsi="Arial"/>
        </w:rPr>
        <w:t xml:space="preserve">Your settlement amount is your </w:t>
      </w:r>
      <w:r>
        <w:rPr>
          <w:rFonts w:ascii="Arial" w:cs="Arial" w:eastAsia="Arial" w:hAnsi="Arial"/>
          <w:b/>
          <w:bCs/>
        </w:rPr>
        <w:t xml:space="preserve">outstanding balance less a 5% early settlement discount</w:t>
      </w:r>
      <w:r>
        <w:rPr>
          <w:rFonts w:ascii="Arial" w:cs="Arial" w:eastAsia="Arial" w:hAnsi="Arial"/>
        </w:rPr>
        <w:t xml:space="preserve">. There is no early settlement fee.</w:t>
      </w:r>
    </w:p>
    <w:p>
      <w:pPr>
        <w:spacing w:after="140"/>
      </w:pPr>
      <w:r>
        <w:rPr>
          <w:rFonts w:ascii="Arial" w:cs="Arial" w:eastAsia="Arial" w:hAnsi="Arial"/>
        </w:rPr>
        <w:t xml:space="preserve">Example: if your outstanding balance is P10,000, your settlement amount is P9,500.</w:t>
      </w:r>
    </w:p>
    <w:p>
      <w:pPr>
        <w:spacing w:after="140"/>
      </w:pPr>
      <w:r>
        <w:rPr>
          <w:rFonts w:ascii="Arial" w:cs="Arial" w:eastAsia="Arial" w:hAnsi="Arial"/>
        </w:rPr>
        <w:t xml:space="preserve">A settlement quote is valid only on the day it is given. If you have overdue instalments or penalties, they are included in the outstanding balance.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How to settle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your settlement amount from the chat assistant, a customer service agent or your branch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Pay the full amount using any method in </w:t>
      </w:r>
      <w:r>
        <w:rPr>
          <w:rFonts w:ascii="Arial" w:cs="Arial" w:eastAsia="Arial" w:hAnsi="Arial"/>
          <w:b/>
          <w:bCs/>
        </w:rPr>
        <w:t xml:space="preserve">How to Pay Your Loan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 the reference </w:t>
      </w:r>
      <w:r>
        <w:rPr>
          <w:rFonts w:ascii="Arial" w:cs="Arial" w:eastAsia="Arial" w:hAnsi="Arial"/>
          <w:b/>
          <w:bCs/>
        </w:rPr>
        <w:t xml:space="preserve">SETTLE-</w:t>
      </w:r>
      <w:r>
        <w:rPr>
          <w:rFonts w:ascii="Arial" w:cs="Arial" w:eastAsia="Arial" w:hAnsi="Arial"/>
        </w:rPr>
        <w:t xml:space="preserve"> followed by your loan ID, for example SETTLE-KM-L-0123</w:t>
      </w:r>
    </w:p>
    <w:p>
      <w:pPr>
        <w:spacing w:after="140"/>
      </w:pPr>
      <w:r>
        <w:rPr>
          <w:rFonts w:ascii="Arial" w:cs="Arial" w:eastAsia="Arial" w:hAnsi="Arial"/>
        </w:rPr>
        <w:t xml:space="preserve">Your loan is closed within 2 business days of the payment reflecting, and a paid-up letter is sent to you by SMS or email.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77777"/>
        <w:sz w:val="15"/>
        <w:szCs w:val="15"/>
      </w:rPr>
      <w:t xml:space="preserve">Page </w:t>
    </w:r>
    <w:r>
      <w:rPr>
        <w:rFonts w:ascii="Arial" w:cs="Arial" w:eastAsia="Arial" w:hAnsi="Arial"/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6B52" w:sz="18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D6B52"/>
        <w:sz w:val="26"/>
        <w:szCs w:val="26"/>
      </w:rPr>
      <w:t xml:space="preserve">KOPANO</w:t>
    </w:r>
    <w:r>
      <w:rPr>
        <w:rFonts w:ascii="Arial" w:cs="Arial" w:eastAsia="Arial" w:hAnsi="Arial"/>
        <w:b/>
        <w:bCs/>
        <w:color w:val="D18B1F"/>
        <w:sz w:val="26"/>
        <w:szCs w:val="26"/>
      </w:rPr>
      <w:t xml:space="preserve">.</w:t>
    </w:r>
    <w:r>
      <w:rPr>
        <w:rFonts w:ascii="Arial" w:cs="Arial" w:eastAsia="Arial" w:hAnsi="Arial"/>
        <w:b/>
        <w:bCs/>
        <w:color w:val="1D6B52"/>
        <w:sz w:val="26"/>
        <w:szCs w:val="26"/>
      </w:rPr>
      <w:t xml:space="preserve"> MICROFINANCE</w:t>
    </w:r>
    <w:r>
      <w:rPr>
        <w:rFonts w:ascii="Arial" w:cs="Arial" w:eastAsia="Arial" w:hAnsi="Arial"/>
        <w:color w:val="777777"/>
        <w:sz w:val="15"/>
        <w:szCs w:val="15"/>
      </w:rPr>
      <w:t xml:space="preserve">	Kopano Microfinance (Pty) Ltd · Licensed by NBFIRA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3382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338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Early Settlement</dc:title>
  <dc:creator>Kopano Microfinance</dc:creator>
  <cp:lastModifiedBy>Un-named</cp:lastModifiedBy>
  <cp:revision>1</cp:revision>
  <dcterms:created xsi:type="dcterms:W3CDTF">2026-09-21T16:14:52.470Z</dcterms:created>
  <dcterms:modified xsi:type="dcterms:W3CDTF">2026-09-21T16:14:52.470Z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