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rial" w:cs="Arial" w:eastAsia="Arial" w:hAnsi="Arial"/>
        </w:rPr>
        <w:t xml:space="preserve">Loan Products</w:t>
      </w:r>
    </w:p>
    <w:p>
      <w:pPr>
        <w:spacing w:after="140"/>
      </w:pPr>
      <w:r>
        <w:rPr>
          <w:rFonts w:ascii="Arial" w:cs="Arial" w:eastAsia="Arial" w:hAnsi="Arial"/>
        </w:rPr>
        <w:t xml:space="preserve">All interest is charged at a flat monthly rate on the original loan amount. Your monthly instalment stays the same for the life of the loan.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Salary Advance</w:t>
      </w:r>
    </w:p>
    <w:p>
      <w:pPr>
        <w:spacing w:after="140"/>
      </w:pPr>
      <w:r>
        <w:rPr>
          <w:rFonts w:ascii="Arial" w:cs="Arial" w:eastAsia="Arial" w:hAnsi="Arial"/>
        </w:rPr>
        <w:t xml:space="preserve">For formally employed people with a payslip.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Loan amount: P1,000 to P20,000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Term: 3 to 12 months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Interest: 2.5% per month, flat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Instalments due: the 25th of each month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Requirements: Omang, three latest payslips, three months' bank statements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Small Business Loan</w:t>
      </w:r>
    </w:p>
    <w:p>
      <w:pPr>
        <w:spacing w:after="140"/>
      </w:pPr>
      <w:r>
        <w:rPr>
          <w:rFonts w:ascii="Arial" w:cs="Arial" w:eastAsia="Arial" w:hAnsi="Arial"/>
        </w:rPr>
        <w:t xml:space="preserve">For registered or informal businesses that have traded for at least 12 months.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Loan amount: P5,000 to P100,000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Term: 6 to 36 months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Interest: 2.0% per month, flat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Instalments due: the 10th of each month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Requirements: Omang, six months' business bank or mobile money statements, proof of business address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School Fees Loan</w:t>
      </w:r>
    </w:p>
    <w:p>
      <w:pPr>
        <w:spacing w:after="140"/>
      </w:pPr>
      <w:r>
        <w:rPr>
          <w:rFonts w:ascii="Arial" w:cs="Arial" w:eastAsia="Arial" w:hAnsi="Arial"/>
        </w:rPr>
        <w:t xml:space="preserve">For school, college and university fees, paid directly to the institution.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Loan amount: P2,000 to P30,000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Term: 3 to 12 months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Interest: 1.75% per month, flat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Instalments due: the 15th of each month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Requirements: Omang, fees invoice from the institution, proof of income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Due dates on weekends and public holidays</w:t>
      </w:r>
    </w:p>
    <w:p>
      <w:pPr>
        <w:spacing w:after="140"/>
      </w:pPr>
      <w:r>
        <w:rPr>
          <w:rFonts w:ascii="Arial" w:cs="Arial" w:eastAsia="Arial" w:hAnsi="Arial"/>
        </w:rPr>
        <w:t xml:space="preserve">If your due date falls on a weekend or public holiday, a payment received by the end of the next business day is treated as on time.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Top-ups</w:t>
      </w:r>
    </w:p>
    <w:p>
      <w:pPr>
        <w:spacing w:after="140"/>
      </w:pPr>
      <w:r>
        <w:rPr>
          <w:rFonts w:ascii="Arial" w:cs="Arial" w:eastAsia="Arial" w:hAnsi="Arial"/>
        </w:rPr>
        <w:t xml:space="preserve">Once you have repaid at least half of your loan, you may apply for a top-up. Speak to your loan officer or a customer service agent.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Page </w:t>
    </w:r>
    <w:r>
      <w:rPr>
        <w:rFonts w:ascii="Arial" w:cs="Arial" w:eastAsia="Arial" w:hAnsi="Arial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B52" w:sz="18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D6B52"/>
        <w:sz w:val="26"/>
        <w:szCs w:val="26"/>
      </w:rPr>
      <w:t xml:space="preserve">KOPANO</w:t>
    </w:r>
    <w:r>
      <w:rPr>
        <w:rFonts w:ascii="Arial" w:cs="Arial" w:eastAsia="Arial" w:hAnsi="Arial"/>
        <w:b/>
        <w:bCs/>
        <w:color w:val="D18B1F"/>
        <w:sz w:val="26"/>
        <w:szCs w:val="26"/>
      </w:rPr>
      <w:t xml:space="preserve">.</w:t>
    </w:r>
    <w:r>
      <w:rPr>
        <w:rFonts w:ascii="Arial" w:cs="Arial" w:eastAsia="Arial" w:hAnsi="Arial"/>
        <w:b/>
        <w:bCs/>
        <w:color w:val="1D6B52"/>
        <w:sz w:val="26"/>
        <w:szCs w:val="26"/>
      </w:rPr>
      <w:t xml:space="preserve"> MICROFINANCE</w:t>
    </w:r>
    <w:r>
      <w:rPr>
        <w:rFonts w:ascii="Arial" w:cs="Arial" w:eastAsia="Arial" w:hAnsi="Arial"/>
        <w:color w:val="777777"/>
        <w:sz w:val="15"/>
        <w:szCs w:val="15"/>
      </w:rPr>
      <w:t xml:space="preserve">	Kopano Microfinance (Pty) Ltd · Licensed by NBFIRA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338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338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Products</dc:title>
  <dc:creator>Kopano Microfinance</dc:creator>
  <cp:lastModifiedBy>Un-named</cp:lastModifiedBy>
  <cp:revision>1</cp:revision>
  <dcterms:created xsi:type="dcterms:W3CDTF">2026-09-21T16:14:52.461Z</dcterms:created>
  <dcterms:modified xsi:type="dcterms:W3CDTF">2026-09-21T16:14:52.461Z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