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sz w:val="40"/>
          <w:szCs w:val="40"/>
        </w:rPr>
        <w:t xml:space="preserve">Scribe Index → Excel Extraction Spec</w:t>
      </w:r>
    </w:p>
    <w:p>
      <w:pPr>
        <w:spacing w:after="120" w:line="276"/>
      </w:pPr>
      <w:r>
        <w:rPr>
          <w:i/>
          <w:iCs/>
          <w:sz w:val="20"/>
          <w:szCs w:val="20"/>
        </w:rPr>
        <w:t xml:space="preserve">Version 2.2 — revised 30 August 2026 after inspection of the scans and transcription of pages 1–6 in full. </w:t>
      </w:r>
      <w:r>
        <w:rPr>
          <w:i/>
          <w:iCs/>
          <w:sz w:val="20"/>
          <w:szCs w:val="20"/>
        </w:rPr>
        <w:t xml:space="preserve">Changes from v1 are listed in §0 and marked </w:t>
      </w:r>
      <w:r>
        <w:rPr>
          <w:b/>
          <w:bCs/>
          <w:sz w:val="20"/>
          <w:szCs w:val="20"/>
        </w:rPr>
        <w:t xml:space="preserve">NEW</w:t>
      </w:r>
      <w:r>
        <w:rPr>
          <w:i/>
          <w:iCs/>
          <w:sz w:val="20"/>
          <w:szCs w:val="20"/>
        </w:rPr>
        <w:t xml:space="preserve"> or </w:t>
      </w:r>
      <w:r>
        <w:rPr>
          <w:b/>
          <w:bCs/>
          <w:sz w:val="20"/>
          <w:szCs w:val="20"/>
        </w:rPr>
        <w:t xml:space="preserve">CHANGED</w:t>
      </w:r>
      <w:r>
        <w:rPr>
          <w:i/>
          <w:iCs/>
          <w:sz w:val="20"/>
          <w:szCs w:val="20"/>
        </w:rPr>
        <w:t xml:space="preserve"> in the body.</w:t>
      </w:r>
    </w:p>
    <w:p>
      <w:pPr>
        <w:pStyle w:val="Heading1"/>
        <w:spacing w:after="160" w:before="320"/>
      </w:pPr>
      <w:r>
        <w:t xml:space="preserve">0. What changed</w:t>
      </w:r>
    </w:p>
    <w:p>
      <w:pPr>
        <w:spacing w:after="120" w:line="276"/>
      </w:pPr>
      <w:r>
        <w:rPr>
          <w:b/>
          <w:bCs/>
          <w:sz w:val="20"/>
          <w:szCs w:val="20"/>
        </w:rPr>
        <w:t xml:space="preserve">v2.2 — settled while transcribing pages 4–6:</w:t>
      </w:r>
    </w:p>
    <w:p>
      <w:pPr>
        <w:pStyle w:val="ListParagraph"/>
        <w:numPr>
          <w:ilvl w:val="0"/>
          <w:numId w:val="1"/>
        </w:numPr>
        <w:spacing w:after="80" w:line="276"/>
      </w:pPr>
      <w:r>
        <w:rPr>
          <w:b/>
          <w:bCs/>
          <w:sz w:val="20"/>
          <w:szCs w:val="20"/>
        </w:rPr>
        <w:t xml:space="preserve">CHANGED — Cols. 6 and 8 merged into one column, “Page Number(s)” (§3.4). </w:t>
      </w:r>
      <w:r>
        <w:rPr>
          <w:sz w:val="20"/>
          <w:szCs w:val="20"/>
        </w:rPr>
        <w:t xml:space="preserve">The number is the page of the </w:t>
      </w:r>
      <w:r>
        <w:rPr>
          <w:i/>
          <w:iCs/>
          <w:sz w:val="20"/>
          <w:szCs w:val="20"/>
        </w:rPr>
        <w:t xml:space="preserve">physical volume</w:t>
      </w:r>
      <w:r>
        <w:rPr>
          <w:sz w:val="20"/>
          <w:szCs w:val="20"/>
        </w:rPr>
        <w:t xml:space="preserve"> on which the code occurs, not a cross-reference to another entry. It is printed before the code when the contributor is named and in the Name slot when he is not — one datum in two positions, not two data.</w:t>
      </w:r>
    </w:p>
    <w:p>
      <w:pPr>
        <w:pStyle w:val="ListParagraph"/>
        <w:numPr>
          <w:ilvl w:val="0"/>
          <w:numId w:val="1"/>
        </w:numPr>
        <w:spacing w:after="80" w:line="276"/>
      </w:pPr>
      <w:r>
        <w:rPr>
          <w:b/>
          <w:bCs/>
          <w:sz w:val="20"/>
          <w:szCs w:val="20"/>
        </w:rPr>
        <w:t xml:space="preserve">CHANGED — Col. 1 renamed “Index Page No.” </w:t>
      </w:r>
      <w:r>
        <w:rPr>
          <w:sz w:val="20"/>
          <w:szCs w:val="20"/>
        </w:rPr>
        <w:t xml:space="preserve">so it cannot be confused with the new Page Number(s) column. It is still the page of this 43-page index.</w:t>
      </w:r>
    </w:p>
    <w:p>
      <w:pPr>
        <w:pStyle w:val="ListParagraph"/>
        <w:numPr>
          <w:ilvl w:val="0"/>
          <w:numId w:val="1"/>
        </w:numPr>
        <w:spacing w:after="80" w:line="276"/>
      </w:pPr>
      <w:r>
        <w:rPr>
          <w:b/>
          <w:bCs/>
          <w:sz w:val="20"/>
          <w:szCs w:val="20"/>
        </w:rPr>
        <w:t xml:space="preserve">NEW — three people under one code (§3.10a). </w:t>
      </w:r>
      <w:r>
        <w:rPr>
          <w:sz w:val="20"/>
          <w:szCs w:val="20"/>
        </w:rPr>
        <w:t xml:space="preserve">Volume 12 prints E. Arthur Lyons </w:t>
      </w:r>
      <w:r>
        <w:rPr>
          <w:i/>
          <w:iCs/>
          <w:sz w:val="20"/>
          <w:szCs w:val="20"/>
        </w:rPr>
        <w:t xml:space="preserve">or</w:t>
      </w:r>
      <w:r>
        <w:rPr>
          <w:sz w:val="20"/>
          <w:szCs w:val="20"/>
        </w:rPr>
        <w:t xml:space="preserve"> Alfred Lockhart </w:t>
      </w:r>
      <w:r>
        <w:rPr>
          <w:i/>
          <w:iCs/>
          <w:sz w:val="20"/>
          <w:szCs w:val="20"/>
        </w:rPr>
        <w:t xml:space="preserve">or</w:t>
      </w:r>
      <w:r>
        <w:rPr>
          <w:sz w:val="20"/>
          <w:szCs w:val="20"/>
        </w:rPr>
        <w:t xml:space="preserve"> A Lidston under code AL. The rule generalises to n people, n rows.</w:t>
      </w:r>
    </w:p>
    <w:p>
      <w:pPr>
        <w:spacing w:after="120" w:line="276"/>
      </w:pPr>
      <w:r>
        <w:rPr>
          <w:b/>
          <w:bCs/>
          <w:sz w:val="20"/>
          <w:szCs w:val="20"/>
        </w:rPr>
        <w:t xml:space="preserve">v2.1 — settled while transcribing pages 1–3:</w:t>
      </w:r>
    </w:p>
    <w:p>
      <w:pPr>
        <w:pStyle w:val="ListParagraph"/>
        <w:numPr>
          <w:ilvl w:val="0"/>
          <w:numId w:val="1"/>
        </w:numPr>
        <w:spacing w:after="80" w:line="276"/>
      </w:pPr>
      <w:r>
        <w:rPr>
          <w:b/>
          <w:bCs/>
          <w:sz w:val="20"/>
          <w:szCs w:val="20"/>
        </w:rPr>
        <w:t xml:space="preserve">CHANGED — “or” means two people, not one uncertain name (§3.10a). </w:t>
      </w:r>
      <w:r>
        <w:rPr>
          <w:sz w:val="20"/>
          <w:szCs w:val="20"/>
        </w:rPr>
        <w:t xml:space="preserve">An underlined “or” joining two names under one code records </w:t>
      </w:r>
      <w:r>
        <w:rPr>
          <w:b/>
          <w:bCs/>
          <w:sz w:val="20"/>
          <w:szCs w:val="20"/>
        </w:rPr>
        <w:t xml:space="preserve">two different men</w:t>
      </w:r>
      <w:r>
        <w:rPr>
          <w:sz w:val="20"/>
          <w:szCs w:val="20"/>
        </w:rPr>
        <w:t xml:space="preserve"> who share that code in that volume. Each gets its own row, so both are searchable by name. v2 treated these as alternate readings buried in Notes, which was wrong.</w:t>
      </w:r>
    </w:p>
    <w:p>
      <w:pPr>
        <w:pStyle w:val="ListParagraph"/>
        <w:numPr>
          <w:ilvl w:val="0"/>
          <w:numId w:val="1"/>
        </w:numPr>
        <w:spacing w:after="80" w:line="276"/>
      </w:pPr>
      <w:r>
        <w:rPr>
          <w:b/>
          <w:bCs/>
          <w:sz w:val="20"/>
          <w:szCs w:val="20"/>
        </w:rPr>
        <w:t xml:space="preserve">CHANGED — §3.10 split. </w:t>
      </w:r>
      <w:r>
        <w:rPr>
          <w:sz w:val="20"/>
          <w:szCs w:val="20"/>
        </w:rPr>
        <w:t xml:space="preserve">§3.10 now covers pure wraps only; the new §3.10a covers shared-code second people and its relationship to §3.8.</w:t>
      </w:r>
    </w:p>
    <w:p>
      <w:pPr>
        <w:pStyle w:val="ListParagraph"/>
        <w:numPr>
          <w:ilvl w:val="0"/>
          <w:numId w:val="1"/>
        </w:numPr>
        <w:spacing w:after="80" w:line="276"/>
      </w:pPr>
      <w:r>
        <w:rPr>
          <w:b/>
          <w:bCs/>
          <w:sz w:val="20"/>
          <w:szCs w:val="20"/>
        </w:rPr>
        <w:t xml:space="preserve">CHANGED — row-count check (§6.3). </w:t>
      </w:r>
      <w:r>
        <w:rPr>
          <w:sz w:val="20"/>
          <w:szCs w:val="20"/>
        </w:rPr>
        <w:t xml:space="preserve">Because §3.10a rows add to the total, transcribed rows now legitimately </w:t>
      </w:r>
      <w:r>
        <w:rPr>
          <w:i/>
          <w:iCs/>
          <w:sz w:val="20"/>
          <w:szCs w:val="20"/>
        </w:rPr>
        <w:t xml:space="preserve">exceed</w:t>
      </w:r>
      <w:r>
        <w:rPr>
          <w:sz w:val="20"/>
          <w:szCs w:val="20"/>
        </w:rPr>
        <w:t xml:space="preserve"> printed lines. The check must exclude them.</w:t>
      </w:r>
    </w:p>
    <w:p>
      <w:pPr>
        <w:pStyle w:val="ListParagraph"/>
        <w:numPr>
          <w:ilvl w:val="0"/>
          <w:numId w:val="1"/>
        </w:numPr>
        <w:spacing w:after="80" w:line="276"/>
      </w:pPr>
      <w:r>
        <w:rPr>
          <w:b/>
          <w:bCs/>
          <w:sz w:val="20"/>
          <w:szCs w:val="20"/>
        </w:rPr>
        <w:t xml:space="preserve">NEW — right-edge truncation (§3.12), </w:t>
      </w:r>
      <w:r>
        <w:rPr>
          <w:sz w:val="20"/>
          <w:szCs w:val="20"/>
        </w:rPr>
        <w:t xml:space="preserve">the dominant scan defect in column 3.</w:t>
      </w:r>
    </w:p>
    <w:p>
      <w:pPr>
        <w:pStyle w:val="ListParagraph"/>
        <w:numPr>
          <w:ilvl w:val="0"/>
          <w:numId w:val="1"/>
        </w:numPr>
        <w:spacing w:after="80" w:line="276"/>
      </w:pPr>
      <w:r>
        <w:rPr>
          <w:b/>
          <w:bCs/>
          <w:sz w:val="20"/>
          <w:szCs w:val="20"/>
        </w:rPr>
        <w:t xml:space="preserve">NEW — compound cross-reference cells (§3.13), </w:t>
      </w:r>
      <w:r>
        <w:rPr>
          <w:sz w:val="20"/>
          <w:szCs w:val="20"/>
        </w:rPr>
        <w:t xml:space="preserve">for “189, 347” and “80, misprint for FL”.</w:t>
      </w:r>
    </w:p>
    <w:p>
      <w:pPr>
        <w:spacing w:after="120" w:line="276"/>
      </w:pPr>
      <w:r>
        <w:rPr>
          <w:b/>
          <w:bCs/>
          <w:sz w:val="20"/>
          <w:szCs w:val="20"/>
        </w:rPr>
        <w:t xml:space="preserve">v2 — settled after first inspecting the scans:</w:t>
      </w:r>
    </w:p>
    <w:p>
      <w:pPr>
        <w:pStyle w:val="ListParagraph"/>
        <w:numPr>
          <w:ilvl w:val="0"/>
          <w:numId w:val="1"/>
        </w:numPr>
        <w:spacing w:after="80" w:line="276"/>
      </w:pPr>
      <w:r>
        <w:rPr>
          <w:b/>
          <w:bCs/>
          <w:sz w:val="20"/>
          <w:szCs w:val="20"/>
        </w:rPr>
        <w:t xml:space="preserve">Source file corrected. </w:t>
      </w:r>
      <w:r>
        <w:rPr>
          <w:sz w:val="20"/>
          <w:szCs w:val="20"/>
        </w:rPr>
        <w:t xml:space="preserve">The PDF is </w:t>
      </w:r>
      <w:r>
        <w:rPr>
          <w:rFonts w:ascii="Consolas" w:cs="Consolas" w:eastAsia="Consolas" w:hAnsi="Consolas"/>
          <w:sz w:val="18"/>
          <w:szCs w:val="18"/>
        </w:rPr>
        <w:t xml:space="preserve">initials.pdf</w:t>
      </w:r>
      <w:r>
        <w:rPr>
          <w:sz w:val="20"/>
          <w:szCs w:val="20"/>
        </w:rPr>
        <w:t xml:space="preserve"> (43 pages, 51.7 MB), not p001_Scribe.pdf.</w:t>
      </w:r>
    </w:p>
    <w:p>
      <w:pPr>
        <w:pStyle w:val="ListParagraph"/>
        <w:numPr>
          <w:ilvl w:val="0"/>
          <w:numId w:val="1"/>
        </w:numPr>
        <w:spacing w:after="80" w:line="276"/>
      </w:pPr>
      <w:r>
        <w:rPr>
          <w:b/>
          <w:bCs/>
          <w:sz w:val="20"/>
          <w:szCs w:val="20"/>
        </w:rPr>
        <w:t xml:space="preserve">CHANGED — page layout and reading order (§3.2). </w:t>
      </w:r>
      <w:r>
        <w:rPr>
          <w:sz w:val="20"/>
          <w:szCs w:val="20"/>
        </w:rPr>
        <w:t xml:space="preserve">v1 described “three visual columns per page-section: Initials / Name / Locality”. In fact each page carries </w:t>
      </w:r>
      <w:r>
        <w:rPr>
          <w:b/>
          <w:bCs/>
          <w:sz w:val="20"/>
          <w:szCs w:val="20"/>
        </w:rPr>
        <w:t xml:space="preserve">three physical text columns side by side</w:t>
      </w:r>
      <w:r>
        <w:rPr>
          <w:sz w:val="20"/>
          <w:szCs w:val="20"/>
        </w:rPr>
        <w:t xml:space="preserve">, each containing its own Initials / Name / Locality triplet. Reading order is column-major, and a volume inherits across column and page breaks — not “in its column” as v1 said.</w:t>
      </w:r>
    </w:p>
    <w:p>
      <w:pPr>
        <w:pStyle w:val="ListParagraph"/>
        <w:numPr>
          <w:ilvl w:val="0"/>
          <w:numId w:val="1"/>
        </w:numPr>
        <w:spacing w:after="80" w:line="276"/>
      </w:pPr>
      <w:r>
        <w:rPr>
          <w:b/>
          <w:bCs/>
          <w:sz w:val="20"/>
          <w:szCs w:val="20"/>
        </w:rPr>
        <w:t xml:space="preserve">CHANGED — scope. </w:t>
      </w:r>
      <w:r>
        <w:rPr>
          <w:sz w:val="20"/>
          <w:szCs w:val="20"/>
        </w:rPr>
        <w:t xml:space="preserve">Volumes run 1 to 100, not a handful. Volume 100 (page 43) is a consolidated index ordered alphabetically by surname, and its heading is handwritten.</w:t>
      </w:r>
    </w:p>
    <w:p>
      <w:pPr>
        <w:pStyle w:val="ListParagraph"/>
        <w:numPr>
          <w:ilvl w:val="0"/>
          <w:numId w:val="1"/>
        </w:numPr>
        <w:spacing w:after="80" w:line="276"/>
      </w:pPr>
      <w:r>
        <w:rPr>
          <w:b/>
          <w:bCs/>
          <w:sz w:val="20"/>
          <w:szCs w:val="20"/>
        </w:rPr>
        <w:t xml:space="preserve">NEW — Col. 8 Ref Prefix (§3.5), </w:t>
      </w:r>
      <w:r>
        <w:rPr>
          <w:sz w:val="20"/>
          <w:szCs w:val="20"/>
        </w:rPr>
        <w:t xml:space="preserve">for codes printed with a leading number (266EH, 4 HB, 293RG, 543RM).</w:t>
      </w:r>
    </w:p>
    <w:p>
      <w:pPr>
        <w:pStyle w:val="ListParagraph"/>
        <w:numPr>
          <w:ilvl w:val="0"/>
          <w:numId w:val="1"/>
        </w:numPr>
        <w:spacing w:after="80" w:line="276"/>
      </w:pPr>
      <w:r>
        <w:rPr>
          <w:b/>
          <w:bCs/>
          <w:sz w:val="20"/>
          <w:szCs w:val="20"/>
        </w:rPr>
        <w:t xml:space="preserve">NEW — bare-code rows (§3.6) and alphabetical divider letters (§3.7), </w:t>
      </w:r>
      <w:r>
        <w:rPr>
          <w:sz w:val="20"/>
          <w:szCs w:val="20"/>
        </w:rPr>
        <w:t xml:space="preserve">both retained as rows and flagged in Notes.</w:t>
      </w:r>
    </w:p>
    <w:p>
      <w:pPr>
        <w:pStyle w:val="ListParagraph"/>
        <w:numPr>
          <w:ilvl w:val="0"/>
          <w:numId w:val="1"/>
        </w:numPr>
        <w:spacing w:after="80" w:line="276"/>
      </w:pPr>
      <w:r>
        <w:rPr>
          <w:b/>
          <w:bCs/>
          <w:sz w:val="20"/>
          <w:szCs w:val="20"/>
        </w:rPr>
        <w:t xml:space="preserve">NEW — multi-person codes grouped by place (§3.8), </w:t>
      </w:r>
      <w:r>
        <w:rPr>
          <w:sz w:val="20"/>
          <w:szCs w:val="20"/>
        </w:rPr>
        <w:t xml:space="preserve">one row per person.</w:t>
      </w:r>
    </w:p>
    <w:p>
      <w:pPr>
        <w:pStyle w:val="ListParagraph"/>
        <w:numPr>
          <w:ilvl w:val="0"/>
          <w:numId w:val="1"/>
        </w:numPr>
        <w:spacing w:after="80" w:line="276"/>
      </w:pPr>
      <w:r>
        <w:rPr>
          <w:b/>
          <w:bCs/>
          <w:sz w:val="20"/>
          <w:szCs w:val="20"/>
        </w:rPr>
        <w:t xml:space="preserve">EXPANDED — uncertainty handling (§3.9) </w:t>
      </w:r>
      <w:r>
        <w:rPr>
          <w:sz w:val="20"/>
          <w:szCs w:val="20"/>
        </w:rPr>
        <w:t xml:space="preserve">now covers question marks attached to the </w:t>
      </w:r>
      <w:r>
        <w:rPr>
          <w:i/>
          <w:iCs/>
          <w:sz w:val="20"/>
          <w:szCs w:val="20"/>
        </w:rPr>
        <w:t xml:space="preserve">locality</w:t>
      </w:r>
      <w:r>
        <w:rPr>
          <w:sz w:val="20"/>
          <w:szCs w:val="20"/>
        </w:rPr>
        <w:t xml:space="preserve"> as well as the name, and “Error for …” as a second misprint form.</w:t>
      </w:r>
    </w:p>
    <w:p>
      <w:pPr>
        <w:pStyle w:val="ListParagraph"/>
        <w:numPr>
          <w:ilvl w:val="0"/>
          <w:numId w:val="1"/>
        </w:numPr>
        <w:spacing w:after="80" w:line="276"/>
      </w:pPr>
      <w:r>
        <w:rPr>
          <w:b/>
          <w:bCs/>
          <w:sz w:val="20"/>
          <w:szCs w:val="20"/>
        </w:rPr>
        <w:t xml:space="preserve">NEW — page images (§6.1). </w:t>
      </w:r>
      <w:r>
        <w:rPr>
          <w:sz w:val="20"/>
          <w:szCs w:val="20"/>
        </w:rPr>
        <w:t xml:space="preserve">43 byte-identical JPEGs have been extracted from the PDF and are the working source.</w:t>
      </w:r>
    </w:p>
    <w:p>
      <w:pPr>
        <w:pStyle w:val="Heading1"/>
        <w:spacing w:after="160" w:before="320"/>
      </w:pPr>
      <w:r>
        <w:t xml:space="preserve">1. Purpose</w:t>
      </w:r>
    </w:p>
    <w:p>
      <w:pPr>
        <w:spacing w:after="120" w:line="276"/>
      </w:pPr>
      <w:r>
        <w:rPr>
          <w:sz w:val="20"/>
          <w:szCs w:val="20"/>
        </w:rPr>
        <w:t xml:space="preserve">Convert the 43-page scanned index into a single, flat Excel table — one row per entry — that can be sorted, filtered, and searched by initials, name, locality, or volume. The source is a mid-20th-century typewritten index (consistent monospace layout) covering 100 numbered volumes, with roughly 150 entries per page, so the finished Entries sheet is expected to hold in the order of 6,000–7,000 rows.</w:t>
      </w:r>
    </w:p>
    <w:p>
      <w:pPr>
        <w:pStyle w:val="Heading1"/>
        <w:spacing w:after="160" w:before="320"/>
      </w:pPr>
      <w:r>
        <w:t xml:space="preserve">2. Output schema</w:t>
      </w:r>
    </w:p>
    <w:p>
      <w:pPr>
        <w:spacing w:after="120" w:line="276"/>
      </w:pPr>
      <w:r>
        <w:rPr>
          <w:sz w:val="20"/>
          <w:szCs w:val="20"/>
        </w:rPr>
        <w:t xml:space="preserve">One worksheet, one row per entry, in the reading order defined in §3.2. Eight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180"/>
        <w:gridCol w:w="1620"/>
        <w:gridCol w:w="2900"/>
        <w:gridCol w:w="1500"/>
        <w:gridCol w:w="1600"/>
      </w:tblGrid>
      <w:tr>
        <w:trPr>
          <w:tblHeader/>
        </w:trPr>
        <w:tc>
          <w:tcPr>
            <w:tcW w:type="dxa" w:w="560"/>
            <w:shd w:fill="D9E2F3" w:color="auto" w:val="clear"/>
            <w:tcMar>
              <w:top w:type="dxa" w:w="60"/>
              <w:left w:type="dxa" w:w="90"/>
              <w:bottom w:type="dxa" w:w="60"/>
              <w:right w:type="dxa" w:w="90"/>
            </w:tcMar>
          </w:tcPr>
          <w:p>
            <w:pPr>
              <w:spacing w:after="40" w:before="40"/>
            </w:pPr>
            <w:r>
              <w:rPr>
                <w:b/>
                <w:bCs/>
                <w:sz w:val="16"/>
                <w:szCs w:val="16"/>
              </w:rPr>
              <w:t xml:space="preserve">Col.</w:t>
            </w:r>
          </w:p>
        </w:tc>
        <w:tc>
          <w:tcPr>
            <w:tcW w:type="dxa" w:w="1180"/>
            <w:shd w:fill="D9E2F3" w:color="auto" w:val="clear"/>
            <w:tcMar>
              <w:top w:type="dxa" w:w="60"/>
              <w:left w:type="dxa" w:w="90"/>
              <w:bottom w:type="dxa" w:w="60"/>
              <w:right w:type="dxa" w:w="90"/>
            </w:tcMar>
          </w:tcPr>
          <w:p>
            <w:pPr>
              <w:spacing w:after="40" w:before="40"/>
            </w:pPr>
            <w:r>
              <w:rPr>
                <w:b/>
                <w:bCs/>
                <w:sz w:val="16"/>
                <w:szCs w:val="16"/>
              </w:rPr>
              <w:t xml:space="preserve">Field</w:t>
            </w:r>
          </w:p>
        </w:tc>
        <w:tc>
          <w:tcPr>
            <w:tcW w:type="dxa" w:w="1620"/>
            <w:shd w:fill="D9E2F3" w:color="auto" w:val="clear"/>
            <w:tcMar>
              <w:top w:type="dxa" w:w="60"/>
              <w:left w:type="dxa" w:w="90"/>
              <w:bottom w:type="dxa" w:w="60"/>
              <w:right w:type="dxa" w:w="90"/>
            </w:tcMar>
          </w:tcPr>
          <w:p>
            <w:pPr>
              <w:spacing w:after="40" w:before="40"/>
            </w:pPr>
            <w:r>
              <w:rPr>
                <w:b/>
                <w:bCs/>
                <w:sz w:val="16"/>
                <w:szCs w:val="16"/>
              </w:rPr>
              <w:t xml:space="preserve">Source on page</w:t>
            </w:r>
          </w:p>
        </w:tc>
        <w:tc>
          <w:tcPr>
            <w:tcW w:type="dxa" w:w="2900"/>
            <w:shd w:fill="D9E2F3" w:color="auto" w:val="clear"/>
            <w:tcMar>
              <w:top w:type="dxa" w:w="60"/>
              <w:left w:type="dxa" w:w="90"/>
              <w:bottom w:type="dxa" w:w="60"/>
              <w:right w:type="dxa" w:w="90"/>
            </w:tcMar>
          </w:tcPr>
          <w:p>
            <w:pPr>
              <w:spacing w:after="40" w:before="40"/>
            </w:pPr>
            <w:r>
              <w:rPr>
                <w:b/>
                <w:bCs/>
                <w:sz w:val="16"/>
                <w:szCs w:val="16"/>
              </w:rPr>
              <w:t xml:space="preserve">Description</w:t>
            </w:r>
          </w:p>
        </w:tc>
        <w:tc>
          <w:tcPr>
            <w:tcW w:type="dxa" w:w="1500"/>
            <w:shd w:fill="D9E2F3" w:color="auto" w:val="clear"/>
            <w:tcMar>
              <w:top w:type="dxa" w:w="60"/>
              <w:left w:type="dxa" w:w="90"/>
              <w:bottom w:type="dxa" w:w="60"/>
              <w:right w:type="dxa" w:w="90"/>
            </w:tcMar>
          </w:tcPr>
          <w:p>
            <w:pPr>
              <w:spacing w:after="40" w:before="40"/>
            </w:pPr>
            <w:r>
              <w:rPr>
                <w:b/>
                <w:bCs/>
                <w:sz w:val="16"/>
                <w:szCs w:val="16"/>
              </w:rPr>
              <w:t xml:space="preserve">Blank when</w:t>
            </w:r>
          </w:p>
        </w:tc>
        <w:tc>
          <w:tcPr>
            <w:tcW w:type="dxa" w:w="1600"/>
            <w:shd w:fill="D9E2F3" w:color="auto" w:val="clear"/>
            <w:tcMar>
              <w:top w:type="dxa" w:w="60"/>
              <w:left w:type="dxa" w:w="90"/>
              <w:bottom w:type="dxa" w:w="60"/>
              <w:right w:type="dxa" w:w="90"/>
            </w:tcMar>
          </w:tcPr>
          <w:p>
            <w:pPr>
              <w:spacing w:after="40" w:before="40"/>
            </w:pPr>
            <w:r>
              <w:rPr>
                <w:b/>
                <w:bCs/>
                <w:sz w:val="16"/>
                <w:szCs w:val="16"/>
              </w:rPr>
              <w:t xml:space="preserve">Example</w:t>
            </w:r>
          </w:p>
        </w:tc>
      </w:tr>
      <w:tr>
        <w:trPr>
          <w:tblHeader w:val="false"/>
        </w:trPr>
        <w:tc>
          <w:tcPr>
            <w:tcW w:type="dxa" w:w="560"/>
            <w:tcMar>
              <w:top w:type="dxa" w:w="60"/>
              <w:left w:type="dxa" w:w="90"/>
              <w:bottom w:type="dxa" w:w="60"/>
              <w:right w:type="dxa" w:w="90"/>
            </w:tcMar>
          </w:tcPr>
          <w:p>
            <w:pPr>
              <w:spacing w:after="40" w:before="40"/>
            </w:pPr>
            <w:r>
              <w:rPr>
                <w:b w:val="false"/>
                <w:bCs w:val="false"/>
                <w:sz w:val="16"/>
                <w:szCs w:val="16"/>
              </w:rPr>
              <w:t xml:space="preserve">1</w:t>
            </w:r>
          </w:p>
        </w:tc>
        <w:tc>
          <w:tcPr>
            <w:tcW w:type="dxa" w:w="1180"/>
            <w:tcMar>
              <w:top w:type="dxa" w:w="60"/>
              <w:left w:type="dxa" w:w="90"/>
              <w:bottom w:type="dxa" w:w="60"/>
              <w:right w:type="dxa" w:w="90"/>
            </w:tcMar>
          </w:tcPr>
          <w:p>
            <w:pPr>
              <w:spacing w:after="40" w:before="40"/>
            </w:pPr>
            <w:r>
              <w:rPr>
                <w:b w:val="false"/>
                <w:bCs w:val="false"/>
                <w:sz w:val="16"/>
                <w:szCs w:val="16"/>
              </w:rPr>
              <w:t xml:space="preserve">Index Page No.</w:t>
            </w:r>
          </w:p>
        </w:tc>
        <w:tc>
          <w:tcPr>
            <w:tcW w:type="dxa" w:w="1620"/>
            <w:tcMar>
              <w:top w:type="dxa" w:w="60"/>
              <w:left w:type="dxa" w:w="90"/>
              <w:bottom w:type="dxa" w:w="60"/>
              <w:right w:type="dxa" w:w="90"/>
            </w:tcMar>
          </w:tcPr>
          <w:p>
            <w:pPr>
              <w:spacing w:after="40" w:before="40"/>
            </w:pPr>
            <w:r>
              <w:rPr>
                <w:b w:val="false"/>
                <w:bCs w:val="false"/>
                <w:sz w:val="16"/>
                <w:szCs w:val="16"/>
              </w:rPr>
              <w:t xml:space="preserve">Printed number, bottom-centre</w:t>
            </w:r>
          </w:p>
        </w:tc>
        <w:tc>
          <w:tcPr>
            <w:tcW w:type="dxa" w:w="2900"/>
            <w:tcMar>
              <w:top w:type="dxa" w:w="60"/>
              <w:left w:type="dxa" w:w="90"/>
              <w:bottom w:type="dxa" w:w="60"/>
              <w:right w:type="dxa" w:w="90"/>
            </w:tcMar>
          </w:tcPr>
          <w:p>
            <w:pPr>
              <w:spacing w:after="40" w:before="40"/>
            </w:pPr>
            <w:r>
              <w:rPr>
                <w:b w:val="false"/>
                <w:bCs w:val="false"/>
                <w:sz w:val="16"/>
                <w:szCs w:val="16"/>
              </w:rPr>
              <w:t xml:space="preserve">Page of THIS 43-page index, as printed on the scan — not the PDF page index, and not the volume page of Col. 6. Verified to match the PDF index on pages 1–6, 22 and 43.</w:t>
            </w:r>
          </w:p>
        </w:tc>
        <w:tc>
          <w:tcPr>
            <w:tcW w:type="dxa" w:w="1500"/>
            <w:tcMar>
              <w:top w:type="dxa" w:w="60"/>
              <w:left w:type="dxa" w:w="90"/>
              <w:bottom w:type="dxa" w:w="60"/>
              <w:right w:type="dxa" w:w="90"/>
            </w:tcMar>
          </w:tcPr>
          <w:p>
            <w:pPr>
              <w:spacing w:after="40" w:before="40"/>
            </w:pPr>
            <w:r>
              <w:rPr>
                <w:b w:val="false"/>
                <w:bCs w:val="false"/>
                <w:sz w:val="16"/>
                <w:szCs w:val="16"/>
              </w:rPr>
              <w:t xml:space="preserve">Never</w:t>
            </w:r>
          </w:p>
        </w:tc>
        <w:tc>
          <w:tcPr>
            <w:tcW w:type="dxa" w:w="1600"/>
            <w:tcMar>
              <w:top w:type="dxa" w:w="60"/>
              <w:left w:type="dxa" w:w="90"/>
              <w:bottom w:type="dxa" w:w="60"/>
              <w:right w:type="dxa" w:w="90"/>
            </w:tcMar>
          </w:tcPr>
          <w:p>
            <w:pPr>
              <w:spacing w:after="40" w:before="40"/>
            </w:pPr>
            <w:r>
              <w:rPr>
                <w:b w:val="false"/>
                <w:bCs w:val="false"/>
                <w:sz w:val="16"/>
                <w:szCs w:val="16"/>
              </w:rPr>
              <w:t xml:space="preserve">22</w:t>
            </w:r>
          </w:p>
        </w:tc>
      </w:tr>
      <w:tr>
        <w:trPr>
          <w:tblHeader w:val="false"/>
        </w:trPr>
        <w:tc>
          <w:tcPr>
            <w:tcW w:type="dxa" w:w="560"/>
            <w:tcMar>
              <w:top w:type="dxa" w:w="60"/>
              <w:left w:type="dxa" w:w="90"/>
              <w:bottom w:type="dxa" w:w="60"/>
              <w:right w:type="dxa" w:w="90"/>
            </w:tcMar>
          </w:tcPr>
          <w:p>
            <w:pPr>
              <w:spacing w:after="40" w:before="40"/>
            </w:pPr>
            <w:r>
              <w:rPr>
                <w:b w:val="false"/>
                <w:bCs w:val="false"/>
                <w:sz w:val="16"/>
                <w:szCs w:val="16"/>
              </w:rPr>
              <w:t xml:space="preserve">2</w:t>
            </w:r>
          </w:p>
        </w:tc>
        <w:tc>
          <w:tcPr>
            <w:tcW w:type="dxa" w:w="1180"/>
            <w:tcMar>
              <w:top w:type="dxa" w:w="60"/>
              <w:left w:type="dxa" w:w="90"/>
              <w:bottom w:type="dxa" w:w="60"/>
              <w:right w:type="dxa" w:w="90"/>
            </w:tcMar>
          </w:tcPr>
          <w:p>
            <w:pPr>
              <w:spacing w:after="40" w:before="40"/>
            </w:pPr>
            <w:r>
              <w:rPr>
                <w:b w:val="false"/>
                <w:bCs w:val="false"/>
                <w:sz w:val="16"/>
                <w:szCs w:val="16"/>
              </w:rPr>
              <w:t xml:space="preserve">Volume No.</w:t>
            </w:r>
          </w:p>
        </w:tc>
        <w:tc>
          <w:tcPr>
            <w:tcW w:type="dxa" w:w="1620"/>
            <w:tcMar>
              <w:top w:type="dxa" w:w="60"/>
              <w:left w:type="dxa" w:w="90"/>
              <w:bottom w:type="dxa" w:w="60"/>
              <w:right w:type="dxa" w:w="90"/>
            </w:tcMar>
          </w:tcPr>
          <w:p>
            <w:pPr>
              <w:spacing w:after="40" w:before="40"/>
            </w:pPr>
            <w:r>
              <w:rPr>
                <w:b w:val="false"/>
                <w:bCs w:val="false"/>
                <w:sz w:val="16"/>
                <w:szCs w:val="16"/>
              </w:rPr>
              <w:t xml:space="preserve">“VOLUME n” heading</w:t>
            </w:r>
          </w:p>
        </w:tc>
        <w:tc>
          <w:tcPr>
            <w:tcW w:type="dxa" w:w="2900"/>
            <w:tcMar>
              <w:top w:type="dxa" w:w="60"/>
              <w:left w:type="dxa" w:w="90"/>
              <w:bottom w:type="dxa" w:w="60"/>
              <w:right w:type="dxa" w:w="90"/>
            </w:tcMar>
          </w:tcPr>
          <w:p>
            <w:pPr>
              <w:spacing w:after="40" w:before="40"/>
            </w:pPr>
            <w:r>
              <w:rPr>
                <w:b w:val="false"/>
                <w:bCs w:val="false"/>
                <w:sz w:val="16"/>
                <w:szCs w:val="16"/>
              </w:rPr>
              <w:t xml:space="preserve">Volume the entry falls under. Inherited from the nearest heading above in reading order — across column and page breaks (see 3.2). Range is 1–100.</w:t>
            </w:r>
          </w:p>
        </w:tc>
        <w:tc>
          <w:tcPr>
            <w:tcW w:type="dxa" w:w="1500"/>
            <w:tcMar>
              <w:top w:type="dxa" w:w="60"/>
              <w:left w:type="dxa" w:w="90"/>
              <w:bottom w:type="dxa" w:w="60"/>
              <w:right w:type="dxa" w:w="90"/>
            </w:tcMar>
          </w:tcPr>
          <w:p>
            <w:pPr>
              <w:spacing w:after="40" w:before="40"/>
            </w:pPr>
            <w:r>
              <w:rPr>
                <w:b w:val="false"/>
                <w:bCs w:val="false"/>
                <w:sz w:val="16"/>
                <w:szCs w:val="16"/>
              </w:rPr>
              <w:t xml:space="preserve">Never</w:t>
            </w:r>
          </w:p>
        </w:tc>
        <w:tc>
          <w:tcPr>
            <w:tcW w:type="dxa" w:w="1600"/>
            <w:tcMar>
              <w:top w:type="dxa" w:w="60"/>
              <w:left w:type="dxa" w:w="90"/>
              <w:bottom w:type="dxa" w:w="60"/>
              <w:right w:type="dxa" w:w="90"/>
            </w:tcMar>
          </w:tcPr>
          <w:p>
            <w:pPr>
              <w:spacing w:after="40" w:before="40"/>
            </w:pPr>
            <w:r>
              <w:rPr>
                <w:b w:val="false"/>
                <w:bCs w:val="false"/>
                <w:sz w:val="16"/>
                <w:szCs w:val="16"/>
              </w:rPr>
              <w:t xml:space="preserve">57</w:t>
            </w:r>
          </w:p>
        </w:tc>
      </w:tr>
      <w:tr>
        <w:trPr>
          <w:tblHeader w:val="false"/>
        </w:trPr>
        <w:tc>
          <w:tcPr>
            <w:tcW w:type="dxa" w:w="560"/>
            <w:tcMar>
              <w:top w:type="dxa" w:w="60"/>
              <w:left w:type="dxa" w:w="90"/>
              <w:bottom w:type="dxa" w:w="60"/>
              <w:right w:type="dxa" w:w="90"/>
            </w:tcMar>
          </w:tcPr>
          <w:p>
            <w:pPr>
              <w:spacing w:after="40" w:before="40"/>
            </w:pPr>
            <w:r>
              <w:rPr>
                <w:b w:val="false"/>
                <w:bCs w:val="false"/>
                <w:sz w:val="16"/>
                <w:szCs w:val="16"/>
              </w:rPr>
              <w:t xml:space="preserve">3</w:t>
            </w:r>
          </w:p>
        </w:tc>
        <w:tc>
          <w:tcPr>
            <w:tcW w:type="dxa" w:w="1180"/>
            <w:tcMar>
              <w:top w:type="dxa" w:w="60"/>
              <w:left w:type="dxa" w:w="90"/>
              <w:bottom w:type="dxa" w:w="60"/>
              <w:right w:type="dxa" w:w="90"/>
            </w:tcMar>
          </w:tcPr>
          <w:p>
            <w:pPr>
              <w:spacing w:after="40" w:before="40"/>
            </w:pPr>
            <w:r>
              <w:rPr>
                <w:b w:val="false"/>
                <w:bCs w:val="false"/>
                <w:sz w:val="16"/>
                <w:szCs w:val="16"/>
              </w:rPr>
              <w:t xml:space="preserve">Initials</w:t>
            </w:r>
          </w:p>
        </w:tc>
        <w:tc>
          <w:tcPr>
            <w:tcW w:type="dxa" w:w="1620"/>
            <w:tcMar>
              <w:top w:type="dxa" w:w="60"/>
              <w:left w:type="dxa" w:w="90"/>
              <w:bottom w:type="dxa" w:w="60"/>
              <w:right w:type="dxa" w:w="90"/>
            </w:tcMar>
          </w:tcPr>
          <w:p>
            <w:pPr>
              <w:spacing w:after="40" w:before="40"/>
            </w:pPr>
            <w:r>
              <w:rPr>
                <w:b w:val="false"/>
                <w:bCs w:val="false"/>
                <w:sz w:val="16"/>
                <w:szCs w:val="16"/>
              </w:rPr>
              <w:t xml:space="preserve">Left-hand code column</w:t>
            </w:r>
          </w:p>
        </w:tc>
        <w:tc>
          <w:tcPr>
            <w:tcW w:type="dxa" w:w="2900"/>
            <w:tcMar>
              <w:top w:type="dxa" w:w="60"/>
              <w:left w:type="dxa" w:w="90"/>
              <w:bottom w:type="dxa" w:w="60"/>
              <w:right w:type="dxa" w:w="90"/>
            </w:tcMar>
          </w:tcPr>
          <w:p>
            <w:pPr>
              <w:spacing w:after="40" w:before="40"/>
            </w:pPr>
            <w:r>
              <w:rPr>
                <w:b w:val="false"/>
                <w:bCs w:val="false"/>
                <w:sz w:val="16"/>
                <w:szCs w:val="16"/>
              </w:rPr>
              <w:t xml:space="preserve">The alphabetic code as printed, including suffix letters (–s, –t, –w, –n, –r) and forms like JTjr. A leading number is NOT included here — it goes in Col. 6.</w:t>
            </w:r>
          </w:p>
        </w:tc>
        <w:tc>
          <w:tcPr>
            <w:tcW w:type="dxa" w:w="1500"/>
            <w:tcMar>
              <w:top w:type="dxa" w:w="60"/>
              <w:left w:type="dxa" w:w="90"/>
              <w:bottom w:type="dxa" w:w="60"/>
              <w:right w:type="dxa" w:w="90"/>
            </w:tcMar>
          </w:tcPr>
          <w:p>
            <w:pPr>
              <w:spacing w:after="40" w:before="40"/>
            </w:pPr>
            <w:r>
              <w:rPr>
                <w:b w:val="false"/>
                <w:bCs w:val="false"/>
                <w:sz w:val="16"/>
                <w:szCs w:val="16"/>
              </w:rPr>
              <w:t xml:space="preserve">Never</w:t>
            </w:r>
          </w:p>
        </w:tc>
        <w:tc>
          <w:tcPr>
            <w:tcW w:type="dxa" w:w="1600"/>
            <w:tcMar>
              <w:top w:type="dxa" w:w="60"/>
              <w:left w:type="dxa" w:w="90"/>
              <w:bottom w:type="dxa" w:w="60"/>
              <w:right w:type="dxa" w:w="90"/>
            </w:tcMar>
          </w:tcPr>
          <w:p>
            <w:pPr>
              <w:spacing w:after="40" w:before="40"/>
            </w:pPr>
            <w:r>
              <w:rPr>
                <w:b w:val="false"/>
                <w:bCs w:val="false"/>
                <w:sz w:val="16"/>
                <w:szCs w:val="16"/>
              </w:rPr>
              <w:t xml:space="preserve">WB-s</w:t>
            </w:r>
          </w:p>
        </w:tc>
      </w:tr>
      <w:tr>
        <w:trPr>
          <w:tblHeader w:val="false"/>
        </w:trPr>
        <w:tc>
          <w:tcPr>
            <w:tcW w:type="dxa" w:w="560"/>
            <w:tcMar>
              <w:top w:type="dxa" w:w="60"/>
              <w:left w:type="dxa" w:w="90"/>
              <w:bottom w:type="dxa" w:w="60"/>
              <w:right w:type="dxa" w:w="90"/>
            </w:tcMar>
          </w:tcPr>
          <w:p>
            <w:pPr>
              <w:spacing w:after="40" w:before="40"/>
            </w:pPr>
            <w:r>
              <w:rPr>
                <w:b w:val="false"/>
                <w:bCs w:val="false"/>
                <w:sz w:val="16"/>
                <w:szCs w:val="16"/>
              </w:rPr>
              <w:t xml:space="preserve">4</w:t>
            </w:r>
          </w:p>
        </w:tc>
        <w:tc>
          <w:tcPr>
            <w:tcW w:type="dxa" w:w="1180"/>
            <w:tcMar>
              <w:top w:type="dxa" w:w="60"/>
              <w:left w:type="dxa" w:w="90"/>
              <w:bottom w:type="dxa" w:w="60"/>
              <w:right w:type="dxa" w:w="90"/>
            </w:tcMar>
          </w:tcPr>
          <w:p>
            <w:pPr>
              <w:spacing w:after="40" w:before="40"/>
            </w:pPr>
            <w:r>
              <w:rPr>
                <w:b w:val="false"/>
                <w:bCs w:val="false"/>
                <w:sz w:val="16"/>
                <w:szCs w:val="16"/>
              </w:rPr>
              <w:t xml:space="preserve">Name</w:t>
            </w:r>
          </w:p>
        </w:tc>
        <w:tc>
          <w:tcPr>
            <w:tcW w:type="dxa" w:w="1620"/>
            <w:tcMar>
              <w:top w:type="dxa" w:w="60"/>
              <w:left w:type="dxa" w:w="90"/>
              <w:bottom w:type="dxa" w:w="60"/>
              <w:right w:type="dxa" w:w="90"/>
            </w:tcMar>
          </w:tcPr>
          <w:p>
            <w:pPr>
              <w:spacing w:after="40" w:before="40"/>
            </w:pPr>
            <w:r>
              <w:rPr>
                <w:b w:val="false"/>
                <w:bCs w:val="false"/>
                <w:sz w:val="16"/>
                <w:szCs w:val="16"/>
              </w:rPr>
              <w:t xml:space="preserve">Middle column, when a name</w:t>
            </w:r>
          </w:p>
        </w:tc>
        <w:tc>
          <w:tcPr>
            <w:tcW w:type="dxa" w:w="2900"/>
            <w:tcMar>
              <w:top w:type="dxa" w:w="60"/>
              <w:left w:type="dxa" w:w="90"/>
              <w:bottom w:type="dxa" w:w="60"/>
              <w:right w:type="dxa" w:w="90"/>
            </w:tcMar>
          </w:tcPr>
          <w:p>
            <w:pPr>
              <w:spacing w:after="40" w:before="40"/>
            </w:pPr>
            <w:r>
              <w:rPr>
                <w:b w:val="false"/>
                <w:bCs w:val="false"/>
                <w:sz w:val="16"/>
                <w:szCs w:val="16"/>
              </w:rPr>
              <w:t xml:space="preserve">Person’s name as printed, verbatim spelling and punctuation.</w:t>
            </w:r>
          </w:p>
        </w:tc>
        <w:tc>
          <w:tcPr>
            <w:tcW w:type="dxa" w:w="1500"/>
            <w:tcMar>
              <w:top w:type="dxa" w:w="60"/>
              <w:left w:type="dxa" w:w="90"/>
              <w:bottom w:type="dxa" w:w="60"/>
              <w:right w:type="dxa" w:w="90"/>
            </w:tcMar>
          </w:tcPr>
          <w:p>
            <w:pPr>
              <w:spacing w:after="40" w:before="40"/>
            </w:pPr>
            <w:r>
              <w:rPr>
                <w:b w:val="false"/>
                <w:bCs w:val="false"/>
                <w:sz w:val="16"/>
                <w:szCs w:val="16"/>
              </w:rPr>
              <w:t xml:space="preserve">Cross-reference row, bare-code row, divider row, or misprint-only row</w:t>
            </w:r>
          </w:p>
        </w:tc>
        <w:tc>
          <w:tcPr>
            <w:tcW w:type="dxa" w:w="1600"/>
            <w:tcMar>
              <w:top w:type="dxa" w:w="60"/>
              <w:left w:type="dxa" w:w="90"/>
              <w:bottom w:type="dxa" w:w="60"/>
              <w:right w:type="dxa" w:w="90"/>
            </w:tcMar>
          </w:tcPr>
          <w:p>
            <w:pPr>
              <w:spacing w:after="40" w:before="40"/>
            </w:pPr>
            <w:r>
              <w:rPr>
                <w:b w:val="false"/>
                <w:bCs w:val="false"/>
                <w:sz w:val="16"/>
                <w:szCs w:val="16"/>
              </w:rPr>
              <w:t xml:space="preserve">Alex. B. M’Niece</w:t>
            </w:r>
          </w:p>
        </w:tc>
      </w:tr>
      <w:tr>
        <w:trPr>
          <w:tblHeader w:val="false"/>
        </w:trPr>
        <w:tc>
          <w:tcPr>
            <w:tcW w:type="dxa" w:w="560"/>
            <w:tcMar>
              <w:top w:type="dxa" w:w="60"/>
              <w:left w:type="dxa" w:w="90"/>
              <w:bottom w:type="dxa" w:w="60"/>
              <w:right w:type="dxa" w:w="90"/>
            </w:tcMar>
          </w:tcPr>
          <w:p>
            <w:pPr>
              <w:spacing w:after="40" w:before="40"/>
            </w:pPr>
            <w:r>
              <w:rPr>
                <w:b w:val="false"/>
                <w:bCs w:val="false"/>
                <w:sz w:val="16"/>
                <w:szCs w:val="16"/>
              </w:rPr>
              <w:t xml:space="preserve">5</w:t>
            </w:r>
          </w:p>
        </w:tc>
        <w:tc>
          <w:tcPr>
            <w:tcW w:type="dxa" w:w="1180"/>
            <w:tcMar>
              <w:top w:type="dxa" w:w="60"/>
              <w:left w:type="dxa" w:w="90"/>
              <w:bottom w:type="dxa" w:w="60"/>
              <w:right w:type="dxa" w:w="90"/>
            </w:tcMar>
          </w:tcPr>
          <w:p>
            <w:pPr>
              <w:spacing w:after="40" w:before="40"/>
            </w:pPr>
            <w:r>
              <w:rPr>
                <w:b w:val="false"/>
                <w:bCs w:val="false"/>
                <w:sz w:val="16"/>
                <w:szCs w:val="16"/>
              </w:rPr>
              <w:t xml:space="preserve">Locality</w:t>
            </w:r>
          </w:p>
        </w:tc>
        <w:tc>
          <w:tcPr>
            <w:tcW w:type="dxa" w:w="1620"/>
            <w:tcMar>
              <w:top w:type="dxa" w:w="60"/>
              <w:left w:type="dxa" w:w="90"/>
              <w:bottom w:type="dxa" w:w="60"/>
              <w:right w:type="dxa" w:w="90"/>
            </w:tcMar>
          </w:tcPr>
          <w:p>
            <w:pPr>
              <w:spacing w:after="40" w:before="40"/>
            </w:pPr>
            <w:r>
              <w:rPr>
                <w:b w:val="false"/>
                <w:bCs w:val="false"/>
                <w:sz w:val="16"/>
                <w:szCs w:val="16"/>
              </w:rPr>
              <w:t xml:space="preserve">Right-hand column</w:t>
            </w:r>
          </w:p>
        </w:tc>
        <w:tc>
          <w:tcPr>
            <w:tcW w:type="dxa" w:w="2900"/>
            <w:tcMar>
              <w:top w:type="dxa" w:w="60"/>
              <w:left w:type="dxa" w:w="90"/>
              <w:bottom w:type="dxa" w:w="60"/>
              <w:right w:type="dxa" w:w="90"/>
            </w:tcMar>
          </w:tcPr>
          <w:p>
            <w:pPr>
              <w:spacing w:after="40" w:before="40"/>
            </w:pPr>
            <w:r>
              <w:rPr>
                <w:b w:val="false"/>
                <w:bCs w:val="false"/>
                <w:sz w:val="16"/>
                <w:szCs w:val="16"/>
              </w:rPr>
              <w:t xml:space="preserve">Town/city as printed. Keep multi-place text intact; do not split into two cells.</w:t>
            </w:r>
          </w:p>
        </w:tc>
        <w:tc>
          <w:tcPr>
            <w:tcW w:type="dxa" w:w="1500"/>
            <w:tcMar>
              <w:top w:type="dxa" w:w="60"/>
              <w:left w:type="dxa" w:w="90"/>
              <w:bottom w:type="dxa" w:w="60"/>
              <w:right w:type="dxa" w:w="90"/>
            </w:tcMar>
          </w:tcPr>
          <w:p>
            <w:pPr>
              <w:spacing w:after="40" w:before="40"/>
            </w:pPr>
            <w:r>
              <w:rPr>
                <w:b w:val="false"/>
                <w:bCs w:val="false"/>
                <w:sz w:val="16"/>
                <w:szCs w:val="16"/>
              </w:rPr>
              <w:t xml:space="preserve">Not printed, or row is a cross-reference / bare code / divider</w:t>
            </w:r>
          </w:p>
        </w:tc>
        <w:tc>
          <w:tcPr>
            <w:tcW w:type="dxa" w:w="1600"/>
            <w:tcMar>
              <w:top w:type="dxa" w:w="60"/>
              <w:left w:type="dxa" w:w="90"/>
              <w:bottom w:type="dxa" w:w="60"/>
              <w:right w:type="dxa" w:w="90"/>
            </w:tcMar>
          </w:tcPr>
          <w:p>
            <w:pPr>
              <w:spacing w:after="40" w:before="40"/>
            </w:pPr>
            <w:r>
              <w:rPr>
                <w:b w:val="false"/>
                <w:bCs w:val="false"/>
                <w:sz w:val="16"/>
                <w:szCs w:val="16"/>
              </w:rPr>
              <w:t xml:space="preserve">N.Y., Staten Is.</w:t>
            </w:r>
          </w:p>
        </w:tc>
      </w:tr>
      <w:tr>
        <w:trPr>
          <w:tblHeader w:val="false"/>
        </w:trPr>
        <w:tc>
          <w:tcPr>
            <w:tcW w:type="dxa" w:w="560"/>
            <w:tcMar>
              <w:top w:type="dxa" w:w="60"/>
              <w:left w:type="dxa" w:w="90"/>
              <w:bottom w:type="dxa" w:w="60"/>
              <w:right w:type="dxa" w:w="90"/>
            </w:tcMar>
          </w:tcPr>
          <w:p>
            <w:pPr>
              <w:spacing w:after="40" w:before="40"/>
            </w:pPr>
            <w:r>
              <w:rPr>
                <w:b w:val="false"/>
                <w:bCs w:val="false"/>
                <w:sz w:val="16"/>
                <w:szCs w:val="16"/>
              </w:rPr>
              <w:t xml:space="preserve">6</w:t>
            </w:r>
          </w:p>
        </w:tc>
        <w:tc>
          <w:tcPr>
            <w:tcW w:type="dxa" w:w="1180"/>
            <w:tcMar>
              <w:top w:type="dxa" w:w="60"/>
              <w:left w:type="dxa" w:w="90"/>
              <w:bottom w:type="dxa" w:w="60"/>
              <w:right w:type="dxa" w:w="90"/>
            </w:tcMar>
          </w:tcPr>
          <w:p>
            <w:pPr>
              <w:spacing w:after="40" w:before="40"/>
            </w:pPr>
            <w:r>
              <w:rPr>
                <w:b w:val="false"/>
                <w:bCs w:val="false"/>
                <w:sz w:val="16"/>
                <w:szCs w:val="16"/>
              </w:rPr>
              <w:t xml:space="preserve">Page Number(s)</w:t>
            </w:r>
          </w:p>
        </w:tc>
        <w:tc>
          <w:tcPr>
            <w:tcW w:type="dxa" w:w="1620"/>
            <w:tcMar>
              <w:top w:type="dxa" w:w="60"/>
              <w:left w:type="dxa" w:w="90"/>
              <w:bottom w:type="dxa" w:w="60"/>
              <w:right w:type="dxa" w:w="90"/>
            </w:tcMar>
          </w:tcPr>
          <w:p>
            <w:pPr>
              <w:spacing w:after="40" w:before="40"/>
            </w:pPr>
            <w:r>
              <w:rPr>
                <w:b w:val="false"/>
                <w:bCs w:val="false"/>
                <w:sz w:val="16"/>
                <w:szCs w:val="16"/>
              </w:rPr>
              <w:t xml:space="preserve">Before the code, OR in the Name slot</w:t>
            </w:r>
          </w:p>
        </w:tc>
        <w:tc>
          <w:tcPr>
            <w:tcW w:type="dxa" w:w="2900"/>
            <w:tcMar>
              <w:top w:type="dxa" w:w="60"/>
              <w:left w:type="dxa" w:w="90"/>
              <w:bottom w:type="dxa" w:w="60"/>
              <w:right w:type="dxa" w:w="90"/>
            </w:tcMar>
          </w:tcPr>
          <w:p>
            <w:pPr>
              <w:spacing w:after="40" w:before="40"/>
            </w:pPr>
            <w:r>
              <w:rPr>
                <w:b w:val="false"/>
                <w:bCs w:val="false"/>
                <w:sz w:val="16"/>
                <w:szCs w:val="16"/>
              </w:rPr>
              <w:t xml:space="preserve">MERGED in v2.2 from the former Cross-Ref No. and Ref Prefix. The page(s) of the PHYSICAL VOLUME on which this code occurs; comma-separated when more than one. Where it preceded the code, Col. 7 records the printed form.</w:t>
            </w:r>
          </w:p>
        </w:tc>
        <w:tc>
          <w:tcPr>
            <w:tcW w:type="dxa" w:w="1500"/>
            <w:tcMar>
              <w:top w:type="dxa" w:w="60"/>
              <w:left w:type="dxa" w:w="90"/>
              <w:bottom w:type="dxa" w:w="60"/>
              <w:right w:type="dxa" w:w="90"/>
            </w:tcMar>
          </w:tcPr>
          <w:p>
            <w:pPr>
              <w:spacing w:after="40" w:before="40"/>
            </w:pPr>
            <w:r>
              <w:rPr>
                <w:b w:val="false"/>
                <w:bCs w:val="false"/>
                <w:sz w:val="16"/>
                <w:szCs w:val="16"/>
              </w:rPr>
              <w:t xml:space="preserve">No number printed</w:t>
            </w:r>
          </w:p>
        </w:tc>
        <w:tc>
          <w:tcPr>
            <w:tcW w:type="dxa" w:w="1600"/>
            <w:tcMar>
              <w:top w:type="dxa" w:w="60"/>
              <w:left w:type="dxa" w:w="90"/>
              <w:bottom w:type="dxa" w:w="60"/>
              <w:right w:type="dxa" w:w="90"/>
            </w:tcMar>
          </w:tcPr>
          <w:p>
            <w:pPr>
              <w:spacing w:after="40" w:before="40"/>
            </w:pPr>
            <w:r>
              <w:rPr>
                <w:b w:val="false"/>
                <w:bCs w:val="false"/>
                <w:sz w:val="16"/>
                <w:szCs w:val="16"/>
              </w:rPr>
              <w:t xml:space="preserve">293   ·   189, 347</w:t>
            </w:r>
          </w:p>
        </w:tc>
      </w:tr>
      <w:tr>
        <w:trPr>
          <w:tblHeader w:val="false"/>
        </w:trPr>
        <w:tc>
          <w:tcPr>
            <w:tcW w:type="dxa" w:w="560"/>
            <w:tcMar>
              <w:top w:type="dxa" w:w="60"/>
              <w:left w:type="dxa" w:w="90"/>
              <w:bottom w:type="dxa" w:w="60"/>
              <w:right w:type="dxa" w:w="90"/>
            </w:tcMar>
          </w:tcPr>
          <w:p>
            <w:pPr>
              <w:spacing w:after="40" w:before="40"/>
            </w:pPr>
            <w:r>
              <w:rPr>
                <w:b w:val="false"/>
                <w:bCs w:val="false"/>
                <w:sz w:val="16"/>
                <w:szCs w:val="16"/>
              </w:rPr>
              <w:t xml:space="preserve">7</w:t>
            </w:r>
          </w:p>
        </w:tc>
        <w:tc>
          <w:tcPr>
            <w:tcW w:type="dxa" w:w="1180"/>
            <w:tcMar>
              <w:top w:type="dxa" w:w="60"/>
              <w:left w:type="dxa" w:w="90"/>
              <w:bottom w:type="dxa" w:w="60"/>
              <w:right w:type="dxa" w:w="90"/>
            </w:tcMar>
          </w:tcPr>
          <w:p>
            <w:pPr>
              <w:spacing w:after="40" w:before="40"/>
            </w:pPr>
            <w:r>
              <w:rPr>
                <w:b w:val="false"/>
                <w:bCs w:val="false"/>
                <w:sz w:val="16"/>
                <w:szCs w:val="16"/>
              </w:rPr>
              <w:t xml:space="preserve">Notes</w:t>
            </w:r>
          </w:p>
        </w:tc>
        <w:tc>
          <w:tcPr>
            <w:tcW w:type="dxa" w:w="1620"/>
            <w:tcMar>
              <w:top w:type="dxa" w:w="60"/>
              <w:left w:type="dxa" w:w="90"/>
              <w:bottom w:type="dxa" w:w="60"/>
              <w:right w:type="dxa" w:w="90"/>
            </w:tcMar>
          </w:tcPr>
          <w:p>
            <w:pPr>
              <w:spacing w:after="40" w:before="40"/>
            </w:pPr>
            <w:r>
              <w:rPr>
                <w:b w:val="false"/>
                <w:bCs w:val="false"/>
                <w:sz w:val="16"/>
                <w:szCs w:val="16"/>
              </w:rPr>
              <w:t xml:space="preserve">( ), ?, “or”, misprint asides, row-type flags</w:t>
            </w:r>
          </w:p>
        </w:tc>
        <w:tc>
          <w:tcPr>
            <w:tcW w:type="dxa" w:w="2900"/>
            <w:tcMar>
              <w:top w:type="dxa" w:w="60"/>
              <w:left w:type="dxa" w:w="90"/>
              <w:bottom w:type="dxa" w:w="60"/>
              <w:right w:type="dxa" w:w="90"/>
            </w:tcMar>
          </w:tcPr>
          <w:p>
            <w:pPr>
              <w:spacing w:after="40" w:before="40"/>
            </w:pPr>
            <w:r>
              <w:rPr>
                <w:b w:val="false"/>
                <w:bCs w:val="false"/>
                <w:sz w:val="16"/>
                <w:szCs w:val="16"/>
              </w:rPr>
              <w:t xml:space="preserve">Verbatim capture of editorial marks stripped out of Cols. 4–5, the structural flags of 3.6–3.8 and 3.10a, and the printed position of the page number.</w:t>
            </w:r>
          </w:p>
        </w:tc>
        <w:tc>
          <w:tcPr>
            <w:tcW w:type="dxa" w:w="1500"/>
            <w:tcMar>
              <w:top w:type="dxa" w:w="60"/>
              <w:left w:type="dxa" w:w="90"/>
              <w:bottom w:type="dxa" w:w="60"/>
              <w:right w:type="dxa" w:w="90"/>
            </w:tcMar>
          </w:tcPr>
          <w:p>
            <w:pPr>
              <w:spacing w:after="40" w:before="40"/>
            </w:pPr>
            <w:r>
              <w:rPr>
                <w:b w:val="false"/>
                <w:bCs w:val="false"/>
                <w:sz w:val="16"/>
                <w:szCs w:val="16"/>
              </w:rPr>
              <w:t xml:space="preserve">Nothing unusual printed</w:t>
            </w:r>
          </w:p>
        </w:tc>
        <w:tc>
          <w:tcPr>
            <w:tcW w:type="dxa" w:w="1600"/>
            <w:tcMar>
              <w:top w:type="dxa" w:w="60"/>
              <w:left w:type="dxa" w:w="90"/>
              <w:bottom w:type="dxa" w:w="60"/>
              <w:right w:type="dxa" w:w="90"/>
            </w:tcMar>
          </w:tcPr>
          <w:p>
            <w:pPr>
              <w:spacing w:after="40" w:before="40"/>
            </w:pPr>
            <w:r>
              <w:rPr>
                <w:b w:val="false"/>
                <w:bCs w:val="false"/>
                <w:sz w:val="16"/>
                <w:szCs w:val="16"/>
              </w:rPr>
              <w:t xml:space="preserve">misprint for JRK</w:t>
            </w:r>
          </w:p>
        </w:tc>
      </w:tr>
    </w:tbl>
    <w:p>
      <w:pPr>
        <w:spacing w:after="200" w:line="276"/>
      </w:pPr>
      <w:r>
        <w:rPr>
          <w:sz w:val="20"/>
          <w:szCs w:val="20"/>
        </w:rPr>
        <w:t xml:space="preserve"/>
      </w:r>
    </w:p>
    <w:p>
      <w:pPr>
        <w:pStyle w:val="Heading1"/>
        <w:spacing w:after="160" w:before="320"/>
      </w:pPr>
      <w:r>
        <w:t xml:space="preserve">3. Parsing rules</w:t>
      </w:r>
    </w:p>
    <w:p>
      <w:pPr>
        <w:pStyle w:val="Heading2"/>
        <w:spacing w:after="120" w:before="240"/>
      </w:pPr>
      <w:r>
        <w:t xml:space="preserve">3.1 Page number</w:t>
      </w:r>
    </w:p>
    <w:p>
      <w:pPr>
        <w:spacing w:after="120" w:line="276"/>
      </w:pPr>
      <w:r>
        <w:rPr>
          <w:sz w:val="20"/>
          <w:szCs w:val="20"/>
        </w:rPr>
        <w:t xml:space="preserve">Use the number printed at the bottom-centre of each physical page, not the PDF’s internal page index. These were confirmed to agree on pages 1, 2, 22 and 43, so there is no title-page offset; the printed number remains the source of truth if a scan is missing or duplicated.</w:t>
      </w:r>
    </w:p>
    <w:p>
      <w:pPr>
        <w:pStyle w:val="Heading2"/>
        <w:spacing w:after="120" w:before="240"/>
      </w:pPr>
      <w:r>
        <w:t xml:space="preserve">3.2 Page layout, reading order and volume inheritance — CHANGED</w:t>
      </w:r>
    </w:p>
    <w:p>
      <w:pPr>
        <w:spacing w:after="120" w:line="276"/>
      </w:pPr>
      <w:r>
        <w:rPr>
          <w:b/>
          <w:bCs/>
          <w:sz w:val="20"/>
          <w:szCs w:val="20"/>
        </w:rPr>
        <w:t xml:space="preserve">Each page is set in three physical text columns side by side.</w:t>
      </w:r>
      <w:r>
        <w:rPr>
          <w:sz w:val="20"/>
          <w:szCs w:val="20"/>
        </w:rPr>
        <w:t xml:space="preserve"> Each column runs its own Initials / Name / Locality triplet down the page. Volume headings appear wherever the next volume happens to start — part-way down a column, or at the top of one.</w:t>
      </w:r>
    </w:p>
    <w:p>
      <w:pPr>
        <w:spacing w:after="120" w:line="276"/>
      </w:pPr>
      <w:r>
        <w:rPr>
          <w:b/>
          <w:bCs/>
          <w:sz w:val="20"/>
          <w:szCs w:val="20"/>
        </w:rPr>
        <w:t xml:space="preserve">Reading order is column-major: </w:t>
      </w:r>
      <w:r>
        <w:rPr>
          <w:sz w:val="20"/>
          <w:szCs w:val="20"/>
        </w:rPr>
        <w:t xml:space="preserve">down column 1 to its foot, then down column 2, then down column 3, then on to the next page.</w:t>
      </w:r>
    </w:p>
    <w:p>
      <w:pPr>
        <w:spacing w:after="120" w:line="276"/>
      </w:pPr>
      <w:r>
        <w:rPr>
          <w:b/>
          <w:bCs/>
          <w:sz w:val="20"/>
          <w:szCs w:val="20"/>
        </w:rPr>
        <w:t xml:space="preserve">A volume runs on until the next “VOLUME n” heading, across column boundaries and across page boundaries.</w:t>
      </w:r>
      <w:r>
        <w:rPr>
          <w:sz w:val="20"/>
          <w:szCs w:val="20"/>
        </w:rPr>
        <w:t xml:space="preserve"> Entries at the top of a column with no heading above them belong to the volume still running from the foot of the previous column — or, at the top of column 1, from the foot of column 3 on the previous page.</w:t>
      </w:r>
    </w:p>
    <w:p>
      <w:pPr>
        <w:spacing w:after="120" w:line="276"/>
      </w:pPr>
      <w:r>
        <w:rPr>
          <w:i/>
          <w:iCs/>
          <w:sz w:val="20"/>
          <w:szCs w:val="20"/>
        </w:rPr>
        <w:t xml:space="preserve">Evidence (page 2): </w:t>
      </w:r>
      <w:r>
        <w:rPr>
          <w:sz w:val="20"/>
          <w:szCs w:val="20"/>
        </w:rPr>
        <w:t xml:space="preserve">column 1 opens mid-Volume 5, carried over from page 1 column 3; VOLUME 6 then heads column 1, VOLUME 7 column 2, and VOLUME 8 column 3. Page 22 shows the same pattern, with VOLUME 56 beginning at the foot of column 1, continuing through column 2, and VOLUME 57 opening at the top of column 3.</w:t>
      </w:r>
    </w:p>
    <w:p>
      <w:pPr>
        <w:pStyle w:val="Heading2"/>
        <w:spacing w:after="120" w:before="240"/>
      </w:pPr>
      <w:r>
        <w:t xml:space="preserve">3.3 Ordinary entry rows</w:t>
      </w:r>
    </w:p>
    <w:p>
      <w:pPr>
        <w:spacing w:after="120" w:line="276"/>
      </w:pPr>
      <w:r>
        <w:rPr>
          <w:sz w:val="20"/>
          <w:szCs w:val="20"/>
        </w:rPr>
        <w:t xml:space="preserve">Most rows read as [Initials] [Name] [Locality], e.g. “WHF  William H. Forster  Toronto”. Transcribe Initials and Name verbatim, including punctuation, periods and apostrophes (e.g. “Alex. B. M’Niece”, “H. d’Arcy Champney”). Locality abbreviations are transcribed as printed — “Ldn, Streatham”, “N.Y., Staten Is.”, “Stow on the Wold”, “Newcastle-u-T.” — not expanded.</w:t>
      </w:r>
    </w:p>
    <w:p>
      <w:pPr>
        <w:spacing w:after="120" w:line="276"/>
      </w:pPr>
      <w:r>
        <w:rPr>
          <w:sz w:val="20"/>
          <w:szCs w:val="20"/>
        </w:rPr>
        <w:t xml:space="preserve">Suffixed codes (WB-s, WB-t, WB-w, GWH-n, AM-r, JT-r, JTjr) keep their suffix exactly as printed in Col. 3. Single letters are valid codes in their own right — “V  Dr Geo A van Someren”, “Y  George Young”, “L  97”, “K  359” — and must not be mistaken for the divider letters of §3.7.</w:t>
      </w:r>
    </w:p>
    <w:p>
      <w:pPr>
        <w:pStyle w:val="Heading2"/>
        <w:spacing w:after="120" w:before="240"/>
      </w:pPr>
      <w:r>
        <w:t xml:space="preserve">3.4 Page numbers — CHANGED (v2.2: Cols. 6 and 8 merged)</w:t>
      </w:r>
    </w:p>
    <w:p>
      <w:pPr>
        <w:spacing w:after="120" w:line="276"/>
      </w:pPr>
      <w:r>
        <w:rPr>
          <w:sz w:val="20"/>
          <w:szCs w:val="20"/>
        </w:rPr>
        <w:t xml:space="preserve">A number printed against a code is the </w:t>
      </w:r>
      <w:r>
        <w:rPr>
          <w:b/>
          <w:bCs/>
          <w:sz w:val="20"/>
          <w:szCs w:val="20"/>
        </w:rPr>
        <w:t xml:space="preserve">page of the physical volume</w:t>
      </w:r>
      <w:r>
        <w:rPr>
          <w:sz w:val="20"/>
          <w:szCs w:val="20"/>
        </w:rPr>
        <w:t xml:space="preserve"> on which that code occurs — not a cross-reference to another entry. It appears in two positions, and the position is dictated purely by whether the Name column is free:</w:t>
      </w:r>
    </w:p>
    <w:p>
      <w:pPr>
        <w:pStyle w:val="ListParagraph"/>
        <w:numPr>
          <w:ilvl w:val="0"/>
          <w:numId w:val="1"/>
        </w:numPr>
        <w:spacing w:after="80" w:line="276"/>
      </w:pPr>
      <w:r>
        <w:rPr>
          <w:b/>
          <w:bCs/>
          <w:sz w:val="20"/>
          <w:szCs w:val="20"/>
        </w:rPr>
        <w:t xml:space="preserve">In the Name slot,</w:t>
      </w:r>
      <w:r>
        <w:rPr>
          <w:sz w:val="20"/>
          <w:szCs w:val="20"/>
        </w:rPr>
        <w:t xml:space="preserve"> when the contributor is unidentified: “CC  445”, “JHC  407”, “E  117”, “JTH  151”.</w:t>
      </w:r>
    </w:p>
    <w:p>
      <w:pPr>
        <w:pStyle w:val="ListParagraph"/>
        <w:numPr>
          <w:ilvl w:val="0"/>
          <w:numId w:val="1"/>
        </w:numPr>
        <w:spacing w:after="80" w:line="276"/>
      </w:pPr>
      <w:r>
        <w:rPr>
          <w:b/>
          <w:bCs/>
          <w:sz w:val="20"/>
          <w:szCs w:val="20"/>
        </w:rPr>
        <w:t xml:space="preserve">Immediately before the code,</w:t>
      </w:r>
      <w:r>
        <w:rPr>
          <w:sz w:val="20"/>
          <w:szCs w:val="20"/>
        </w:rPr>
        <w:t xml:space="preserve"> when the contributor is named and the Name column is therefore occupied: “293RG  Robert S. Gribbon  Belfast”, “266EH  Elliott E. Hoyte  New York”, “154JS  John Smith  New York”, and the spaced variants “4 HB”, “2 JS”, “38 EM”.</w:t>
      </w:r>
    </w:p>
    <w:p>
      <w:pPr>
        <w:spacing w:after="120" w:line="276"/>
      </w:pPr>
      <w:r>
        <w:rPr>
          <w:b/>
          <w:bCs/>
          <w:sz w:val="20"/>
          <w:szCs w:val="20"/>
        </w:rPr>
        <w:t xml:space="preserve">Both go in Col. 6.</w:t>
      </w:r>
      <w:r>
        <w:rPr>
          <w:sz w:val="20"/>
          <w:szCs w:val="20"/>
        </w:rPr>
        <w:t xml:space="preserve"> Where the number preceded the code, Col. 7 records the printed form (</w:t>
      </w:r>
      <w:r>
        <w:rPr>
          <w:rFonts w:ascii="Consolas" w:cs="Consolas" w:eastAsia="Consolas" w:hAnsi="Consolas"/>
          <w:sz w:val="18"/>
          <w:szCs w:val="18"/>
        </w:rPr>
        <w:t xml:space="preserve">page number printed before the code, as “293RG”</w:t>
      </w:r>
      <w:r>
        <w:rPr>
          <w:sz w:val="20"/>
          <w:szCs w:val="20"/>
        </w:rPr>
        <w:t xml:space="preserve">) so the typography is not lost. Col. 3 always holds the alphabetic part alone, so codes group correctly when sorted.</w:t>
      </w:r>
    </w:p>
    <w:p>
      <w:pPr>
        <w:spacing w:after="120" w:line="276"/>
      </w:pPr>
      <w:r>
        <w:rPr>
          <w:b/>
          <w:bCs/>
          <w:sz w:val="20"/>
          <w:szCs w:val="20"/>
        </w:rPr>
        <w:t xml:space="preserve">Evidence for the merge. </w:t>
      </w:r>
      <w:r>
        <w:rPr>
          <w:sz w:val="20"/>
          <w:szCs w:val="20"/>
        </w:rPr>
        <w:t xml:space="preserve">Across the 1,256 rows of pages 1–6 the two positions are in strict complementary distribution: every one of the numbers printed before a code has a name beside it, and </w:t>
      </w:r>
      <w:r>
        <w:rPr>
          <w:b/>
          <w:bCs/>
          <w:sz w:val="20"/>
          <w:szCs w:val="20"/>
        </w:rPr>
        <w:t xml:space="preserve">not one</w:t>
      </w:r>
      <w:r>
        <w:rPr>
          <w:sz w:val="20"/>
          <w:szCs w:val="20"/>
        </w:rPr>
        <w:t xml:space="preserve"> of the numbers printed in the Name slot does. No row carries both. That is one datum in two positions, not two data. The ranges also overlap and are of the same order, roughly 2–494.</w:t>
      </w:r>
    </w:p>
    <w:p>
      <w:pPr>
        <w:spacing w:after="120" w:line="276"/>
      </w:pPr>
      <w:r>
        <w:rPr>
          <w:b/>
          <w:bCs/>
          <w:sz w:val="20"/>
          <w:szCs w:val="20"/>
        </w:rPr>
        <w:t xml:space="preserve">Status: hypothesis, not yet confirmed against a physical volume.</w:t>
      </w:r>
      <w:r>
        <w:rPr>
          <w:sz w:val="20"/>
          <w:szCs w:val="20"/>
        </w:rPr>
        <w:t xml:space="preserve"> The Volumes sheet records the highest page number seen per volume so it can be checked: Volume 4 should run to at least 494 pages, Volume 9 to 486, Volume 5 to 460. If a volume proves far shorter the reading is wrong, and the column can be renamed without re-transcribing — nothing has been discarded.</w:t>
      </w:r>
    </w:p>
    <w:p>
      <w:pPr>
        <w:spacing w:after="120" w:line="276"/>
      </w:pPr>
      <w:r>
        <w:rPr>
          <w:b/>
          <w:bCs/>
          <w:sz w:val="20"/>
          <w:szCs w:val="20"/>
        </w:rPr>
        <w:t xml:space="preserve">Do not attempt to resolve or interpret the numbers</w:t>
      </w:r>
      <w:r>
        <w:rPr>
          <w:sz w:val="20"/>
          <w:szCs w:val="20"/>
        </w:rPr>
        <w:t xml:space="preserve"> beyond recording them.</w:t>
      </w:r>
    </w:p>
    <w:p>
      <w:pPr>
        <w:pStyle w:val="Heading2"/>
        <w:spacing w:after="120" w:before="240"/>
      </w:pPr>
      <w:r>
        <w:t xml:space="preserve">3.5 (folded into 3.4 in v2.2)</w:t>
      </w:r>
    </w:p>
    <w:p>
      <w:pPr>
        <w:spacing w:after="120" w:line="276"/>
      </w:pPr>
      <w:r>
        <w:rPr>
          <w:i/>
          <w:iCs/>
          <w:sz w:val="20"/>
          <w:szCs w:val="20"/>
        </w:rPr>
        <w:t xml:space="preserve">v2 treated the number printed before a code as a datum of its own in Col. 8. v2.2 merges it into §3.4. A code carrying such a number may have a full entry (“266EH  Elliott E. Hoyte  New York”) or nothing at all (“372AM”, “418AM”, “38 EM”); in the latter case apply §3.6 as well.</w:t>
      </w:r>
    </w:p>
    <w:p>
      <w:pPr>
        <w:pStyle w:val="Heading2"/>
        <w:spacing w:after="120" w:before="240"/>
      </w:pPr>
      <w:r>
        <w:t xml:space="preserve">3.6 Bare-code rows — NEW</w:t>
      </w:r>
    </w:p>
    <w:p>
      <w:pPr>
        <w:spacing w:after="120" w:line="276"/>
      </w:pPr>
      <w:r>
        <w:rPr>
          <w:sz w:val="20"/>
          <w:szCs w:val="20"/>
        </w:rPr>
        <w:t xml:space="preserve">Some lines print a code and nothing else — no name, no locality, no cross-reference number. Observed: HCA, ARC, JC, GAD, CFM, PR and a bare G, among others.</w:t>
      </w:r>
    </w:p>
    <w:p>
      <w:pPr>
        <w:spacing w:after="120" w:line="276"/>
      </w:pPr>
      <w:r>
        <w:rPr>
          <w:b/>
          <w:bCs/>
          <w:sz w:val="20"/>
          <w:szCs w:val="20"/>
        </w:rPr>
        <w:t xml:space="preserve">Keep these as rows.</w:t>
      </w:r>
      <w:r>
        <w:rPr>
          <w:sz w:val="20"/>
          <w:szCs w:val="20"/>
        </w:rPr>
        <w:t xml:space="preserve"> Cols. 4, 5 and 6 stay blank, and Col. 7 reads </w:t>
      </w:r>
      <w:r>
        <w:rPr>
          <w:rFonts w:ascii="Consolas" w:cs="Consolas" w:eastAsia="Consolas" w:hAnsi="Consolas"/>
          <w:sz w:val="18"/>
          <w:szCs w:val="18"/>
        </w:rPr>
        <w:t xml:space="preserve">code printed with no name or locality</w:t>
      </w:r>
      <w:r>
        <w:rPr>
          <w:sz w:val="20"/>
          <w:szCs w:val="20"/>
        </w:rPr>
        <w:t xml:space="preserve">. Retaining them means the transcribed row count per page matches the printed page exactly, which is what makes the §6.2 row-count check meaningful.</w:t>
      </w:r>
    </w:p>
    <w:p>
      <w:pPr>
        <w:pStyle w:val="Heading2"/>
        <w:spacing w:after="120" w:before="240"/>
      </w:pPr>
      <w:r>
        <w:t xml:space="preserve">3.7 Alphabetical divider letters — NEW</w:t>
      </w:r>
    </w:p>
    <w:p>
      <w:pPr>
        <w:spacing w:after="120" w:line="276"/>
      </w:pPr>
      <w:r>
        <w:rPr>
          <w:sz w:val="20"/>
          <w:szCs w:val="20"/>
        </w:rPr>
        <w:t xml:space="preserve">On the Volume 100 page, single letters (J, P, S, D) appear alone on a line exactly where the surname alphabet turns over — “J” immediately above Jerrard, Johnstone and Johnson; “P” above Pilgrim, Pfingst, Parker, Phillips, Parry, Pollock and Powell. These are almost certainly A–Z dividers for the consolidated index, not entries.</w:t>
      </w:r>
    </w:p>
    <w:p>
      <w:pPr>
        <w:spacing w:after="120" w:line="276"/>
      </w:pPr>
      <w:r>
        <w:rPr>
          <w:b/>
          <w:bCs/>
          <w:sz w:val="20"/>
          <w:szCs w:val="20"/>
        </w:rPr>
        <w:t xml:space="preserve">Keep these as rows too,</w:t>
      </w:r>
      <w:r>
        <w:rPr>
          <w:sz w:val="20"/>
          <w:szCs w:val="20"/>
        </w:rPr>
        <w:t xml:space="preserve"> with Cols. 4–6 blank and Col. 7 reading </w:t>
      </w:r>
      <w:r>
        <w:rPr>
          <w:rFonts w:ascii="Consolas" w:cs="Consolas" w:eastAsia="Consolas" w:hAnsi="Consolas"/>
          <w:sz w:val="18"/>
          <w:szCs w:val="18"/>
        </w:rPr>
        <w:t xml:space="preserve">appears to be alphabetical divider, not an entry</w:t>
      </w:r>
      <w:r>
        <w:rPr>
          <w:sz w:val="20"/>
          <w:szCs w:val="20"/>
        </w:rPr>
        <w:t xml:space="preserve">. Flagging rather than deleting means the judgement stays visible and reversible: filtering Col. 7 removes them from any analysis in one step, whereas a deleted row cannot be recovered without going back to the scan.</w:t>
      </w:r>
    </w:p>
    <w:p>
      <w:pPr>
        <w:spacing w:after="120" w:line="276"/>
      </w:pPr>
      <w:r>
        <w:rPr>
          <w:b/>
          <w:bCs/>
          <w:sz w:val="20"/>
          <w:szCs w:val="20"/>
        </w:rPr>
        <w:t xml:space="preserve">Distinguishing a divider from a real single-letter code: </w:t>
      </w:r>
      <w:r>
        <w:rPr>
          <w:sz w:val="20"/>
          <w:szCs w:val="20"/>
        </w:rPr>
        <w:t xml:space="preserve">a divider sits at an alphabet transition and carries no name, no locality and no number. A single-letter code carries at least one of those (“Y  George Young  Stow on the Wold”, “L  97”). Where the two readings are genuinely inseparable, transcribe as a bare code per §3.6 and say so in Col. 7 rather than guessing.</w:t>
      </w:r>
    </w:p>
    <w:p>
      <w:pPr>
        <w:pStyle w:val="Heading2"/>
        <w:spacing w:after="120" w:before="240"/>
      </w:pPr>
      <w:r>
        <w:t xml:space="preserve">3.8 Multi-person codes grouped by place — NEW</w:t>
      </w:r>
    </w:p>
    <w:p>
      <w:pPr>
        <w:spacing w:after="120" w:line="276"/>
      </w:pPr>
      <w:r>
        <w:rPr>
          <w:sz w:val="20"/>
          <w:szCs w:val="20"/>
        </w:rPr>
        <w:t xml:space="preserve">One code can cover several people, grouped under place sub-headings. Page 43 prints:</w:t>
      </w:r>
    </w:p>
    <w:p>
      <w:pPr>
        <w:spacing w:after="0" w:line="276"/>
        <w:ind w:left="520"/>
      </w:pPr>
      <w:r>
        <w:rPr>
          <w:rFonts w:ascii="Consolas" w:cs="Consolas" w:eastAsia="Consolas" w:hAnsi="Consolas"/>
          <w:sz w:val="18"/>
          <w:szCs w:val="18"/>
        </w:rPr>
        <w:t xml:space="preserve">FW    Cambridge:</w:t>
      </w:r>
    </w:p>
    <w:p>
      <w:pPr>
        <w:spacing w:after="0" w:line="276"/>
        <w:ind w:left="520"/>
      </w:pPr>
      <w:r>
        <w:rPr>
          <w:rFonts w:ascii="Consolas" w:cs="Consolas" w:eastAsia="Consolas" w:hAnsi="Consolas"/>
          <w:sz w:val="18"/>
          <w:szCs w:val="18"/>
        </w:rPr>
        <w:t xml:space="preserve">        Frank G. Ward        Stowmarket</w:t>
      </w:r>
    </w:p>
    <w:p>
      <w:pPr>
        <w:spacing w:after="0" w:line="276"/>
        <w:ind w:left="520"/>
      </w:pPr>
      <w:r>
        <w:rPr>
          <w:rFonts w:ascii="Consolas" w:cs="Consolas" w:eastAsia="Consolas" w:hAnsi="Consolas"/>
          <w:sz w:val="18"/>
          <w:szCs w:val="18"/>
        </w:rPr>
        <w:t xml:space="preserve">      Evesham:</w:t>
      </w:r>
    </w:p>
    <w:p>
      <w:pPr>
        <w:spacing w:after="0" w:line="276"/>
        <w:ind w:left="520"/>
      </w:pPr>
      <w:r>
        <w:rPr>
          <w:rFonts w:ascii="Consolas" w:cs="Consolas" w:eastAsia="Consolas" w:hAnsi="Consolas"/>
          <w:sz w:val="18"/>
          <w:szCs w:val="18"/>
        </w:rPr>
        <w:t xml:space="preserve">        Frederick Walton     Malvern</w:t>
      </w:r>
    </w:p>
    <w:p>
      <w:pPr>
        <w:spacing w:after="0" w:line="276"/>
        <w:ind w:left="520"/>
      </w:pPr>
      <w:r>
        <w:rPr>
          <w:rFonts w:ascii="Consolas" w:cs="Consolas" w:eastAsia="Consolas" w:hAnsi="Consolas"/>
          <w:sz w:val="18"/>
          <w:szCs w:val="18"/>
        </w:rPr>
        <w:t xml:space="preserve">      Norwich:</w:t>
      </w:r>
    </w:p>
    <w:p>
      <w:pPr>
        <w:spacing w:after="120" w:line="276"/>
        <w:ind w:left="520"/>
      </w:pPr>
      <w:r>
        <w:rPr>
          <w:rFonts w:ascii="Consolas" w:cs="Consolas" w:eastAsia="Consolas" w:hAnsi="Consolas"/>
          <w:sz w:val="18"/>
          <w:szCs w:val="18"/>
        </w:rPr>
        <w:t xml:space="preserve">        Frederick Woodard    Norwich</w:t>
      </w:r>
    </w:p>
    <w:p>
      <w:pPr>
        <w:spacing w:after="120" w:line="276"/>
      </w:pPr>
      <w:r>
        <w:rPr>
          <w:b/>
          <w:bCs/>
          <w:sz w:val="20"/>
          <w:szCs w:val="20"/>
        </w:rPr>
        <w:t xml:space="preserve">Produce one row per person</w:t>
      </w:r>
      <w:r>
        <w:rPr>
          <w:sz w:val="20"/>
          <w:szCs w:val="20"/>
        </w:rPr>
        <w:t xml:space="preserve">, each repeating the code in Col. 3, and record the group heading verbatim in Col. 7 as </w:t>
      </w:r>
      <w:r>
        <w:rPr>
          <w:rFonts w:ascii="Consolas" w:cs="Consolas" w:eastAsia="Consolas" w:hAnsi="Consolas"/>
          <w:sz w:val="18"/>
          <w:szCs w:val="18"/>
        </w:rPr>
        <w:t xml:space="preserve">group heading “Cambridge:”; n of N people under code FW</w:t>
      </w:r>
      <w:r>
        <w:rPr>
          <w:sz w:val="20"/>
          <w:szCs w:val="20"/>
        </w:rPr>
        <w:t xml:space="preserve">. The place heading is not the locality — Col. 5 takes the locality printed on the person’s own line, which may differ from the heading (Frank G. Ward is under “Cambridge:” but localised to Stowmarket).</w:t>
      </w:r>
    </w:p>
    <w:p>
      <w:pPr>
        <w:pStyle w:val="Heading2"/>
        <w:spacing w:after="120" w:before="240"/>
      </w:pPr>
      <w:r>
        <w:t xml:space="preserve">3.9 Uncertain and annotated entries — EXPANDED</w:t>
      </w:r>
    </w:p>
    <w:p>
      <w:pPr>
        <w:spacing w:after="120" w:line="276"/>
      </w:pPr>
      <w:r>
        <w:rPr>
          <w:sz w:val="20"/>
          <w:szCs w:val="20"/>
        </w:rPr>
        <w:t xml:space="preserve">Strip editorial marks out of Cols. 4–5 and record them verbatim in Col. 7, so the name and locality columns stay clean and consistent:</w:t>
      </w:r>
    </w:p>
    <w:p>
      <w:pPr>
        <w:pStyle w:val="ListParagraph"/>
        <w:numPr>
          <w:ilvl w:val="0"/>
          <w:numId w:val="1"/>
        </w:numPr>
        <w:spacing w:after="80" w:line="276"/>
      </w:pPr>
      <w:r>
        <w:rPr>
          <w:b/>
          <w:bCs/>
          <w:sz w:val="20"/>
          <w:szCs w:val="20"/>
        </w:rPr>
        <w:t xml:space="preserve">Parenthetical names</w:t>
      </w:r>
      <w:r>
        <w:rPr>
          <w:sz w:val="20"/>
          <w:szCs w:val="20"/>
        </w:rPr>
        <w:t xml:space="preserve"> — “(Frank Lock)”, “(Garniss W. Hunter)”, “(William F. Webb)”: put the bare name in Col. 4, note </w:t>
      </w:r>
      <w:r>
        <w:rPr>
          <w:rFonts w:ascii="Consolas" w:cs="Consolas" w:eastAsia="Consolas" w:hAnsi="Consolas"/>
          <w:sz w:val="18"/>
          <w:szCs w:val="18"/>
        </w:rPr>
        <w:t xml:space="preserve">name in parentheses in source</w:t>
      </w:r>
      <w:r>
        <w:rPr>
          <w:sz w:val="20"/>
          <w:szCs w:val="20"/>
        </w:rPr>
        <w:t xml:space="preserve">.</w:t>
      </w:r>
    </w:p>
    <w:p>
      <w:pPr>
        <w:pStyle w:val="ListParagraph"/>
        <w:numPr>
          <w:ilvl w:val="0"/>
          <w:numId w:val="1"/>
        </w:numPr>
        <w:spacing w:after="80" w:line="276"/>
      </w:pPr>
      <w:r>
        <w:rPr>
          <w:b/>
          <w:bCs/>
          <w:sz w:val="20"/>
          <w:szCs w:val="20"/>
        </w:rPr>
        <w:t xml:space="preserve">Question mark on the name</w:t>
      </w:r>
      <w:r>
        <w:rPr>
          <w:sz w:val="20"/>
          <w:szCs w:val="20"/>
        </w:rPr>
        <w:t xml:space="preserve"> — “Alex. B. M’Niece?”, “George Rolfe ?”, “Bookless ?”: name in Col. 4, note </w:t>
      </w:r>
      <w:r>
        <w:rPr>
          <w:rFonts w:ascii="Consolas" w:cs="Consolas" w:eastAsia="Consolas" w:hAnsi="Consolas"/>
          <w:sz w:val="18"/>
          <w:szCs w:val="18"/>
        </w:rPr>
        <w:t xml:space="preserve">source marks name uncertain (?)</w:t>
      </w:r>
      <w:r>
        <w:rPr>
          <w:sz w:val="20"/>
          <w:szCs w:val="20"/>
        </w:rPr>
        <w:t xml:space="preserve">.</w:t>
      </w:r>
    </w:p>
    <w:p>
      <w:pPr>
        <w:pStyle w:val="ListParagraph"/>
        <w:numPr>
          <w:ilvl w:val="0"/>
          <w:numId w:val="1"/>
        </w:numPr>
        <w:spacing w:after="80" w:line="276"/>
      </w:pPr>
      <w:r>
        <w:rPr>
          <w:b/>
          <w:bCs/>
          <w:sz w:val="20"/>
          <w:szCs w:val="20"/>
        </w:rPr>
        <w:t xml:space="preserve">Question mark on the locality — NEW</w:t>
      </w:r>
      <w:r>
        <w:rPr>
          <w:sz w:val="20"/>
          <w:szCs w:val="20"/>
        </w:rPr>
        <w:t xml:space="preserve"> — “Alexander A. Tait  Winnipeg ?”, “Dr Chris. O. Bodman  Bristol ?”, “Alfred S. Loughnan  Croydon ?”. The mark attaches to whichever field it follows; note </w:t>
      </w:r>
      <w:r>
        <w:rPr>
          <w:rFonts w:ascii="Consolas" w:cs="Consolas" w:eastAsia="Consolas" w:hAnsi="Consolas"/>
          <w:sz w:val="18"/>
          <w:szCs w:val="18"/>
        </w:rPr>
        <w:t xml:space="preserve">source marks locality uncertain (?)</w:t>
      </w:r>
      <w:r>
        <w:rPr>
          <w:sz w:val="20"/>
          <w:szCs w:val="20"/>
        </w:rPr>
        <w:t xml:space="preserve"> so the two cases stay distinguishable.</w:t>
      </w:r>
    </w:p>
    <w:p>
      <w:pPr>
        <w:pStyle w:val="ListParagraph"/>
        <w:numPr>
          <w:ilvl w:val="0"/>
          <w:numId w:val="1"/>
        </w:numPr>
        <w:spacing w:after="80" w:line="276"/>
      </w:pPr>
      <w:r>
        <w:rPr>
          <w:b/>
          <w:bCs/>
          <w:sz w:val="20"/>
          <w:szCs w:val="20"/>
        </w:rPr>
        <w:t xml:space="preserve">Both at once</w:t>
      </w:r>
      <w:r>
        <w:rPr>
          <w:sz w:val="20"/>
          <w:szCs w:val="20"/>
        </w:rPr>
        <w:t xml:space="preserve"> — “(Evan C. Brown) ?”, “(C Wm O’L Markham) ?”: record both observations in Col. 7.</w:t>
      </w:r>
    </w:p>
    <w:p>
      <w:pPr>
        <w:pStyle w:val="ListParagraph"/>
        <w:numPr>
          <w:ilvl w:val="0"/>
          <w:numId w:val="1"/>
        </w:numPr>
        <w:spacing w:after="80" w:line="276"/>
      </w:pPr>
      <w:r>
        <w:rPr>
          <w:b/>
          <w:bCs/>
          <w:sz w:val="20"/>
          <w:szCs w:val="20"/>
        </w:rPr>
        <w:t xml:space="preserve">“Or” alternates</w:t>
      </w:r>
      <w:r>
        <w:rPr>
          <w:sz w:val="20"/>
          <w:szCs w:val="20"/>
        </w:rPr>
        <w:t xml:space="preserve"> — keep the first-listed reading in the main column and put every alternate in Col. 7 verbatim. “Croydon, or Wimbledon” → Locality “Croydon”, note </w:t>
      </w:r>
      <w:r>
        <w:rPr>
          <w:rFonts w:ascii="Consolas" w:cs="Consolas" w:eastAsia="Consolas" w:hAnsi="Consolas"/>
          <w:sz w:val="18"/>
          <w:szCs w:val="18"/>
        </w:rPr>
        <w:t xml:space="preserve">alt. locality: Wimbledon</w:t>
      </w:r>
      <w:r>
        <w:rPr>
          <w:sz w:val="20"/>
          <w:szCs w:val="20"/>
        </w:rPr>
        <w:t xml:space="preserve">.</w:t>
      </w:r>
    </w:p>
    <w:p>
      <w:pPr>
        <w:pStyle w:val="ListParagraph"/>
        <w:numPr>
          <w:ilvl w:val="0"/>
          <w:numId w:val="1"/>
        </w:numPr>
        <w:spacing w:after="80" w:line="276"/>
      </w:pPr>
      <w:r>
        <w:rPr>
          <w:b/>
          <w:bCs/>
          <w:sz w:val="20"/>
          <w:szCs w:val="20"/>
        </w:rPr>
        <w:t xml:space="preserve">Two names joined by an underlined “or”</w:t>
      </w:r>
      <w:r>
        <w:rPr>
          <w:sz w:val="20"/>
          <w:szCs w:val="20"/>
        </w:rPr>
        <w:t xml:space="preserve"> — this is </w:t>
      </w:r>
      <w:r>
        <w:rPr>
          <w:b/>
          <w:bCs/>
          <w:sz w:val="20"/>
          <w:szCs w:val="20"/>
        </w:rPr>
        <w:t xml:space="preserve">not</w:t>
      </w:r>
      <w:r>
        <w:rPr>
          <w:sz w:val="20"/>
          <w:szCs w:val="20"/>
        </w:rPr>
        <w:t xml:space="preserve"> an uncertainty marker. See §3.10a: it records two people and produces two rows.</w:t>
      </w:r>
    </w:p>
    <w:p>
      <w:pPr>
        <w:pStyle w:val="ListParagraph"/>
        <w:numPr>
          <w:ilvl w:val="0"/>
          <w:numId w:val="1"/>
        </w:numPr>
        <w:spacing w:after="80" w:line="276"/>
      </w:pPr>
      <w:r>
        <w:rPr>
          <w:b/>
          <w:bCs/>
          <w:sz w:val="20"/>
          <w:szCs w:val="20"/>
        </w:rPr>
        <w:t xml:space="preserve">Misprint flags</w:t>
      </w:r>
      <w:r>
        <w:rPr>
          <w:sz w:val="20"/>
          <w:szCs w:val="20"/>
        </w:rPr>
        <w:t xml:space="preserve"> — two forms occur: “misprint for JRK” and “Error for DP”. Leave Cols. 4–5 blank and put the text verbatim in Col. 7.</w:t>
      </w:r>
    </w:p>
    <w:p>
      <w:pPr>
        <w:pStyle w:val="ListParagraph"/>
        <w:numPr>
          <w:ilvl w:val="0"/>
          <w:numId w:val="1"/>
        </w:numPr>
        <w:spacing w:after="80" w:line="276"/>
      </w:pPr>
      <w:r>
        <w:rPr>
          <w:b/>
          <w:bCs/>
          <w:sz w:val="20"/>
          <w:szCs w:val="20"/>
        </w:rPr>
        <w:t xml:space="preserve">Illegible or damaged</w:t>
      </w:r>
      <w:r>
        <w:rPr>
          <w:sz w:val="20"/>
          <w:szCs w:val="20"/>
        </w:rPr>
        <w:t xml:space="preserve"> — note </w:t>
      </w:r>
      <w:r>
        <w:rPr>
          <w:rFonts w:ascii="Consolas" w:cs="Consolas" w:eastAsia="Consolas" w:hAnsi="Consolas"/>
          <w:sz w:val="18"/>
          <w:szCs w:val="18"/>
        </w:rPr>
        <w:t xml:space="preserve">illegible, best guess: …</w:t>
      </w:r>
      <w:r>
        <w:rPr>
          <w:sz w:val="20"/>
          <w:szCs w:val="20"/>
        </w:rPr>
        <w:t xml:space="preserve"> rather than guessing silently. Where nothing can be read at all, leave the field blank and note </w:t>
      </w:r>
      <w:r>
        <w:rPr>
          <w:rFonts w:ascii="Consolas" w:cs="Consolas" w:eastAsia="Consolas" w:hAnsi="Consolas"/>
          <w:sz w:val="18"/>
          <w:szCs w:val="18"/>
        </w:rPr>
        <w:t xml:space="preserve">illegible</w:t>
      </w:r>
      <w:r>
        <w:rPr>
          <w:sz w:val="20"/>
          <w:szCs w:val="20"/>
        </w:rPr>
        <w:t xml:space="preserve">.</w:t>
      </w:r>
    </w:p>
    <w:p>
      <w:pPr>
        <w:pStyle w:val="Heading2"/>
        <w:spacing w:after="120" w:before="240"/>
      </w:pPr>
      <w:r>
        <w:t xml:space="preserve">3.10 Wrapped continuation lines — CHANGED (narrowed)</w:t>
      </w:r>
    </w:p>
    <w:p>
      <w:pPr>
        <w:spacing w:after="120" w:line="276"/>
      </w:pPr>
      <w:r>
        <w:rPr>
          <w:sz w:val="20"/>
          <w:szCs w:val="20"/>
        </w:rPr>
        <w:t xml:space="preserve">A single entry whose text will not fit on one line wraps onto the next, with the Initials column left empty. The wrapped part belongs to the row above and never starts a new row. Examples: “JD  J Doughty  Hull or / Rotherham”, “WJ  Capt Wm. Johnson  Brixham, or / Wimbledon”, “GFW  George F. Wells  Cincinnati, or / Lima, USA”. In every case there is </w:t>
      </w:r>
      <w:r>
        <w:rPr>
          <w:b/>
          <w:bCs/>
          <w:sz w:val="20"/>
          <w:szCs w:val="20"/>
        </w:rPr>
        <w:t xml:space="preserve">one name and two candidate places</w:t>
      </w:r>
      <w:r>
        <w:rPr>
          <w:sz w:val="20"/>
          <w:szCs w:val="20"/>
        </w:rPr>
        <w:t xml:space="preserve"> — first place in Col. 5, the rest verbatim in Col. 7.</w:t>
      </w:r>
    </w:p>
    <w:p>
      <w:pPr>
        <w:spacing w:after="120" w:line="276"/>
      </w:pPr>
      <w:r>
        <w:rPr>
          <w:sz w:val="20"/>
          <w:szCs w:val="20"/>
        </w:rPr>
        <w:t xml:space="preserve">This rule no longer covers lines beginning with an underlined “or” followed by a </w:t>
      </w:r>
      <w:r>
        <w:rPr>
          <w:i/>
          <w:iCs/>
          <w:sz w:val="20"/>
          <w:szCs w:val="20"/>
        </w:rPr>
        <w:t xml:space="preserve">name</w:t>
      </w:r>
      <w:r>
        <w:rPr>
          <w:sz w:val="20"/>
          <w:szCs w:val="20"/>
        </w:rPr>
        <w:t xml:space="preserve"> — those are §3.10a.</w:t>
      </w:r>
    </w:p>
    <w:p>
      <w:pPr>
        <w:pStyle w:val="Heading2"/>
        <w:spacing w:after="120" w:before="240"/>
      </w:pPr>
      <w:r>
        <w:t xml:space="preserve">3.10a Two people sharing one initials code — NEW</w:t>
      </w:r>
    </w:p>
    <w:p>
      <w:pPr>
        <w:spacing w:after="120" w:line="276"/>
      </w:pPr>
      <w:r>
        <w:rPr>
          <w:sz w:val="20"/>
          <w:szCs w:val="20"/>
        </w:rPr>
        <w:t xml:space="preserve">Where two names are joined by an </w:t>
      </w:r>
      <w:r>
        <w:rPr>
          <w:b/>
          <w:bCs/>
          <w:sz w:val="20"/>
          <w:szCs w:val="20"/>
        </w:rPr>
        <w:t xml:space="preserve">underlined “or”</w:t>
      </w:r>
      <w:r>
        <w:rPr>
          <w:sz w:val="20"/>
          <w:szCs w:val="20"/>
        </w:rPr>
        <w:t xml:space="preserve"> under a single code, the source is recording </w:t>
      </w:r>
      <w:r>
        <w:rPr>
          <w:b/>
          <w:bCs/>
          <w:sz w:val="20"/>
          <w:szCs w:val="20"/>
        </w:rPr>
        <w:t xml:space="preserve">two different men who share that code in that volume</w:t>
      </w:r>
      <w:r>
        <w:rPr>
          <w:sz w:val="20"/>
          <w:szCs w:val="20"/>
        </w:rPr>
        <w:t xml:space="preserve"> — not one man whose name is in doubt.</w:t>
      </w:r>
    </w:p>
    <w:p>
      <w:pPr>
        <w:spacing w:after="0" w:line="276"/>
        <w:ind w:left="520"/>
      </w:pPr>
      <w:r>
        <w:rPr>
          <w:rFonts w:ascii="Consolas" w:cs="Consolas" w:eastAsia="Consolas" w:hAnsi="Consolas"/>
          <w:sz w:val="18"/>
          <w:szCs w:val="18"/>
        </w:rPr>
        <w:t xml:space="preserve">AL    Alfred Lockhart      Detroit</w:t>
      </w:r>
    </w:p>
    <w:p>
      <w:pPr>
        <w:spacing w:after="120" w:line="276"/>
        <w:ind w:left="520"/>
      </w:pPr>
      <w:r>
        <w:rPr>
          <w:rFonts w:ascii="Consolas" w:cs="Consolas" w:eastAsia="Consolas" w:hAnsi="Consolas"/>
          <w:sz w:val="18"/>
          <w:szCs w:val="18"/>
        </w:rPr>
        <w:t xml:space="preserve">      or A    Lidstone     Seattle</w:t>
      </w:r>
    </w:p>
    <w:p>
      <w:pPr>
        <w:spacing w:after="120" w:line="276"/>
      </w:pPr>
      <w:r>
        <w:rPr>
          <w:b/>
          <w:bCs/>
          <w:sz w:val="20"/>
          <w:szCs w:val="20"/>
        </w:rPr>
        <w:t xml:space="preserve">Produce one row per person</w:t>
      </w:r>
      <w:r>
        <w:rPr>
          <w:sz w:val="20"/>
          <w:szCs w:val="20"/>
        </w:rPr>
        <w:t xml:space="preserve">, both repeating the code in Col. 3, both with their name in Col. 4 so both are searchable. The second row is flagged in Col. 7 as </w:t>
      </w:r>
      <w:r>
        <w:rPr>
          <w:rFonts w:ascii="Consolas" w:cs="Consolas" w:eastAsia="Consolas" w:hAnsi="Consolas"/>
          <w:sz w:val="18"/>
          <w:szCs w:val="18"/>
        </w:rPr>
        <w:t xml:space="preserve">second person sharing this initials code with the preceding row</w:t>
      </w:r>
      <w:r>
        <w:rPr>
          <w:sz w:val="20"/>
          <w:szCs w:val="20"/>
        </w:rPr>
        <w:t xml:space="preserve">, and the first row records what was printed beneath it.</w:t>
      </w:r>
    </w:p>
    <w:p>
      <w:pPr>
        <w:pStyle w:val="ListParagraph"/>
        <w:numPr>
          <w:ilvl w:val="0"/>
          <w:numId w:val="1"/>
        </w:numPr>
        <w:spacing w:after="80" w:line="276"/>
      </w:pPr>
      <w:r>
        <w:rPr>
          <w:b/>
          <w:bCs/>
          <w:sz w:val="20"/>
          <w:szCs w:val="20"/>
        </w:rPr>
        <w:t xml:space="preserve">Two localities printed</w:t>
      </w:r>
      <w:r>
        <w:rPr>
          <w:sz w:val="20"/>
          <w:szCs w:val="20"/>
        </w:rPr>
        <w:t xml:space="preserve"> — each man takes his own (Lockhart→Detroit, Lidstone→Seattle). Also: SL Samuel Lyons/W. Sidney Luff, GR George Rolfe/George Rochester, HT Hugh Talbot/H Thorp, JB James Bowan/John Boyt.</w:t>
      </w:r>
    </w:p>
    <w:p>
      <w:pPr>
        <w:pStyle w:val="ListParagraph"/>
        <w:numPr>
          <w:ilvl w:val="0"/>
          <w:numId w:val="1"/>
        </w:numPr>
        <w:spacing w:after="80" w:line="276"/>
      </w:pPr>
      <w:r>
        <w:rPr>
          <w:b/>
          <w:bCs/>
          <w:sz w:val="20"/>
          <w:szCs w:val="20"/>
        </w:rPr>
        <w:t xml:space="preserve">One locality printed</w:t>
      </w:r>
      <w:r>
        <w:rPr>
          <w:sz w:val="20"/>
          <w:szCs w:val="20"/>
        </w:rPr>
        <w:t xml:space="preserve"> — it is centred between the two name lines and serves </w:t>
      </w:r>
      <w:r>
        <w:rPr>
          <w:i/>
          <w:iCs/>
          <w:sz w:val="20"/>
          <w:szCs w:val="20"/>
        </w:rPr>
        <w:t xml:space="preserve">both</w:t>
      </w:r>
      <w:r>
        <w:rPr>
          <w:sz w:val="20"/>
          <w:szCs w:val="20"/>
        </w:rPr>
        <w:t xml:space="preserve"> men; copy it to both rows and say so in Col. 7. Examples: JF James Ferguson / J Farquhar — Winnipeg; LM L Macomber / L Mouron — Indianapolis.</w:t>
      </w:r>
    </w:p>
    <w:p>
      <w:pPr>
        <w:pStyle w:val="ListParagraph"/>
        <w:numPr>
          <w:ilvl w:val="0"/>
          <w:numId w:val="1"/>
        </w:numPr>
        <w:spacing w:after="80" w:line="276"/>
      </w:pPr>
      <w:r>
        <w:rPr>
          <w:b/>
          <w:bCs/>
          <w:sz w:val="20"/>
          <w:szCs w:val="20"/>
        </w:rPr>
        <w:t xml:space="preserve">Inline form</w:t>
      </w:r>
      <w:r>
        <w:rPr>
          <w:sz w:val="20"/>
          <w:szCs w:val="20"/>
        </w:rPr>
        <w:t xml:space="preserve"> — a shared forename with two surnames on one line, e.g. “RLC  R.L.Connan </w:t>
      </w:r>
      <w:r>
        <w:rPr>
          <w:i/>
          <w:iCs/>
          <w:sz w:val="20"/>
          <w:szCs w:val="20"/>
        </w:rPr>
        <w:t xml:space="preserve">or</w:t>
      </w:r>
      <w:r>
        <w:rPr>
          <w:sz w:val="20"/>
          <w:szCs w:val="20"/>
        </w:rPr>
        <w:t xml:space="preserve"> Cole” (Vol. 10) and “R.L.Connan </w:t>
      </w:r>
      <w:r>
        <w:rPr>
          <w:i/>
          <w:iCs/>
          <w:sz w:val="20"/>
          <w:szCs w:val="20"/>
        </w:rPr>
        <w:t xml:space="preserve">or</w:t>
      </w:r>
      <w:r>
        <w:rPr>
          <w:sz w:val="20"/>
          <w:szCs w:val="20"/>
        </w:rPr>
        <w:t xml:space="preserve"> Cary” (Vol. 11). Same treatment: two rows, R.L.Connan and R.L.Cole.</w:t>
      </w:r>
    </w:p>
    <w:p>
      <w:pPr>
        <w:spacing w:after="120" w:line="276"/>
      </w:pPr>
      <w:r>
        <w:rPr>
          <w:b/>
          <w:bCs/>
          <w:sz w:val="20"/>
          <w:szCs w:val="20"/>
        </w:rPr>
        <w:t xml:space="preserve">Corroboration. </w:t>
      </w:r>
      <w:r>
        <w:rPr>
          <w:sz w:val="20"/>
          <w:szCs w:val="20"/>
        </w:rPr>
        <w:t xml:space="preserve">Volume 8 prints “LM  L Macomber </w:t>
      </w:r>
      <w:r>
        <w:rPr>
          <w:i/>
          <w:iCs/>
          <w:sz w:val="20"/>
          <w:szCs w:val="20"/>
        </w:rPr>
        <w:t xml:space="preserve">or</w:t>
      </w:r>
      <w:r>
        <w:rPr>
          <w:sz w:val="20"/>
          <w:szCs w:val="20"/>
        </w:rPr>
        <w:t xml:space="preserve"> L Mouron — Indianapolis”; Volume 9 then lists them as two separate entries, “LM  L Macomber  Indianapolis” and “ALM  Adolph L. Mouron  Indianapolis”. Two real men, disambiguated one volume later. Likewise George Rochester, printed under GR in Volume 3, has his own entry under code R in Volume 100.</w:t>
      </w:r>
    </w:p>
    <w:p>
      <w:pPr>
        <w:spacing w:after="120" w:line="276"/>
      </w:pPr>
      <w:r>
        <w:rPr>
          <w:b/>
          <w:bCs/>
          <w:sz w:val="20"/>
          <w:szCs w:val="20"/>
        </w:rPr>
        <w:t xml:space="preserve">Relation to §3.8. </w:t>
      </w:r>
      <w:r>
        <w:rPr>
          <w:sz w:val="20"/>
          <w:szCs w:val="20"/>
        </w:rPr>
        <w:t xml:space="preserve">Both rules put several people under one code, and both give one row per person. They differ only in notation: §3.8 is an explicit list under place sub-headings (no “or”), §3.10a is the compact two-person form joined by an underlined “or”. Record which notation was used in Col. 7 so the distinction survives.</w:t>
      </w:r>
    </w:p>
    <w:p>
      <w:pPr>
        <w:spacing w:after="120" w:line="276"/>
      </w:pPr>
      <w:r>
        <w:rPr>
          <w:b/>
          <w:bCs/>
          <w:sz w:val="20"/>
          <w:szCs w:val="20"/>
        </w:rPr>
        <w:t xml:space="preserve">Effect on counting. </w:t>
      </w:r>
      <w:r>
        <w:rPr>
          <w:sz w:val="20"/>
          <w:szCs w:val="20"/>
        </w:rPr>
        <w:t xml:space="preserve">These rows have no printed line of their own, so the transcribed row count exceeds the printed line count by exactly the number of §3.10a rows. §6.3 accounts for this.</w:t>
      </w:r>
    </w:p>
    <w:p>
      <w:pPr>
        <w:pStyle w:val="Heading2"/>
        <w:spacing w:after="120" w:before="240"/>
      </w:pPr>
      <w:r>
        <w:t xml:space="preserve">3.11 Handwritten headings — NEW</w:t>
      </w:r>
    </w:p>
    <w:p>
      <w:pPr>
        <w:spacing w:after="120" w:line="276"/>
      </w:pPr>
      <w:r>
        <w:rPr>
          <w:sz w:val="20"/>
          <w:szCs w:val="20"/>
        </w:rPr>
        <w:t xml:space="preserve">The “VOLUME 100” heading on page 43 is handwritten in cursive, not typed. Transcribe the volume number normally in Col. 2, and record </w:t>
      </w:r>
      <w:r>
        <w:rPr>
          <w:rFonts w:ascii="Consolas" w:cs="Consolas" w:eastAsia="Consolas" w:hAnsi="Consolas"/>
          <w:sz w:val="18"/>
          <w:szCs w:val="18"/>
        </w:rPr>
        <w:t xml:space="preserve">volume heading is handwritten in source</w:t>
      </w:r>
      <w:r>
        <w:rPr>
          <w:sz w:val="20"/>
          <w:szCs w:val="20"/>
        </w:rPr>
        <w:t xml:space="preserve"> against the volume on the Volumes sheet (§8.2), not on every entry row. Watch for further handwritten additions on pages not yet inspected.</w:t>
      </w:r>
    </w:p>
    <w:p>
      <w:pPr>
        <w:pStyle w:val="Heading2"/>
        <w:spacing w:after="120" w:before="240"/>
      </w:pPr>
      <w:r>
        <w:t xml:space="preserve">3.12 Truncation at the right edge of the scan — NEW</w:t>
      </w:r>
    </w:p>
    <w:p>
      <w:pPr>
        <w:spacing w:after="120" w:line="276"/>
      </w:pPr>
      <w:r>
        <w:rPr>
          <w:sz w:val="20"/>
          <w:szCs w:val="20"/>
        </w:rPr>
        <w:t xml:space="preserve">The scans cut the right margin, so localities in </w:t>
      </w:r>
      <w:r>
        <w:rPr>
          <w:b/>
          <w:bCs/>
          <w:sz w:val="20"/>
          <w:szCs w:val="20"/>
        </w:rPr>
        <w:t xml:space="preserve">column 3 are frequently clipped</w:t>
      </w:r>
      <w:r>
        <w:rPr>
          <w:sz w:val="20"/>
          <w:szCs w:val="20"/>
        </w:rPr>
        <w:t xml:space="preserve"> — “Indianapoli”, “Chatham, US”, “Michigan Ci”, “Bristol,Red”, “NY or Knoxv”, “Glen Ewen,O.”. Volume subheadings are clipped the same way (Volume 5 ends “Indianapolis, 1913,1”).</w:t>
      </w:r>
    </w:p>
    <w:p>
      <w:pPr>
        <w:spacing w:after="120" w:line="276"/>
      </w:pPr>
      <w:r>
        <w:rPr>
          <w:b/>
          <w:bCs/>
          <w:sz w:val="20"/>
          <w:szCs w:val="20"/>
        </w:rPr>
        <w:t xml:space="preserve">Put the completed locality in Col. 5</w:t>
      </w:r>
      <w:r>
        <w:rPr>
          <w:sz w:val="20"/>
          <w:szCs w:val="20"/>
        </w:rPr>
        <w:t xml:space="preserve"> and record the truncation in Col. 7 as </w:t>
      </w:r>
      <w:r>
        <w:rPr>
          <w:rFonts w:ascii="Consolas" w:cs="Consolas" w:eastAsia="Consolas" w:hAnsi="Consolas"/>
          <w:sz w:val="18"/>
          <w:szCs w:val="18"/>
        </w:rPr>
        <w:t xml:space="preserve">locality truncated at right edge of scan; printed portion reads '…'</w:t>
      </w:r>
      <w:r>
        <w:rPr>
          <w:sz w:val="20"/>
          <w:szCs w:val="20"/>
        </w:rPr>
        <w:t xml:space="preserve">. Completing it keeps Col. 5 filterable — a column half-full of “Indianapoli” is useless for sorting — while Col. 7 preserves exactly what the paper shows, so nothing is lost and the inference stays visible.</w:t>
      </w:r>
    </w:p>
    <w:p>
      <w:pPr>
        <w:spacing w:after="120" w:line="276"/>
      </w:pPr>
      <w:r>
        <w:rPr>
          <w:b/>
          <w:bCs/>
          <w:sz w:val="20"/>
          <w:szCs w:val="20"/>
        </w:rPr>
        <w:t xml:space="preserve">Only complete what is certain</w:t>
      </w:r>
      <w:r>
        <w:rPr>
          <w:sz w:val="20"/>
          <w:szCs w:val="20"/>
        </w:rPr>
        <w:t xml:space="preserve"> — a clipped form that matches the same person’s locality printed in full elsewhere in the run, or an unambiguous prefix of a place already established in the source. Anything else takes the §3.9 illegible treatment instead.</w:t>
      </w:r>
    </w:p>
    <w:p>
      <w:pPr>
        <w:pStyle w:val="Heading2"/>
        <w:spacing w:after="120" w:before="240"/>
      </w:pPr>
      <w:r>
        <w:t xml:space="preserve">3.13 Compound cross-reference cells — NEW</w:t>
      </w:r>
    </w:p>
    <w:p>
      <w:pPr>
        <w:spacing w:after="120" w:line="276"/>
      </w:pPr>
      <w:r>
        <w:rPr>
          <w:sz w:val="20"/>
          <w:szCs w:val="20"/>
        </w:rPr>
        <w:t xml:space="preserve">Col. 6 is not always a single integer:</w:t>
      </w:r>
    </w:p>
    <w:p>
      <w:pPr>
        <w:pStyle w:val="ListParagraph"/>
        <w:numPr>
          <w:ilvl w:val="0"/>
          <w:numId w:val="1"/>
        </w:numPr>
        <w:spacing w:after="80" w:line="276"/>
      </w:pPr>
      <w:r>
        <w:rPr>
          <w:b/>
          <w:bCs/>
          <w:sz w:val="20"/>
          <w:szCs w:val="20"/>
        </w:rPr>
        <w:t xml:space="preserve">Two or more page numbers</w:t>
      </w:r>
      <w:r>
        <w:rPr>
          <w:sz w:val="20"/>
          <w:szCs w:val="20"/>
        </w:rPr>
        <w:t xml:space="preserve"> — “E  189, 347” (Vol. 5), “WRC  300, 431” (Vol. 9), “E  78, 147” (Vol. 18), “FNP  94, 113” (Vol. 17). The code occurs on both pages. Keep both in Col. 6, comma-separated, as printed. Do not split into two rows: one code, one printed line.</w:t>
      </w:r>
    </w:p>
    <w:p>
      <w:pPr>
        <w:pStyle w:val="ListParagraph"/>
        <w:numPr>
          <w:ilvl w:val="0"/>
          <w:numId w:val="1"/>
        </w:numPr>
        <w:spacing w:after="80" w:line="276"/>
      </w:pPr>
      <w:r>
        <w:rPr>
          <w:b/>
          <w:bCs/>
          <w:sz w:val="20"/>
          <w:szCs w:val="20"/>
        </w:rPr>
        <w:t xml:space="preserve">Page number plus misprint note</w:t>
      </w:r>
      <w:r>
        <w:rPr>
          <w:sz w:val="20"/>
          <w:szCs w:val="20"/>
        </w:rPr>
        <w:t xml:space="preserve"> — “FT  80, misprint for FL” (Vol. 9), “RF  169, misprint for FF” (Vol. 10), “BB-w  183 misprint, W.B-w.” (Vol. 9), “JBC-e  11 probably JBC-1” (Vol. 20), “JNL  ? misprint for JHL” (Vol. 17). Number in Col. 6, the trailing text verbatim in Col. 7.</w:t>
      </w:r>
    </w:p>
    <w:p>
      <w:pPr>
        <w:pStyle w:val="Heading1"/>
        <w:spacing w:after="160" w:before="320"/>
      </w:pPr>
      <w:r>
        <w:t xml:space="preserve">4. Known data-quality issues</w:t>
      </w:r>
    </w:p>
    <w:p>
      <w:pPr>
        <w:pStyle w:val="ListParagraph"/>
        <w:numPr>
          <w:ilvl w:val="0"/>
          <w:numId w:val="1"/>
        </w:numPr>
        <w:spacing w:after="80" w:line="276"/>
      </w:pPr>
      <w:r>
        <w:rPr>
          <w:b/>
          <w:bCs/>
          <w:sz w:val="20"/>
          <w:szCs w:val="20"/>
        </w:rPr>
        <w:t xml:space="preserve">Show-through from the reverse side</w:t>
      </w:r>
      <w:r>
        <w:rPr>
          <w:sz w:val="20"/>
          <w:szCs w:val="20"/>
        </w:rPr>
        <w:t xml:space="preserve"> is visible across whole pages — page 2 is the worst of those inspected, with mirrored text legible over the full width. This is the single strongest argument for transcribing by eye rather than trusting OCR, since the reversed text sits directly in the character cells OCR would read.</w:t>
      </w:r>
    </w:p>
    <w:p>
      <w:pPr>
        <w:pStyle w:val="ListParagraph"/>
        <w:numPr>
          <w:ilvl w:val="0"/>
          <w:numId w:val="1"/>
        </w:numPr>
        <w:spacing w:after="80" w:line="276"/>
      </w:pPr>
      <w:r>
        <w:rPr>
          <w:b/>
          <w:bCs/>
          <w:sz w:val="20"/>
          <w:szCs w:val="20"/>
        </w:rPr>
        <w:t xml:space="preserve">Overstruck lines.</w:t>
      </w:r>
      <w:r>
        <w:rPr>
          <w:sz w:val="20"/>
          <w:szCs w:val="20"/>
        </w:rPr>
        <w:t xml:space="preserve"> On page 22, column 2, roughly four consecutive lines around “Walter W. Mooney” are double-printed — the carriage appears to have been rolled back and retyped over existing text (“AMcD Alan Macdonald”, “EMcK Edmund McKeeman”, “David Macdonald”, “NKMcL Norman K. Maclean” all overlap). These need the §3.9 illegible treatment and a careful second look.</w:t>
      </w:r>
    </w:p>
    <w:p>
      <w:pPr>
        <w:pStyle w:val="ListParagraph"/>
        <w:numPr>
          <w:ilvl w:val="0"/>
          <w:numId w:val="1"/>
        </w:numPr>
        <w:spacing w:after="80" w:line="276"/>
      </w:pPr>
      <w:r>
        <w:rPr>
          <w:b/>
          <w:bCs/>
          <w:sz w:val="20"/>
          <w:szCs w:val="20"/>
        </w:rPr>
        <w:t xml:space="preserve">Faded and uneven type.</w:t>
      </w:r>
      <w:r>
        <w:rPr>
          <w:sz w:val="20"/>
          <w:szCs w:val="20"/>
        </w:rPr>
        <w:t xml:space="preserve"> Page 43 column 1 is noticeably lighter than the rest of the page.</w:t>
      </w:r>
    </w:p>
    <w:p>
      <w:pPr>
        <w:pStyle w:val="ListParagraph"/>
        <w:numPr>
          <w:ilvl w:val="0"/>
          <w:numId w:val="1"/>
        </w:numPr>
        <w:spacing w:after="80" w:line="276"/>
      </w:pPr>
      <w:r>
        <w:rPr>
          <w:b/>
          <w:bCs/>
          <w:sz w:val="20"/>
          <w:szCs w:val="20"/>
        </w:rPr>
        <w:t xml:space="preserve">Cropped left margin</w:t>
      </w:r>
      <w:r>
        <w:rPr>
          <w:sz w:val="20"/>
          <w:szCs w:val="20"/>
        </w:rPr>
        <w:t xml:space="preserve"> on some pages cuts into the Initials column, which is exactly the field with no redundancy to recover it from.</w:t>
      </w:r>
    </w:p>
    <w:p>
      <w:pPr>
        <w:pStyle w:val="ListParagraph"/>
        <w:numPr>
          <w:ilvl w:val="0"/>
          <w:numId w:val="1"/>
        </w:numPr>
        <w:spacing w:after="80" w:line="276"/>
      </w:pPr>
      <w:r>
        <w:rPr>
          <w:b/>
          <w:bCs/>
          <w:sz w:val="20"/>
          <w:szCs w:val="20"/>
        </w:rPr>
        <w:t xml:space="preserve">Initials are not unique keys.</w:t>
      </w:r>
      <w:r>
        <w:rPr>
          <w:sz w:val="20"/>
          <w:szCs w:val="20"/>
        </w:rPr>
        <w:t xml:space="preserve"> The same code recurs across volumes for the same or different people, and suffixed variants distinguish repeat entries. Duplicate-looking rows within one volume are often genuine — page 22 prints both “GL  George A. Lyons  Passaic” and “GAL  George A. Lyons  Passaic”, and both “FC  Frank K. Corney  Toronto” and “FKC  Frank K. Corney  Toronto”. Transcribe both; do not de-duplicate.</w:t>
      </w:r>
    </w:p>
    <w:p>
      <w:pPr>
        <w:pStyle w:val="ListParagraph"/>
        <w:numPr>
          <w:ilvl w:val="0"/>
          <w:numId w:val="1"/>
        </w:numPr>
        <w:spacing w:after="80" w:line="276"/>
      </w:pPr>
      <w:r>
        <w:rPr>
          <w:b/>
          <w:bCs/>
          <w:sz w:val="20"/>
          <w:szCs w:val="20"/>
        </w:rPr>
        <w:t xml:space="preserve">Volume 100 is structurally different</w:t>
      </w:r>
      <w:r>
        <w:rPr>
          <w:sz w:val="20"/>
          <w:szCs w:val="20"/>
        </w:rPr>
        <w:t xml:space="preserve"> from volumes 1–99: it is a consolidated index ordered alphabetically by surname rather than a volume’s own membership list, which is why the divider letters of §3.7 appear only there.</w:t>
      </w:r>
    </w:p>
    <w:p>
      <w:pPr>
        <w:pStyle w:val="Heading1"/>
        <w:spacing w:after="160" w:before="320"/>
      </w:pPr>
      <w:r>
        <w:t xml:space="preserve">5. Worked examples</w:t>
      </w:r>
    </w:p>
    <w:p>
      <w:pPr>
        <w:spacing w:after="120" w:line="276"/>
      </w:pPr>
      <w:r>
        <w:rPr>
          <w:sz w:val="20"/>
          <w:szCs w:val="20"/>
        </w:rPr>
        <w:t xml:space="preserve">Drawn from pages 1, 2, 22 and 43. Empty cells are genuinely blank in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20"/>
        <w:gridCol w:w="900"/>
        <w:gridCol w:w="1560"/>
        <w:gridCol w:w="1340"/>
        <w:gridCol w:w="940"/>
        <w:gridCol w:w="3460"/>
      </w:tblGrid>
      <w:tr>
        <w:trPr>
          <w:tblHeader/>
        </w:trPr>
        <w:tc>
          <w:tcPr>
            <w:tcW w:type="dxa" w:w="640"/>
            <w:shd w:fill="D9E2F3" w:color="auto" w:val="clear"/>
            <w:tcMar>
              <w:top w:type="dxa" w:w="60"/>
              <w:left w:type="dxa" w:w="90"/>
              <w:bottom w:type="dxa" w:w="60"/>
              <w:right w:type="dxa" w:w="90"/>
            </w:tcMar>
          </w:tcPr>
          <w:p>
            <w:pPr>
              <w:spacing w:after="40" w:before="40"/>
            </w:pPr>
            <w:r>
              <w:rPr>
                <w:b/>
                <w:bCs/>
                <w:sz w:val="16"/>
                <w:szCs w:val="16"/>
              </w:rPr>
              <w:t xml:space="preserve">Index Page</w:t>
            </w:r>
          </w:p>
        </w:tc>
        <w:tc>
          <w:tcPr>
            <w:tcW w:type="dxa" w:w="520"/>
            <w:shd w:fill="D9E2F3" w:color="auto" w:val="clear"/>
            <w:tcMar>
              <w:top w:type="dxa" w:w="60"/>
              <w:left w:type="dxa" w:w="90"/>
              <w:bottom w:type="dxa" w:w="60"/>
              <w:right w:type="dxa" w:w="90"/>
            </w:tcMar>
          </w:tcPr>
          <w:p>
            <w:pPr>
              <w:spacing w:after="40" w:before="40"/>
            </w:pPr>
            <w:r>
              <w:rPr>
                <w:b/>
                <w:bCs/>
                <w:sz w:val="16"/>
                <w:szCs w:val="16"/>
              </w:rPr>
              <w:t xml:space="preserve">Vol</w:t>
            </w:r>
          </w:p>
        </w:tc>
        <w:tc>
          <w:tcPr>
            <w:tcW w:type="dxa" w:w="900"/>
            <w:shd w:fill="D9E2F3" w:color="auto" w:val="clear"/>
            <w:tcMar>
              <w:top w:type="dxa" w:w="60"/>
              <w:left w:type="dxa" w:w="90"/>
              <w:bottom w:type="dxa" w:w="60"/>
              <w:right w:type="dxa" w:w="90"/>
            </w:tcMar>
          </w:tcPr>
          <w:p>
            <w:pPr>
              <w:spacing w:after="40" w:before="40"/>
            </w:pPr>
            <w:r>
              <w:rPr>
                <w:b/>
                <w:bCs/>
                <w:sz w:val="16"/>
                <w:szCs w:val="16"/>
              </w:rPr>
              <w:t xml:space="preserve">Initials</w:t>
            </w:r>
          </w:p>
        </w:tc>
        <w:tc>
          <w:tcPr>
            <w:tcW w:type="dxa" w:w="1560"/>
            <w:shd w:fill="D9E2F3" w:color="auto" w:val="clear"/>
            <w:tcMar>
              <w:top w:type="dxa" w:w="60"/>
              <w:left w:type="dxa" w:w="90"/>
              <w:bottom w:type="dxa" w:w="60"/>
              <w:right w:type="dxa" w:w="90"/>
            </w:tcMar>
          </w:tcPr>
          <w:p>
            <w:pPr>
              <w:spacing w:after="40" w:before="40"/>
            </w:pPr>
            <w:r>
              <w:rPr>
                <w:b/>
                <w:bCs/>
                <w:sz w:val="16"/>
                <w:szCs w:val="16"/>
              </w:rPr>
              <w:t xml:space="preserve">Name</w:t>
            </w:r>
          </w:p>
        </w:tc>
        <w:tc>
          <w:tcPr>
            <w:tcW w:type="dxa" w:w="1340"/>
            <w:shd w:fill="D9E2F3" w:color="auto" w:val="clear"/>
            <w:tcMar>
              <w:top w:type="dxa" w:w="60"/>
              <w:left w:type="dxa" w:w="90"/>
              <w:bottom w:type="dxa" w:w="60"/>
              <w:right w:type="dxa" w:w="90"/>
            </w:tcMar>
          </w:tcPr>
          <w:p>
            <w:pPr>
              <w:spacing w:after="40" w:before="40"/>
            </w:pPr>
            <w:r>
              <w:rPr>
                <w:b/>
                <w:bCs/>
                <w:sz w:val="16"/>
                <w:szCs w:val="16"/>
              </w:rPr>
              <w:t xml:space="preserve">Locality</w:t>
            </w:r>
          </w:p>
        </w:tc>
        <w:tc>
          <w:tcPr>
            <w:tcW w:type="dxa" w:w="940"/>
            <w:shd w:fill="D9E2F3" w:color="auto" w:val="clear"/>
            <w:tcMar>
              <w:top w:type="dxa" w:w="60"/>
              <w:left w:type="dxa" w:w="90"/>
              <w:bottom w:type="dxa" w:w="60"/>
              <w:right w:type="dxa" w:w="90"/>
            </w:tcMar>
          </w:tcPr>
          <w:p>
            <w:pPr>
              <w:spacing w:after="40" w:before="40"/>
            </w:pPr>
            <w:r>
              <w:rPr>
                <w:b/>
                <w:bCs/>
                <w:sz w:val="16"/>
                <w:szCs w:val="16"/>
              </w:rPr>
              <w:t xml:space="preserve">Page No(s)</w:t>
            </w:r>
          </w:p>
        </w:tc>
        <w:tc>
          <w:tcPr>
            <w:tcW w:type="dxa" w:w="3460"/>
            <w:shd w:fill="D9E2F3" w:color="auto" w:val="clear"/>
            <w:tcMar>
              <w:top w:type="dxa" w:w="60"/>
              <w:left w:type="dxa" w:w="90"/>
              <w:bottom w:type="dxa" w:w="60"/>
              <w:right w:type="dxa" w:w="90"/>
            </w:tcMar>
          </w:tcPr>
          <w:p>
            <w:pPr>
              <w:spacing w:after="40" w:before="40"/>
            </w:pPr>
            <w:r>
              <w:rPr>
                <w:b/>
                <w:bCs/>
                <w:sz w:val="16"/>
                <w:szCs w:val="16"/>
              </w:rPr>
              <w:t xml:space="preserve">Notes</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1</w:t>
            </w:r>
          </w:p>
        </w:tc>
        <w:tc>
          <w:tcPr>
            <w:tcW w:type="dxa" w:w="520"/>
            <w:tcMar>
              <w:top w:type="dxa" w:w="60"/>
              <w:left w:type="dxa" w:w="90"/>
              <w:bottom w:type="dxa" w:w="60"/>
              <w:right w:type="dxa" w:w="90"/>
            </w:tcMar>
          </w:tcPr>
          <w:p>
            <w:pPr>
              <w:spacing w:after="40" w:before="40"/>
            </w:pPr>
            <w:r>
              <w:rPr>
                <w:b w:val="false"/>
                <w:bCs w:val="false"/>
                <w:sz w:val="16"/>
                <w:szCs w:val="16"/>
              </w:rPr>
              <w:t xml:space="preserve">1</w:t>
            </w:r>
          </w:p>
        </w:tc>
        <w:tc>
          <w:tcPr>
            <w:tcW w:type="dxa" w:w="900"/>
            <w:tcMar>
              <w:top w:type="dxa" w:w="60"/>
              <w:left w:type="dxa" w:w="90"/>
              <w:bottom w:type="dxa" w:w="60"/>
              <w:right w:type="dxa" w:w="90"/>
            </w:tcMar>
          </w:tcPr>
          <w:p>
            <w:pPr>
              <w:spacing w:after="40" w:before="40"/>
            </w:pPr>
            <w:r>
              <w:rPr>
                <w:b w:val="false"/>
                <w:bCs w:val="false"/>
                <w:sz w:val="16"/>
                <w:szCs w:val="16"/>
              </w:rPr>
              <w:t xml:space="preserve">CHB</w:t>
            </w:r>
          </w:p>
        </w:tc>
        <w:tc>
          <w:tcPr>
            <w:tcW w:type="dxa" w:w="1560"/>
            <w:tcMar>
              <w:top w:type="dxa" w:w="60"/>
              <w:left w:type="dxa" w:w="90"/>
              <w:bottom w:type="dxa" w:w="60"/>
              <w:right w:type="dxa" w:w="90"/>
            </w:tcMar>
          </w:tcPr>
          <w:p>
            <w:pPr>
              <w:spacing w:after="40" w:before="40"/>
            </w:pPr>
            <w:r>
              <w:rPr>
                <w:b w:val="false"/>
                <w:bCs w:val="false"/>
                <w:sz w:val="16"/>
                <w:szCs w:val="16"/>
              </w:rPr>
              <w:t xml:space="preserve">Charles H. Butler</w:t>
            </w:r>
          </w:p>
        </w:tc>
        <w:tc>
          <w:tcPr>
            <w:tcW w:type="dxa" w:w="1340"/>
            <w:tcMar>
              <w:top w:type="dxa" w:w="60"/>
              <w:left w:type="dxa" w:w="90"/>
              <w:bottom w:type="dxa" w:w="60"/>
              <w:right w:type="dxa" w:w="90"/>
            </w:tcMar>
          </w:tcPr>
          <w:p>
            <w:pPr>
              <w:spacing w:after="40" w:before="40"/>
            </w:pPr>
            <w:r>
              <w:rPr>
                <w:b w:val="false"/>
                <w:bCs w:val="false"/>
                <w:sz w:val="16"/>
                <w:szCs w:val="16"/>
              </w:rPr>
              <w:t xml:space="preserve">N.Y., Staten Is.</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1</w:t>
            </w:r>
          </w:p>
        </w:tc>
        <w:tc>
          <w:tcPr>
            <w:tcW w:type="dxa" w:w="520"/>
            <w:tcMar>
              <w:top w:type="dxa" w:w="60"/>
              <w:left w:type="dxa" w:w="90"/>
              <w:bottom w:type="dxa" w:w="60"/>
              <w:right w:type="dxa" w:w="90"/>
            </w:tcMar>
          </w:tcPr>
          <w:p>
            <w:pPr>
              <w:spacing w:after="40" w:before="40"/>
            </w:pPr>
            <w:r>
              <w:rPr>
                <w:b w:val="false"/>
                <w:bCs w:val="false"/>
                <w:sz w:val="16"/>
                <w:szCs w:val="16"/>
              </w:rPr>
              <w:t xml:space="preserve">2</w:t>
            </w:r>
          </w:p>
        </w:tc>
        <w:tc>
          <w:tcPr>
            <w:tcW w:type="dxa" w:w="900"/>
            <w:tcMar>
              <w:top w:type="dxa" w:w="60"/>
              <w:left w:type="dxa" w:w="90"/>
              <w:bottom w:type="dxa" w:w="60"/>
              <w:right w:type="dxa" w:w="90"/>
            </w:tcMar>
          </w:tcPr>
          <w:p>
            <w:pPr>
              <w:spacing w:after="40" w:before="40"/>
            </w:pPr>
            <w:r>
              <w:rPr>
                <w:b w:val="false"/>
                <w:bCs w:val="false"/>
                <w:sz w:val="16"/>
                <w:szCs w:val="16"/>
              </w:rPr>
              <w:t xml:space="preserve">CC</w:t>
            </w:r>
          </w:p>
        </w:tc>
        <w:tc>
          <w:tcPr>
            <w:tcW w:type="dxa" w:w="1560"/>
            <w:tcMar>
              <w:top w:type="dxa" w:w="60"/>
              <w:left w:type="dxa" w:w="90"/>
              <w:bottom w:type="dxa" w:w="60"/>
              <w:right w:type="dxa" w:w="90"/>
            </w:tcMar>
          </w:tcPr>
          <w:p>
            <w:pPr>
              <w:spacing w:after="40" w:before="40"/>
            </w:pPr>
            <w:r>
              <w:rPr>
                <w:b w:val="false"/>
                <w:bCs w:val="false"/>
                <w:sz w:val="16"/>
                <w:szCs w:val="16"/>
              </w:rPr>
              <w:t xml:space="preserve"/>
            </w:r>
          </w:p>
        </w:tc>
        <w:tc>
          <w:tcPr>
            <w:tcW w:type="dxa" w:w="1340"/>
            <w:tcMar>
              <w:top w:type="dxa" w:w="60"/>
              <w:left w:type="dxa" w:w="90"/>
              <w:bottom w:type="dxa" w:w="60"/>
              <w:right w:type="dxa" w:w="90"/>
            </w:tcMar>
          </w:tcPr>
          <w:p>
            <w:pPr>
              <w:spacing w:after="40" w:before="40"/>
            </w:pPr>
            <w:r>
              <w:rPr>
                <w:b w:val="false"/>
                <w:bCs w:val="false"/>
                <w:sz w:val="16"/>
                <w:szCs w:val="16"/>
              </w:rPr>
              <w:t xml:space="preserve"/>
            </w:r>
          </w:p>
        </w:tc>
        <w:tc>
          <w:tcPr>
            <w:tcW w:type="dxa" w:w="940"/>
            <w:tcMar>
              <w:top w:type="dxa" w:w="60"/>
              <w:left w:type="dxa" w:w="90"/>
              <w:bottom w:type="dxa" w:w="60"/>
              <w:right w:type="dxa" w:w="90"/>
            </w:tcMar>
          </w:tcPr>
          <w:p>
            <w:pPr>
              <w:spacing w:after="40" w:before="40"/>
            </w:pPr>
            <w:r>
              <w:rPr>
                <w:b w:val="false"/>
                <w:bCs w:val="false"/>
                <w:sz w:val="16"/>
                <w:szCs w:val="16"/>
              </w:rPr>
              <w:t xml:space="preserve">445</w:t>
            </w:r>
          </w:p>
        </w:tc>
        <w:tc>
          <w:tcPr>
            <w:tcW w:type="dxa" w:w="3460"/>
            <w:tcMar>
              <w:top w:type="dxa" w:w="60"/>
              <w:left w:type="dxa" w:w="90"/>
              <w:bottom w:type="dxa" w:w="60"/>
              <w:right w:type="dxa" w:w="90"/>
            </w:tcMar>
          </w:tcPr>
          <w:p>
            <w:pPr>
              <w:spacing w:after="40" w:before="40"/>
            </w:pPr>
            <w:r>
              <w:rPr>
                <w:b w:val="false"/>
                <w:bCs w:val="false"/>
                <w:sz w:val="16"/>
                <w:szCs w:val="16"/>
              </w:rPr>
              <w:t xml:space="preserve"/>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1</w:t>
            </w:r>
          </w:p>
        </w:tc>
        <w:tc>
          <w:tcPr>
            <w:tcW w:type="dxa" w:w="520"/>
            <w:tcMar>
              <w:top w:type="dxa" w:w="60"/>
              <w:left w:type="dxa" w:w="90"/>
              <w:bottom w:type="dxa" w:w="60"/>
              <w:right w:type="dxa" w:w="90"/>
            </w:tcMar>
          </w:tcPr>
          <w:p>
            <w:pPr>
              <w:spacing w:after="40" w:before="40"/>
            </w:pPr>
            <w:r>
              <w:rPr>
                <w:b w:val="false"/>
                <w:bCs w:val="false"/>
                <w:sz w:val="16"/>
                <w:szCs w:val="16"/>
              </w:rPr>
              <w:t xml:space="preserve">3</w:t>
            </w:r>
          </w:p>
        </w:tc>
        <w:tc>
          <w:tcPr>
            <w:tcW w:type="dxa" w:w="900"/>
            <w:tcMar>
              <w:top w:type="dxa" w:w="60"/>
              <w:left w:type="dxa" w:w="90"/>
              <w:bottom w:type="dxa" w:w="60"/>
              <w:right w:type="dxa" w:w="90"/>
            </w:tcMar>
          </w:tcPr>
          <w:p>
            <w:pPr>
              <w:spacing w:after="40" w:before="40"/>
            </w:pPr>
            <w:r>
              <w:rPr>
                <w:b w:val="false"/>
                <w:bCs w:val="false"/>
                <w:sz w:val="16"/>
                <w:szCs w:val="16"/>
              </w:rPr>
              <w:t xml:space="preserve">FL</w:t>
            </w:r>
          </w:p>
        </w:tc>
        <w:tc>
          <w:tcPr>
            <w:tcW w:type="dxa" w:w="1560"/>
            <w:tcMar>
              <w:top w:type="dxa" w:w="60"/>
              <w:left w:type="dxa" w:w="90"/>
              <w:bottom w:type="dxa" w:w="60"/>
              <w:right w:type="dxa" w:w="90"/>
            </w:tcMar>
          </w:tcPr>
          <w:p>
            <w:pPr>
              <w:spacing w:after="40" w:before="40"/>
            </w:pPr>
            <w:r>
              <w:rPr>
                <w:b w:val="false"/>
                <w:bCs w:val="false"/>
                <w:sz w:val="16"/>
                <w:szCs w:val="16"/>
              </w:rPr>
              <w:t xml:space="preserve">Frank Lock</w:t>
            </w:r>
          </w:p>
        </w:tc>
        <w:tc>
          <w:tcPr>
            <w:tcW w:type="dxa" w:w="1340"/>
            <w:tcMar>
              <w:top w:type="dxa" w:w="60"/>
              <w:left w:type="dxa" w:w="90"/>
              <w:bottom w:type="dxa" w:w="60"/>
              <w:right w:type="dxa" w:w="90"/>
            </w:tcMar>
          </w:tcPr>
          <w:p>
            <w:pPr>
              <w:spacing w:after="40" w:before="40"/>
            </w:pPr>
            <w:r>
              <w:rPr>
                <w:b w:val="false"/>
                <w:bCs w:val="false"/>
                <w:sz w:val="16"/>
                <w:szCs w:val="16"/>
              </w:rPr>
              <w:t xml:space="preserve">Plainfield</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name in parentheses in source</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1</w:t>
            </w:r>
          </w:p>
        </w:tc>
        <w:tc>
          <w:tcPr>
            <w:tcW w:type="dxa" w:w="520"/>
            <w:tcMar>
              <w:top w:type="dxa" w:w="60"/>
              <w:left w:type="dxa" w:w="90"/>
              <w:bottom w:type="dxa" w:w="60"/>
              <w:right w:type="dxa" w:w="90"/>
            </w:tcMar>
          </w:tcPr>
          <w:p>
            <w:pPr>
              <w:spacing w:after="40" w:before="40"/>
            </w:pPr>
            <w:r>
              <w:rPr>
                <w:b w:val="false"/>
                <w:bCs w:val="false"/>
                <w:sz w:val="16"/>
                <w:szCs w:val="16"/>
              </w:rPr>
              <w:t xml:space="preserve">3</w:t>
            </w:r>
          </w:p>
        </w:tc>
        <w:tc>
          <w:tcPr>
            <w:tcW w:type="dxa" w:w="900"/>
            <w:tcMar>
              <w:top w:type="dxa" w:w="60"/>
              <w:left w:type="dxa" w:w="90"/>
              <w:bottom w:type="dxa" w:w="60"/>
              <w:right w:type="dxa" w:w="90"/>
            </w:tcMar>
          </w:tcPr>
          <w:p>
            <w:pPr>
              <w:spacing w:after="40" w:before="40"/>
            </w:pPr>
            <w:r>
              <w:rPr>
                <w:b w:val="false"/>
                <w:bCs w:val="false"/>
                <w:sz w:val="16"/>
                <w:szCs w:val="16"/>
              </w:rPr>
              <w:t xml:space="preserve">SL</w:t>
            </w:r>
          </w:p>
        </w:tc>
        <w:tc>
          <w:tcPr>
            <w:tcW w:type="dxa" w:w="1560"/>
            <w:tcMar>
              <w:top w:type="dxa" w:w="60"/>
              <w:left w:type="dxa" w:w="90"/>
              <w:bottom w:type="dxa" w:w="60"/>
              <w:right w:type="dxa" w:w="90"/>
            </w:tcMar>
          </w:tcPr>
          <w:p>
            <w:pPr>
              <w:spacing w:after="40" w:before="40"/>
            </w:pPr>
            <w:r>
              <w:rPr>
                <w:b w:val="false"/>
                <w:bCs w:val="false"/>
                <w:sz w:val="16"/>
                <w:szCs w:val="16"/>
              </w:rPr>
              <w:t xml:space="preserve">Samuel Lyons</w:t>
            </w:r>
          </w:p>
        </w:tc>
        <w:tc>
          <w:tcPr>
            <w:tcW w:type="dxa" w:w="1340"/>
            <w:tcMar>
              <w:top w:type="dxa" w:w="60"/>
              <w:left w:type="dxa" w:w="90"/>
              <w:bottom w:type="dxa" w:w="60"/>
              <w:right w:type="dxa" w:w="90"/>
            </w:tcMar>
          </w:tcPr>
          <w:p>
            <w:pPr>
              <w:spacing w:after="40" w:before="40"/>
            </w:pPr>
            <w:r>
              <w:rPr>
                <w:b w:val="false"/>
                <w:bCs w:val="false"/>
                <w:sz w:val="16"/>
                <w:szCs w:val="16"/>
              </w:rPr>
              <w:t xml:space="preserve">Belfast</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second person printed below under the same code: “or W. Sidney Luff”, Portsmouth</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1</w:t>
            </w:r>
          </w:p>
        </w:tc>
        <w:tc>
          <w:tcPr>
            <w:tcW w:type="dxa" w:w="520"/>
            <w:tcMar>
              <w:top w:type="dxa" w:w="60"/>
              <w:left w:type="dxa" w:w="90"/>
              <w:bottom w:type="dxa" w:w="60"/>
              <w:right w:type="dxa" w:w="90"/>
            </w:tcMar>
          </w:tcPr>
          <w:p>
            <w:pPr>
              <w:spacing w:after="40" w:before="40"/>
            </w:pPr>
            <w:r>
              <w:rPr>
                <w:b w:val="false"/>
                <w:bCs w:val="false"/>
                <w:sz w:val="16"/>
                <w:szCs w:val="16"/>
              </w:rPr>
              <w:t xml:space="preserve">3</w:t>
            </w:r>
          </w:p>
        </w:tc>
        <w:tc>
          <w:tcPr>
            <w:tcW w:type="dxa" w:w="900"/>
            <w:tcMar>
              <w:top w:type="dxa" w:w="60"/>
              <w:left w:type="dxa" w:w="90"/>
              <w:bottom w:type="dxa" w:w="60"/>
              <w:right w:type="dxa" w:w="90"/>
            </w:tcMar>
          </w:tcPr>
          <w:p>
            <w:pPr>
              <w:spacing w:after="40" w:before="40"/>
            </w:pPr>
            <w:r>
              <w:rPr>
                <w:b w:val="false"/>
                <w:bCs w:val="false"/>
                <w:sz w:val="16"/>
                <w:szCs w:val="16"/>
              </w:rPr>
              <w:t xml:space="preserve">SL</w:t>
            </w:r>
          </w:p>
        </w:tc>
        <w:tc>
          <w:tcPr>
            <w:tcW w:type="dxa" w:w="1560"/>
            <w:tcMar>
              <w:top w:type="dxa" w:w="60"/>
              <w:left w:type="dxa" w:w="90"/>
              <w:bottom w:type="dxa" w:w="60"/>
              <w:right w:type="dxa" w:w="90"/>
            </w:tcMar>
          </w:tcPr>
          <w:p>
            <w:pPr>
              <w:spacing w:after="40" w:before="40"/>
            </w:pPr>
            <w:r>
              <w:rPr>
                <w:b w:val="false"/>
                <w:bCs w:val="false"/>
                <w:sz w:val="16"/>
                <w:szCs w:val="16"/>
              </w:rPr>
              <w:t xml:space="preserve">W. Sidney Luff</w:t>
            </w:r>
          </w:p>
        </w:tc>
        <w:tc>
          <w:tcPr>
            <w:tcW w:type="dxa" w:w="1340"/>
            <w:tcMar>
              <w:top w:type="dxa" w:w="60"/>
              <w:left w:type="dxa" w:w="90"/>
              <w:bottom w:type="dxa" w:w="60"/>
              <w:right w:type="dxa" w:w="90"/>
            </w:tcMar>
          </w:tcPr>
          <w:p>
            <w:pPr>
              <w:spacing w:after="40" w:before="40"/>
            </w:pPr>
            <w:r>
              <w:rPr>
                <w:b w:val="false"/>
                <w:bCs w:val="false"/>
                <w:sz w:val="16"/>
                <w:szCs w:val="16"/>
              </w:rPr>
              <w:t xml:space="preserve">Portsmouth</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§3.10a second person sharing this code with the preceding row</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1</w:t>
            </w:r>
          </w:p>
        </w:tc>
        <w:tc>
          <w:tcPr>
            <w:tcW w:type="dxa" w:w="520"/>
            <w:tcMar>
              <w:top w:type="dxa" w:w="60"/>
              <w:left w:type="dxa" w:w="90"/>
              <w:bottom w:type="dxa" w:w="60"/>
              <w:right w:type="dxa" w:w="90"/>
            </w:tcMar>
          </w:tcPr>
          <w:p>
            <w:pPr>
              <w:spacing w:after="40" w:before="40"/>
            </w:pPr>
            <w:r>
              <w:rPr>
                <w:b w:val="false"/>
                <w:bCs w:val="false"/>
                <w:sz w:val="16"/>
                <w:szCs w:val="16"/>
              </w:rPr>
              <w:t xml:space="preserve">4</w:t>
            </w:r>
          </w:p>
        </w:tc>
        <w:tc>
          <w:tcPr>
            <w:tcW w:type="dxa" w:w="900"/>
            <w:tcMar>
              <w:top w:type="dxa" w:w="60"/>
              <w:left w:type="dxa" w:w="90"/>
              <w:bottom w:type="dxa" w:w="60"/>
              <w:right w:type="dxa" w:w="90"/>
            </w:tcMar>
          </w:tcPr>
          <w:p>
            <w:pPr>
              <w:spacing w:after="40" w:before="40"/>
            </w:pPr>
            <w:r>
              <w:rPr>
                <w:b w:val="false"/>
                <w:bCs w:val="false"/>
                <w:sz w:val="16"/>
                <w:szCs w:val="16"/>
              </w:rPr>
              <w:t xml:space="preserve">JKR</w:t>
            </w:r>
          </w:p>
        </w:tc>
        <w:tc>
          <w:tcPr>
            <w:tcW w:type="dxa" w:w="1560"/>
            <w:tcMar>
              <w:top w:type="dxa" w:w="60"/>
              <w:left w:type="dxa" w:w="90"/>
              <w:bottom w:type="dxa" w:w="60"/>
              <w:right w:type="dxa" w:w="90"/>
            </w:tcMar>
          </w:tcPr>
          <w:p>
            <w:pPr>
              <w:spacing w:after="40" w:before="40"/>
            </w:pPr>
            <w:r>
              <w:rPr>
                <w:b w:val="false"/>
                <w:bCs w:val="false"/>
                <w:sz w:val="16"/>
                <w:szCs w:val="16"/>
              </w:rPr>
              <w:t xml:space="preserve"/>
            </w:r>
          </w:p>
        </w:tc>
        <w:tc>
          <w:tcPr>
            <w:tcW w:type="dxa" w:w="1340"/>
            <w:tcMar>
              <w:top w:type="dxa" w:w="60"/>
              <w:left w:type="dxa" w:w="90"/>
              <w:bottom w:type="dxa" w:w="60"/>
              <w:right w:type="dxa" w:w="90"/>
            </w:tcMar>
          </w:tcPr>
          <w:p>
            <w:pPr>
              <w:spacing w:after="40" w:before="40"/>
            </w:pPr>
            <w:r>
              <w:rPr>
                <w:b w:val="false"/>
                <w:bCs w:val="false"/>
                <w:sz w:val="16"/>
                <w:szCs w:val="16"/>
              </w:rPr>
              <w:t xml:space="preserve"/>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“misprint for JRK”</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w:t>
            </w:r>
          </w:p>
        </w:tc>
        <w:tc>
          <w:tcPr>
            <w:tcW w:type="dxa" w:w="520"/>
            <w:tcMar>
              <w:top w:type="dxa" w:w="60"/>
              <w:left w:type="dxa" w:w="90"/>
              <w:bottom w:type="dxa" w:w="60"/>
              <w:right w:type="dxa" w:w="90"/>
            </w:tcMar>
          </w:tcPr>
          <w:p>
            <w:pPr>
              <w:spacing w:after="40" w:before="40"/>
            </w:pPr>
            <w:r>
              <w:rPr>
                <w:b w:val="false"/>
                <w:bCs w:val="false"/>
                <w:sz w:val="16"/>
                <w:szCs w:val="16"/>
              </w:rPr>
              <w:t xml:space="preserve">5</w:t>
            </w:r>
          </w:p>
        </w:tc>
        <w:tc>
          <w:tcPr>
            <w:tcW w:type="dxa" w:w="900"/>
            <w:tcMar>
              <w:top w:type="dxa" w:w="60"/>
              <w:left w:type="dxa" w:w="90"/>
              <w:bottom w:type="dxa" w:w="60"/>
              <w:right w:type="dxa" w:w="90"/>
            </w:tcMar>
          </w:tcPr>
          <w:p>
            <w:pPr>
              <w:spacing w:after="40" w:before="40"/>
            </w:pPr>
            <w:r>
              <w:rPr>
                <w:b w:val="false"/>
                <w:bCs w:val="false"/>
                <w:sz w:val="16"/>
                <w:szCs w:val="16"/>
              </w:rPr>
              <w:t xml:space="preserve">JIJ</w:t>
            </w:r>
          </w:p>
        </w:tc>
        <w:tc>
          <w:tcPr>
            <w:tcW w:type="dxa" w:w="1560"/>
            <w:tcMar>
              <w:top w:type="dxa" w:w="60"/>
              <w:left w:type="dxa" w:w="90"/>
              <w:bottom w:type="dxa" w:w="60"/>
              <w:right w:type="dxa" w:w="90"/>
            </w:tcMar>
          </w:tcPr>
          <w:p>
            <w:pPr>
              <w:spacing w:after="40" w:before="40"/>
            </w:pPr>
            <w:r>
              <w:rPr>
                <w:b w:val="false"/>
                <w:bCs w:val="false"/>
                <w:sz w:val="16"/>
                <w:szCs w:val="16"/>
              </w:rPr>
              <w:t xml:space="preserve"/>
            </w:r>
          </w:p>
        </w:tc>
        <w:tc>
          <w:tcPr>
            <w:tcW w:type="dxa" w:w="1340"/>
            <w:tcMar>
              <w:top w:type="dxa" w:w="60"/>
              <w:left w:type="dxa" w:w="90"/>
              <w:bottom w:type="dxa" w:w="60"/>
              <w:right w:type="dxa" w:w="90"/>
            </w:tcMar>
          </w:tcPr>
          <w:p>
            <w:pPr>
              <w:spacing w:after="40" w:before="40"/>
            </w:pPr>
            <w:r>
              <w:rPr>
                <w:b w:val="false"/>
                <w:bCs w:val="false"/>
                <w:sz w:val="16"/>
                <w:szCs w:val="16"/>
              </w:rPr>
              <w:t xml:space="preserve"/>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“misprint for JLJ”</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w:t>
            </w:r>
          </w:p>
        </w:tc>
        <w:tc>
          <w:tcPr>
            <w:tcW w:type="dxa" w:w="520"/>
            <w:tcMar>
              <w:top w:type="dxa" w:w="60"/>
              <w:left w:type="dxa" w:w="90"/>
              <w:bottom w:type="dxa" w:w="60"/>
              <w:right w:type="dxa" w:w="90"/>
            </w:tcMar>
          </w:tcPr>
          <w:p>
            <w:pPr>
              <w:spacing w:after="40" w:before="40"/>
            </w:pPr>
            <w:r>
              <w:rPr>
                <w:b w:val="false"/>
                <w:bCs w:val="false"/>
                <w:sz w:val="16"/>
                <w:szCs w:val="16"/>
              </w:rPr>
              <w:t xml:space="preserve">6</w:t>
            </w:r>
          </w:p>
        </w:tc>
        <w:tc>
          <w:tcPr>
            <w:tcW w:type="dxa" w:w="900"/>
            <w:tcMar>
              <w:top w:type="dxa" w:w="60"/>
              <w:left w:type="dxa" w:w="90"/>
              <w:bottom w:type="dxa" w:w="60"/>
              <w:right w:type="dxa" w:w="90"/>
            </w:tcMar>
          </w:tcPr>
          <w:p>
            <w:pPr>
              <w:spacing w:after="40" w:before="40"/>
            </w:pPr>
            <w:r>
              <w:rPr>
                <w:b w:val="false"/>
                <w:bCs w:val="false"/>
                <w:sz w:val="16"/>
                <w:szCs w:val="16"/>
              </w:rPr>
              <w:t xml:space="preserve">B</w:t>
            </w:r>
          </w:p>
        </w:tc>
        <w:tc>
          <w:tcPr>
            <w:tcW w:type="dxa" w:w="1560"/>
            <w:tcMar>
              <w:top w:type="dxa" w:w="60"/>
              <w:left w:type="dxa" w:w="90"/>
              <w:bottom w:type="dxa" w:w="60"/>
              <w:right w:type="dxa" w:w="90"/>
            </w:tcMar>
          </w:tcPr>
          <w:p>
            <w:pPr>
              <w:spacing w:after="40" w:before="40"/>
            </w:pPr>
            <w:r>
              <w:rPr>
                <w:b w:val="false"/>
                <w:bCs w:val="false"/>
                <w:sz w:val="16"/>
                <w:szCs w:val="16"/>
              </w:rPr>
              <w:t xml:space="preserve">Bookless</w:t>
            </w:r>
          </w:p>
        </w:tc>
        <w:tc>
          <w:tcPr>
            <w:tcW w:type="dxa" w:w="1340"/>
            <w:tcMar>
              <w:top w:type="dxa" w:w="60"/>
              <w:left w:type="dxa" w:w="90"/>
              <w:bottom w:type="dxa" w:w="60"/>
              <w:right w:type="dxa" w:w="90"/>
            </w:tcMar>
          </w:tcPr>
          <w:p>
            <w:pPr>
              <w:spacing w:after="40" w:before="40"/>
            </w:pPr>
            <w:r>
              <w:rPr>
                <w:b w:val="false"/>
                <w:bCs w:val="false"/>
                <w:sz w:val="16"/>
                <w:szCs w:val="16"/>
              </w:rPr>
              <w:t xml:space="preserve">Newcastle-u-T.</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source marks name uncertain (?)</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w:t>
            </w:r>
          </w:p>
        </w:tc>
        <w:tc>
          <w:tcPr>
            <w:tcW w:type="dxa" w:w="520"/>
            <w:tcMar>
              <w:top w:type="dxa" w:w="60"/>
              <w:left w:type="dxa" w:w="90"/>
              <w:bottom w:type="dxa" w:w="60"/>
              <w:right w:type="dxa" w:w="90"/>
            </w:tcMar>
          </w:tcPr>
          <w:p>
            <w:pPr>
              <w:spacing w:after="40" w:before="40"/>
            </w:pPr>
            <w:r>
              <w:rPr>
                <w:b w:val="false"/>
                <w:bCs w:val="false"/>
                <w:sz w:val="16"/>
                <w:szCs w:val="16"/>
              </w:rPr>
              <w:t xml:space="preserve">6</w:t>
            </w:r>
          </w:p>
        </w:tc>
        <w:tc>
          <w:tcPr>
            <w:tcW w:type="dxa" w:w="900"/>
            <w:tcMar>
              <w:top w:type="dxa" w:w="60"/>
              <w:left w:type="dxa" w:w="90"/>
              <w:bottom w:type="dxa" w:w="60"/>
              <w:right w:type="dxa" w:w="90"/>
            </w:tcMar>
          </w:tcPr>
          <w:p>
            <w:pPr>
              <w:spacing w:after="40" w:before="40"/>
            </w:pPr>
            <w:r>
              <w:rPr>
                <w:b w:val="false"/>
                <w:bCs w:val="false"/>
                <w:sz w:val="16"/>
                <w:szCs w:val="16"/>
              </w:rPr>
              <w:t xml:space="preserve">JD</w:t>
            </w:r>
          </w:p>
        </w:tc>
        <w:tc>
          <w:tcPr>
            <w:tcW w:type="dxa" w:w="1560"/>
            <w:tcMar>
              <w:top w:type="dxa" w:w="60"/>
              <w:left w:type="dxa" w:w="90"/>
              <w:bottom w:type="dxa" w:w="60"/>
              <w:right w:type="dxa" w:w="90"/>
            </w:tcMar>
          </w:tcPr>
          <w:p>
            <w:pPr>
              <w:spacing w:after="40" w:before="40"/>
            </w:pPr>
            <w:r>
              <w:rPr>
                <w:b w:val="false"/>
                <w:bCs w:val="false"/>
                <w:sz w:val="16"/>
                <w:szCs w:val="16"/>
              </w:rPr>
              <w:t xml:space="preserve">J Doughty</w:t>
            </w:r>
          </w:p>
        </w:tc>
        <w:tc>
          <w:tcPr>
            <w:tcW w:type="dxa" w:w="1340"/>
            <w:tcMar>
              <w:top w:type="dxa" w:w="60"/>
              <w:left w:type="dxa" w:w="90"/>
              <w:bottom w:type="dxa" w:w="60"/>
              <w:right w:type="dxa" w:w="90"/>
            </w:tcMar>
          </w:tcPr>
          <w:p>
            <w:pPr>
              <w:spacing w:after="40" w:before="40"/>
            </w:pPr>
            <w:r>
              <w:rPr>
                <w:b w:val="false"/>
                <w:bCs w:val="false"/>
                <w:sz w:val="16"/>
                <w:szCs w:val="16"/>
              </w:rPr>
              <w:t xml:space="preserve">Hull</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alt. locality: Rotherham (printed on wrapped line)</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w:t>
            </w:r>
          </w:p>
        </w:tc>
        <w:tc>
          <w:tcPr>
            <w:tcW w:type="dxa" w:w="520"/>
            <w:tcMar>
              <w:top w:type="dxa" w:w="60"/>
              <w:left w:type="dxa" w:w="90"/>
              <w:bottom w:type="dxa" w:w="60"/>
              <w:right w:type="dxa" w:w="90"/>
            </w:tcMar>
          </w:tcPr>
          <w:p>
            <w:pPr>
              <w:spacing w:after="40" w:before="40"/>
            </w:pPr>
            <w:r>
              <w:rPr>
                <w:b w:val="false"/>
                <w:bCs w:val="false"/>
                <w:sz w:val="16"/>
                <w:szCs w:val="16"/>
              </w:rPr>
              <w:t xml:space="preserve">8</w:t>
            </w:r>
          </w:p>
        </w:tc>
        <w:tc>
          <w:tcPr>
            <w:tcW w:type="dxa" w:w="900"/>
            <w:tcMar>
              <w:top w:type="dxa" w:w="60"/>
              <w:left w:type="dxa" w:w="90"/>
              <w:bottom w:type="dxa" w:w="60"/>
              <w:right w:type="dxa" w:w="90"/>
            </w:tcMar>
          </w:tcPr>
          <w:p>
            <w:pPr>
              <w:spacing w:after="40" w:before="40"/>
            </w:pPr>
            <w:r>
              <w:rPr>
                <w:b w:val="false"/>
                <w:bCs w:val="false"/>
                <w:sz w:val="16"/>
                <w:szCs w:val="16"/>
              </w:rPr>
              <w:t xml:space="preserve">JB</w:t>
            </w:r>
          </w:p>
        </w:tc>
        <w:tc>
          <w:tcPr>
            <w:tcW w:type="dxa" w:w="1560"/>
            <w:tcMar>
              <w:top w:type="dxa" w:w="60"/>
              <w:left w:type="dxa" w:w="90"/>
              <w:bottom w:type="dxa" w:w="60"/>
              <w:right w:type="dxa" w:w="90"/>
            </w:tcMar>
          </w:tcPr>
          <w:p>
            <w:pPr>
              <w:spacing w:after="40" w:before="40"/>
            </w:pPr>
            <w:r>
              <w:rPr>
                <w:b w:val="false"/>
                <w:bCs w:val="false"/>
                <w:sz w:val="16"/>
                <w:szCs w:val="16"/>
              </w:rPr>
              <w:t xml:space="preserve">James Bowan</w:t>
            </w:r>
          </w:p>
        </w:tc>
        <w:tc>
          <w:tcPr>
            <w:tcW w:type="dxa" w:w="1340"/>
            <w:tcMar>
              <w:top w:type="dxa" w:w="60"/>
              <w:left w:type="dxa" w:w="90"/>
              <w:bottom w:type="dxa" w:w="60"/>
              <w:right w:type="dxa" w:w="90"/>
            </w:tcMar>
          </w:tcPr>
          <w:p>
            <w:pPr>
              <w:spacing w:after="40" w:before="40"/>
            </w:pPr>
            <w:r>
              <w:rPr>
                <w:b w:val="false"/>
                <w:bCs w:val="false"/>
                <w:sz w:val="16"/>
                <w:szCs w:val="16"/>
              </w:rPr>
              <w:t xml:space="preserve">Plainfield</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second person printed below under the same code: “or John Boyt”, Des Moines</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w:t>
            </w:r>
          </w:p>
        </w:tc>
        <w:tc>
          <w:tcPr>
            <w:tcW w:type="dxa" w:w="520"/>
            <w:tcMar>
              <w:top w:type="dxa" w:w="60"/>
              <w:left w:type="dxa" w:w="90"/>
              <w:bottom w:type="dxa" w:w="60"/>
              <w:right w:type="dxa" w:w="90"/>
            </w:tcMar>
          </w:tcPr>
          <w:p>
            <w:pPr>
              <w:spacing w:after="40" w:before="40"/>
            </w:pPr>
            <w:r>
              <w:rPr>
                <w:b w:val="false"/>
                <w:bCs w:val="false"/>
                <w:sz w:val="16"/>
                <w:szCs w:val="16"/>
              </w:rPr>
              <w:t xml:space="preserve">8</w:t>
            </w:r>
          </w:p>
        </w:tc>
        <w:tc>
          <w:tcPr>
            <w:tcW w:type="dxa" w:w="900"/>
            <w:tcMar>
              <w:top w:type="dxa" w:w="60"/>
              <w:left w:type="dxa" w:w="90"/>
              <w:bottom w:type="dxa" w:w="60"/>
              <w:right w:type="dxa" w:w="90"/>
            </w:tcMar>
          </w:tcPr>
          <w:p>
            <w:pPr>
              <w:spacing w:after="40" w:before="40"/>
            </w:pPr>
            <w:r>
              <w:rPr>
                <w:b w:val="false"/>
                <w:bCs w:val="false"/>
                <w:sz w:val="16"/>
                <w:szCs w:val="16"/>
              </w:rPr>
              <w:t xml:space="preserve">JB</w:t>
            </w:r>
          </w:p>
        </w:tc>
        <w:tc>
          <w:tcPr>
            <w:tcW w:type="dxa" w:w="1560"/>
            <w:tcMar>
              <w:top w:type="dxa" w:w="60"/>
              <w:left w:type="dxa" w:w="90"/>
              <w:bottom w:type="dxa" w:w="60"/>
              <w:right w:type="dxa" w:w="90"/>
            </w:tcMar>
          </w:tcPr>
          <w:p>
            <w:pPr>
              <w:spacing w:after="40" w:before="40"/>
            </w:pPr>
            <w:r>
              <w:rPr>
                <w:b w:val="false"/>
                <w:bCs w:val="false"/>
                <w:sz w:val="16"/>
                <w:szCs w:val="16"/>
              </w:rPr>
              <w:t xml:space="preserve">John Boyt</w:t>
            </w:r>
          </w:p>
        </w:tc>
        <w:tc>
          <w:tcPr>
            <w:tcW w:type="dxa" w:w="1340"/>
            <w:tcMar>
              <w:top w:type="dxa" w:w="60"/>
              <w:left w:type="dxa" w:w="90"/>
              <w:bottom w:type="dxa" w:w="60"/>
              <w:right w:type="dxa" w:w="90"/>
            </w:tcMar>
          </w:tcPr>
          <w:p>
            <w:pPr>
              <w:spacing w:after="40" w:before="40"/>
            </w:pPr>
            <w:r>
              <w:rPr>
                <w:b w:val="false"/>
                <w:bCs w:val="false"/>
                <w:sz w:val="16"/>
                <w:szCs w:val="16"/>
              </w:rPr>
              <w:t xml:space="preserve">Des Moines</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§3.10a second person sharing this code with the preceding row</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w:t>
            </w:r>
          </w:p>
        </w:tc>
        <w:tc>
          <w:tcPr>
            <w:tcW w:type="dxa" w:w="520"/>
            <w:tcMar>
              <w:top w:type="dxa" w:w="60"/>
              <w:left w:type="dxa" w:w="90"/>
              <w:bottom w:type="dxa" w:w="60"/>
              <w:right w:type="dxa" w:w="90"/>
            </w:tcMar>
          </w:tcPr>
          <w:p>
            <w:pPr>
              <w:spacing w:after="40" w:before="40"/>
            </w:pPr>
            <w:r>
              <w:rPr>
                <w:b w:val="false"/>
                <w:bCs w:val="false"/>
                <w:sz w:val="16"/>
                <w:szCs w:val="16"/>
              </w:rPr>
              <w:t xml:space="preserve">8</w:t>
            </w:r>
          </w:p>
        </w:tc>
        <w:tc>
          <w:tcPr>
            <w:tcW w:type="dxa" w:w="900"/>
            <w:tcMar>
              <w:top w:type="dxa" w:w="60"/>
              <w:left w:type="dxa" w:w="90"/>
              <w:bottom w:type="dxa" w:w="60"/>
              <w:right w:type="dxa" w:w="90"/>
            </w:tcMar>
          </w:tcPr>
          <w:p>
            <w:pPr>
              <w:spacing w:after="40" w:before="40"/>
            </w:pPr>
            <w:r>
              <w:rPr>
                <w:b w:val="false"/>
                <w:bCs w:val="false"/>
                <w:sz w:val="16"/>
                <w:szCs w:val="16"/>
              </w:rPr>
              <w:t xml:space="preserve">WJ</w:t>
            </w:r>
          </w:p>
        </w:tc>
        <w:tc>
          <w:tcPr>
            <w:tcW w:type="dxa" w:w="1560"/>
            <w:tcMar>
              <w:top w:type="dxa" w:w="60"/>
              <w:left w:type="dxa" w:w="90"/>
              <w:bottom w:type="dxa" w:w="60"/>
              <w:right w:type="dxa" w:w="90"/>
            </w:tcMar>
          </w:tcPr>
          <w:p>
            <w:pPr>
              <w:spacing w:after="40" w:before="40"/>
            </w:pPr>
            <w:r>
              <w:rPr>
                <w:b w:val="false"/>
                <w:bCs w:val="false"/>
                <w:sz w:val="16"/>
                <w:szCs w:val="16"/>
              </w:rPr>
              <w:t xml:space="preserve">Capt Wm. Johnson</w:t>
            </w:r>
          </w:p>
        </w:tc>
        <w:tc>
          <w:tcPr>
            <w:tcW w:type="dxa" w:w="1340"/>
            <w:tcMar>
              <w:top w:type="dxa" w:w="60"/>
              <w:left w:type="dxa" w:w="90"/>
              <w:bottom w:type="dxa" w:w="60"/>
              <w:right w:type="dxa" w:w="90"/>
            </w:tcMar>
          </w:tcPr>
          <w:p>
            <w:pPr>
              <w:spacing w:after="40" w:before="40"/>
            </w:pPr>
            <w:r>
              <w:rPr>
                <w:b w:val="false"/>
                <w:bCs w:val="false"/>
                <w:sz w:val="16"/>
                <w:szCs w:val="16"/>
              </w:rPr>
              <w:t xml:space="preserve">Wimbledon</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source marks LOCALITY uncertain (?)</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w:t>
            </w:r>
          </w:p>
        </w:tc>
        <w:tc>
          <w:tcPr>
            <w:tcW w:type="dxa" w:w="520"/>
            <w:tcMar>
              <w:top w:type="dxa" w:w="60"/>
              <w:left w:type="dxa" w:w="90"/>
              <w:bottom w:type="dxa" w:w="60"/>
              <w:right w:type="dxa" w:w="90"/>
            </w:tcMar>
          </w:tcPr>
          <w:p>
            <w:pPr>
              <w:spacing w:after="40" w:before="40"/>
            </w:pPr>
            <w:r>
              <w:rPr>
                <w:b w:val="false"/>
                <w:bCs w:val="false"/>
                <w:sz w:val="16"/>
                <w:szCs w:val="16"/>
              </w:rPr>
              <w:t xml:space="preserve">8</w:t>
            </w:r>
          </w:p>
        </w:tc>
        <w:tc>
          <w:tcPr>
            <w:tcW w:type="dxa" w:w="900"/>
            <w:tcMar>
              <w:top w:type="dxa" w:w="60"/>
              <w:left w:type="dxa" w:w="90"/>
              <w:bottom w:type="dxa" w:w="60"/>
              <w:right w:type="dxa" w:w="90"/>
            </w:tcMar>
          </w:tcPr>
          <w:p>
            <w:pPr>
              <w:spacing w:after="40" w:before="40"/>
            </w:pPr>
            <w:r>
              <w:rPr>
                <w:b w:val="false"/>
                <w:bCs w:val="false"/>
                <w:sz w:val="16"/>
                <w:szCs w:val="16"/>
              </w:rPr>
              <w:t xml:space="preserve">RG</w:t>
            </w:r>
          </w:p>
        </w:tc>
        <w:tc>
          <w:tcPr>
            <w:tcW w:type="dxa" w:w="1560"/>
            <w:tcMar>
              <w:top w:type="dxa" w:w="60"/>
              <w:left w:type="dxa" w:w="90"/>
              <w:bottom w:type="dxa" w:w="60"/>
              <w:right w:type="dxa" w:w="90"/>
            </w:tcMar>
          </w:tcPr>
          <w:p>
            <w:pPr>
              <w:spacing w:after="40" w:before="40"/>
            </w:pPr>
            <w:r>
              <w:rPr>
                <w:b w:val="false"/>
                <w:bCs w:val="false"/>
                <w:sz w:val="16"/>
                <w:szCs w:val="16"/>
              </w:rPr>
              <w:t xml:space="preserve">Robert S. Gribbon</w:t>
            </w:r>
          </w:p>
        </w:tc>
        <w:tc>
          <w:tcPr>
            <w:tcW w:type="dxa" w:w="1340"/>
            <w:tcMar>
              <w:top w:type="dxa" w:w="60"/>
              <w:left w:type="dxa" w:w="90"/>
              <w:bottom w:type="dxa" w:w="60"/>
              <w:right w:type="dxa" w:w="90"/>
            </w:tcMar>
          </w:tcPr>
          <w:p>
            <w:pPr>
              <w:spacing w:after="40" w:before="40"/>
            </w:pPr>
            <w:r>
              <w:rPr>
                <w:b w:val="false"/>
                <w:bCs w:val="false"/>
                <w:sz w:val="16"/>
                <w:szCs w:val="16"/>
              </w:rPr>
              <w:t xml:space="preserve">Belfast</w:t>
            </w:r>
          </w:p>
        </w:tc>
        <w:tc>
          <w:tcPr>
            <w:tcW w:type="dxa" w:w="940"/>
            <w:tcMar>
              <w:top w:type="dxa" w:w="60"/>
              <w:left w:type="dxa" w:w="90"/>
              <w:bottom w:type="dxa" w:w="60"/>
              <w:right w:type="dxa" w:w="90"/>
            </w:tcMar>
          </w:tcPr>
          <w:p>
            <w:pPr>
              <w:spacing w:after="40" w:before="40"/>
            </w:pPr>
            <w:r>
              <w:rPr>
                <w:b w:val="false"/>
                <w:bCs w:val="false"/>
                <w:sz w:val="16"/>
                <w:szCs w:val="16"/>
              </w:rPr>
              <w:t xml:space="preserve">293</w:t>
            </w:r>
          </w:p>
        </w:tc>
        <w:tc>
          <w:tcPr>
            <w:tcW w:type="dxa" w:w="3460"/>
            <w:tcMar>
              <w:top w:type="dxa" w:w="60"/>
              <w:left w:type="dxa" w:w="90"/>
              <w:bottom w:type="dxa" w:w="60"/>
              <w:right w:type="dxa" w:w="90"/>
            </w:tcMar>
          </w:tcPr>
          <w:p>
            <w:pPr>
              <w:spacing w:after="40" w:before="40"/>
            </w:pPr>
            <w:r>
              <w:rPr>
                <w:b w:val="false"/>
                <w:bCs w:val="false"/>
                <w:sz w:val="16"/>
                <w:szCs w:val="16"/>
              </w:rPr>
              <w:t xml:space="preserve">printed as “293RG”</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22</w:t>
            </w:r>
          </w:p>
        </w:tc>
        <w:tc>
          <w:tcPr>
            <w:tcW w:type="dxa" w:w="520"/>
            <w:tcMar>
              <w:top w:type="dxa" w:w="60"/>
              <w:left w:type="dxa" w:w="90"/>
              <w:bottom w:type="dxa" w:w="60"/>
              <w:right w:type="dxa" w:w="90"/>
            </w:tcMar>
          </w:tcPr>
          <w:p>
            <w:pPr>
              <w:spacing w:after="40" w:before="40"/>
            </w:pPr>
            <w:r>
              <w:rPr>
                <w:b w:val="false"/>
                <w:bCs w:val="false"/>
                <w:sz w:val="16"/>
                <w:szCs w:val="16"/>
              </w:rPr>
              <w:t xml:space="preserve">57</w:t>
            </w:r>
          </w:p>
        </w:tc>
        <w:tc>
          <w:tcPr>
            <w:tcW w:type="dxa" w:w="900"/>
            <w:tcMar>
              <w:top w:type="dxa" w:w="60"/>
              <w:left w:type="dxa" w:w="90"/>
              <w:bottom w:type="dxa" w:w="60"/>
              <w:right w:type="dxa" w:w="90"/>
            </w:tcMar>
          </w:tcPr>
          <w:p>
            <w:pPr>
              <w:spacing w:after="40" w:before="40"/>
            </w:pPr>
            <w:r>
              <w:rPr>
                <w:b w:val="false"/>
                <w:bCs w:val="false"/>
                <w:sz w:val="16"/>
                <w:szCs w:val="16"/>
              </w:rPr>
              <w:t xml:space="preserve">EH</w:t>
            </w:r>
          </w:p>
        </w:tc>
        <w:tc>
          <w:tcPr>
            <w:tcW w:type="dxa" w:w="1560"/>
            <w:tcMar>
              <w:top w:type="dxa" w:w="60"/>
              <w:left w:type="dxa" w:w="90"/>
              <w:bottom w:type="dxa" w:w="60"/>
              <w:right w:type="dxa" w:w="90"/>
            </w:tcMar>
          </w:tcPr>
          <w:p>
            <w:pPr>
              <w:spacing w:after="40" w:before="40"/>
            </w:pPr>
            <w:r>
              <w:rPr>
                <w:b w:val="false"/>
                <w:bCs w:val="false"/>
                <w:sz w:val="16"/>
                <w:szCs w:val="16"/>
              </w:rPr>
              <w:t xml:space="preserve">Elliott E. Hoyte</w:t>
            </w:r>
          </w:p>
        </w:tc>
        <w:tc>
          <w:tcPr>
            <w:tcW w:type="dxa" w:w="1340"/>
            <w:tcMar>
              <w:top w:type="dxa" w:w="60"/>
              <w:left w:type="dxa" w:w="90"/>
              <w:bottom w:type="dxa" w:w="60"/>
              <w:right w:type="dxa" w:w="90"/>
            </w:tcMar>
          </w:tcPr>
          <w:p>
            <w:pPr>
              <w:spacing w:after="40" w:before="40"/>
            </w:pPr>
            <w:r>
              <w:rPr>
                <w:b w:val="false"/>
                <w:bCs w:val="false"/>
                <w:sz w:val="16"/>
                <w:szCs w:val="16"/>
              </w:rPr>
              <w:t xml:space="preserve">New York</w:t>
            </w:r>
          </w:p>
        </w:tc>
        <w:tc>
          <w:tcPr>
            <w:tcW w:type="dxa" w:w="940"/>
            <w:tcMar>
              <w:top w:type="dxa" w:w="60"/>
              <w:left w:type="dxa" w:w="90"/>
              <w:bottom w:type="dxa" w:w="60"/>
              <w:right w:type="dxa" w:w="90"/>
            </w:tcMar>
          </w:tcPr>
          <w:p>
            <w:pPr>
              <w:spacing w:after="40" w:before="40"/>
            </w:pPr>
            <w:r>
              <w:rPr>
                <w:b w:val="false"/>
                <w:bCs w:val="false"/>
                <w:sz w:val="16"/>
                <w:szCs w:val="16"/>
              </w:rPr>
              <w:t xml:space="preserve">266</w:t>
            </w:r>
          </w:p>
        </w:tc>
        <w:tc>
          <w:tcPr>
            <w:tcW w:type="dxa" w:w="3460"/>
            <w:tcMar>
              <w:top w:type="dxa" w:w="60"/>
              <w:left w:type="dxa" w:w="90"/>
              <w:bottom w:type="dxa" w:w="60"/>
              <w:right w:type="dxa" w:w="90"/>
            </w:tcMar>
          </w:tcPr>
          <w:p>
            <w:pPr>
              <w:spacing w:after="40" w:before="40"/>
            </w:pPr>
            <w:r>
              <w:rPr>
                <w:b w:val="false"/>
                <w:bCs w:val="false"/>
                <w:sz w:val="16"/>
                <w:szCs w:val="16"/>
              </w:rPr>
              <w:t xml:space="preserve">printed as “266EH”</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22</w:t>
            </w:r>
          </w:p>
        </w:tc>
        <w:tc>
          <w:tcPr>
            <w:tcW w:type="dxa" w:w="520"/>
            <w:tcMar>
              <w:top w:type="dxa" w:w="60"/>
              <w:left w:type="dxa" w:w="90"/>
              <w:bottom w:type="dxa" w:w="60"/>
              <w:right w:type="dxa" w:w="90"/>
            </w:tcMar>
          </w:tcPr>
          <w:p>
            <w:pPr>
              <w:spacing w:after="40" w:before="40"/>
            </w:pPr>
            <w:r>
              <w:rPr>
                <w:b w:val="false"/>
                <w:bCs w:val="false"/>
                <w:sz w:val="16"/>
                <w:szCs w:val="16"/>
              </w:rPr>
              <w:t xml:space="preserve">57</w:t>
            </w:r>
          </w:p>
        </w:tc>
        <w:tc>
          <w:tcPr>
            <w:tcW w:type="dxa" w:w="900"/>
            <w:tcMar>
              <w:top w:type="dxa" w:w="60"/>
              <w:left w:type="dxa" w:w="90"/>
              <w:bottom w:type="dxa" w:w="60"/>
              <w:right w:type="dxa" w:w="90"/>
            </w:tcMar>
          </w:tcPr>
          <w:p>
            <w:pPr>
              <w:spacing w:after="40" w:before="40"/>
            </w:pPr>
            <w:r>
              <w:rPr>
                <w:b w:val="false"/>
                <w:bCs w:val="false"/>
                <w:sz w:val="16"/>
                <w:szCs w:val="16"/>
              </w:rPr>
              <w:t xml:space="preserve">AM</w:t>
            </w:r>
          </w:p>
        </w:tc>
        <w:tc>
          <w:tcPr>
            <w:tcW w:type="dxa" w:w="1560"/>
            <w:tcMar>
              <w:top w:type="dxa" w:w="60"/>
              <w:left w:type="dxa" w:w="90"/>
              <w:bottom w:type="dxa" w:w="60"/>
              <w:right w:type="dxa" w:w="90"/>
            </w:tcMar>
          </w:tcPr>
          <w:p>
            <w:pPr>
              <w:spacing w:after="40" w:before="40"/>
            </w:pPr>
            <w:r>
              <w:rPr>
                <w:b w:val="false"/>
                <w:bCs w:val="false"/>
                <w:sz w:val="16"/>
                <w:szCs w:val="16"/>
              </w:rPr>
              <w:t xml:space="preserve"/>
            </w:r>
          </w:p>
        </w:tc>
        <w:tc>
          <w:tcPr>
            <w:tcW w:type="dxa" w:w="1340"/>
            <w:tcMar>
              <w:top w:type="dxa" w:w="60"/>
              <w:left w:type="dxa" w:w="90"/>
              <w:bottom w:type="dxa" w:w="60"/>
              <w:right w:type="dxa" w:w="90"/>
            </w:tcMar>
          </w:tcPr>
          <w:p>
            <w:pPr>
              <w:spacing w:after="40" w:before="40"/>
            </w:pPr>
            <w:r>
              <w:rPr>
                <w:b w:val="false"/>
                <w:bCs w:val="false"/>
                <w:sz w:val="16"/>
                <w:szCs w:val="16"/>
              </w:rPr>
              <w:t xml:space="preserve"/>
            </w:r>
          </w:p>
        </w:tc>
        <w:tc>
          <w:tcPr>
            <w:tcW w:type="dxa" w:w="940"/>
            <w:tcMar>
              <w:top w:type="dxa" w:w="60"/>
              <w:left w:type="dxa" w:w="90"/>
              <w:bottom w:type="dxa" w:w="60"/>
              <w:right w:type="dxa" w:w="90"/>
            </w:tcMar>
          </w:tcPr>
          <w:p>
            <w:pPr>
              <w:spacing w:after="40" w:before="40"/>
            </w:pPr>
            <w:r>
              <w:rPr>
                <w:b w:val="false"/>
                <w:bCs w:val="false"/>
                <w:sz w:val="16"/>
                <w:szCs w:val="16"/>
              </w:rPr>
              <w:t xml:space="preserve">372</w:t>
            </w:r>
          </w:p>
        </w:tc>
        <w:tc>
          <w:tcPr>
            <w:tcW w:type="dxa" w:w="3460"/>
            <w:tcMar>
              <w:top w:type="dxa" w:w="60"/>
              <w:left w:type="dxa" w:w="90"/>
              <w:bottom w:type="dxa" w:w="60"/>
              <w:right w:type="dxa" w:w="90"/>
            </w:tcMar>
          </w:tcPr>
          <w:p>
            <w:pPr>
              <w:spacing w:after="40" w:before="40"/>
            </w:pPr>
            <w:r>
              <w:rPr>
                <w:b w:val="false"/>
                <w:bCs w:val="false"/>
                <w:sz w:val="16"/>
                <w:szCs w:val="16"/>
              </w:rPr>
              <w:t xml:space="preserve">printed as “372AM”; code printed with no name or locality</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22</w:t>
            </w:r>
          </w:p>
        </w:tc>
        <w:tc>
          <w:tcPr>
            <w:tcW w:type="dxa" w:w="520"/>
            <w:tcMar>
              <w:top w:type="dxa" w:w="60"/>
              <w:left w:type="dxa" w:w="90"/>
              <w:bottom w:type="dxa" w:w="60"/>
              <w:right w:type="dxa" w:w="90"/>
            </w:tcMar>
          </w:tcPr>
          <w:p>
            <w:pPr>
              <w:spacing w:after="40" w:before="40"/>
            </w:pPr>
            <w:r>
              <w:rPr>
                <w:b w:val="false"/>
                <w:bCs w:val="false"/>
                <w:sz w:val="16"/>
                <w:szCs w:val="16"/>
              </w:rPr>
              <w:t xml:space="preserve">57</w:t>
            </w:r>
          </w:p>
        </w:tc>
        <w:tc>
          <w:tcPr>
            <w:tcW w:type="dxa" w:w="900"/>
            <w:tcMar>
              <w:top w:type="dxa" w:w="60"/>
              <w:left w:type="dxa" w:w="90"/>
              <w:bottom w:type="dxa" w:w="60"/>
              <w:right w:type="dxa" w:w="90"/>
            </w:tcMar>
          </w:tcPr>
          <w:p>
            <w:pPr>
              <w:spacing w:after="40" w:before="40"/>
            </w:pPr>
            <w:r>
              <w:rPr>
                <w:b w:val="false"/>
                <w:bCs w:val="false"/>
                <w:sz w:val="16"/>
                <w:szCs w:val="16"/>
              </w:rPr>
              <w:t xml:space="preserve">RB</w:t>
            </w:r>
          </w:p>
        </w:tc>
        <w:tc>
          <w:tcPr>
            <w:tcW w:type="dxa" w:w="1560"/>
            <w:tcMar>
              <w:top w:type="dxa" w:w="60"/>
              <w:left w:type="dxa" w:w="90"/>
              <w:bottom w:type="dxa" w:w="60"/>
              <w:right w:type="dxa" w:w="90"/>
            </w:tcMar>
          </w:tcPr>
          <w:p>
            <w:pPr>
              <w:spacing w:after="40" w:before="40"/>
            </w:pPr>
            <w:r>
              <w:rPr>
                <w:b w:val="false"/>
                <w:bCs w:val="false"/>
                <w:sz w:val="16"/>
                <w:szCs w:val="16"/>
              </w:rPr>
              <w:t xml:space="preserve">Robert Blackwell</w:t>
            </w:r>
          </w:p>
        </w:tc>
        <w:tc>
          <w:tcPr>
            <w:tcW w:type="dxa" w:w="1340"/>
            <w:tcMar>
              <w:top w:type="dxa" w:w="60"/>
              <w:left w:type="dxa" w:w="90"/>
              <w:bottom w:type="dxa" w:w="60"/>
              <w:right w:type="dxa" w:w="90"/>
            </w:tcMar>
          </w:tcPr>
          <w:p>
            <w:pPr>
              <w:spacing w:after="40" w:before="40"/>
            </w:pPr>
            <w:r>
              <w:rPr>
                <w:b w:val="false"/>
                <w:bCs w:val="false"/>
                <w:sz w:val="16"/>
                <w:szCs w:val="16"/>
              </w:rPr>
              <w:t xml:space="preserve">Glasgow</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second person printed below under the same code: “or Robert Brown”</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22</w:t>
            </w:r>
          </w:p>
        </w:tc>
        <w:tc>
          <w:tcPr>
            <w:tcW w:type="dxa" w:w="520"/>
            <w:tcMar>
              <w:top w:type="dxa" w:w="60"/>
              <w:left w:type="dxa" w:w="90"/>
              <w:bottom w:type="dxa" w:w="60"/>
              <w:right w:type="dxa" w:w="90"/>
            </w:tcMar>
          </w:tcPr>
          <w:p>
            <w:pPr>
              <w:spacing w:after="40" w:before="40"/>
            </w:pPr>
            <w:r>
              <w:rPr>
                <w:b w:val="false"/>
                <w:bCs w:val="false"/>
                <w:sz w:val="16"/>
                <w:szCs w:val="16"/>
              </w:rPr>
              <w:t xml:space="preserve">57</w:t>
            </w:r>
          </w:p>
        </w:tc>
        <w:tc>
          <w:tcPr>
            <w:tcW w:type="dxa" w:w="900"/>
            <w:tcMar>
              <w:top w:type="dxa" w:w="60"/>
              <w:left w:type="dxa" w:w="90"/>
              <w:bottom w:type="dxa" w:w="60"/>
              <w:right w:type="dxa" w:w="90"/>
            </w:tcMar>
          </w:tcPr>
          <w:p>
            <w:pPr>
              <w:spacing w:after="40" w:before="40"/>
            </w:pPr>
            <w:r>
              <w:rPr>
                <w:b w:val="false"/>
                <w:bCs w:val="false"/>
                <w:sz w:val="16"/>
                <w:szCs w:val="16"/>
              </w:rPr>
              <w:t xml:space="preserve">RB</w:t>
            </w:r>
          </w:p>
        </w:tc>
        <w:tc>
          <w:tcPr>
            <w:tcW w:type="dxa" w:w="1560"/>
            <w:tcMar>
              <w:top w:type="dxa" w:w="60"/>
              <w:left w:type="dxa" w:w="90"/>
              <w:bottom w:type="dxa" w:w="60"/>
              <w:right w:type="dxa" w:w="90"/>
            </w:tcMar>
          </w:tcPr>
          <w:p>
            <w:pPr>
              <w:spacing w:after="40" w:before="40"/>
            </w:pPr>
            <w:r>
              <w:rPr>
                <w:b w:val="false"/>
                <w:bCs w:val="false"/>
                <w:sz w:val="16"/>
                <w:szCs w:val="16"/>
              </w:rPr>
              <w:t xml:space="preserve">Robert Brown</w:t>
            </w:r>
          </w:p>
        </w:tc>
        <w:tc>
          <w:tcPr>
            <w:tcW w:type="dxa" w:w="1340"/>
            <w:tcMar>
              <w:top w:type="dxa" w:w="60"/>
              <w:left w:type="dxa" w:w="90"/>
              <w:bottom w:type="dxa" w:w="60"/>
              <w:right w:type="dxa" w:w="90"/>
            </w:tcMar>
          </w:tcPr>
          <w:p>
            <w:pPr>
              <w:spacing w:after="40" w:before="40"/>
            </w:pPr>
            <w:r>
              <w:rPr>
                <w:b w:val="false"/>
                <w:bCs w:val="false"/>
                <w:sz w:val="16"/>
                <w:szCs w:val="16"/>
              </w:rPr>
              <w:t xml:space="preserve">Glasgow</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§3.10a; both men share the one printed locality</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3</w:t>
            </w:r>
          </w:p>
        </w:tc>
        <w:tc>
          <w:tcPr>
            <w:tcW w:type="dxa" w:w="520"/>
            <w:tcMar>
              <w:top w:type="dxa" w:w="60"/>
              <w:left w:type="dxa" w:w="90"/>
              <w:bottom w:type="dxa" w:w="60"/>
              <w:right w:type="dxa" w:w="90"/>
            </w:tcMar>
          </w:tcPr>
          <w:p>
            <w:pPr>
              <w:spacing w:after="40" w:before="40"/>
            </w:pPr>
            <w:r>
              <w:rPr>
                <w:b w:val="false"/>
                <w:bCs w:val="false"/>
                <w:sz w:val="16"/>
                <w:szCs w:val="16"/>
              </w:rPr>
              <w:t xml:space="preserve">9</w:t>
            </w:r>
          </w:p>
        </w:tc>
        <w:tc>
          <w:tcPr>
            <w:tcW w:type="dxa" w:w="900"/>
            <w:tcMar>
              <w:top w:type="dxa" w:w="60"/>
              <w:left w:type="dxa" w:w="90"/>
              <w:bottom w:type="dxa" w:w="60"/>
              <w:right w:type="dxa" w:w="90"/>
            </w:tcMar>
          </w:tcPr>
          <w:p>
            <w:pPr>
              <w:spacing w:after="40" w:before="40"/>
            </w:pPr>
            <w:r>
              <w:rPr>
                <w:b w:val="false"/>
                <w:bCs w:val="false"/>
                <w:sz w:val="16"/>
                <w:szCs w:val="16"/>
              </w:rPr>
              <w:t xml:space="preserve">AL</w:t>
            </w:r>
          </w:p>
        </w:tc>
        <w:tc>
          <w:tcPr>
            <w:tcW w:type="dxa" w:w="1560"/>
            <w:tcMar>
              <w:top w:type="dxa" w:w="60"/>
              <w:left w:type="dxa" w:w="90"/>
              <w:bottom w:type="dxa" w:w="60"/>
              <w:right w:type="dxa" w:w="90"/>
            </w:tcMar>
          </w:tcPr>
          <w:p>
            <w:pPr>
              <w:spacing w:after="40" w:before="40"/>
            </w:pPr>
            <w:r>
              <w:rPr>
                <w:b w:val="false"/>
                <w:bCs w:val="false"/>
                <w:sz w:val="16"/>
                <w:szCs w:val="16"/>
              </w:rPr>
              <w:t xml:space="preserve">Alfred Lockhart</w:t>
            </w:r>
          </w:p>
        </w:tc>
        <w:tc>
          <w:tcPr>
            <w:tcW w:type="dxa" w:w="1340"/>
            <w:tcMar>
              <w:top w:type="dxa" w:w="60"/>
              <w:left w:type="dxa" w:w="90"/>
              <w:bottom w:type="dxa" w:w="60"/>
              <w:right w:type="dxa" w:w="90"/>
            </w:tcMar>
          </w:tcPr>
          <w:p>
            <w:pPr>
              <w:spacing w:after="40" w:before="40"/>
            </w:pPr>
            <w:r>
              <w:rPr>
                <w:b w:val="false"/>
                <w:bCs w:val="false"/>
                <w:sz w:val="16"/>
                <w:szCs w:val="16"/>
              </w:rPr>
              <w:t xml:space="preserve">Detroit</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second person printed below under the same code: “or A Lidstone”, Seattle</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3</w:t>
            </w:r>
          </w:p>
        </w:tc>
        <w:tc>
          <w:tcPr>
            <w:tcW w:type="dxa" w:w="520"/>
            <w:tcMar>
              <w:top w:type="dxa" w:w="60"/>
              <w:left w:type="dxa" w:w="90"/>
              <w:bottom w:type="dxa" w:w="60"/>
              <w:right w:type="dxa" w:w="90"/>
            </w:tcMar>
          </w:tcPr>
          <w:p>
            <w:pPr>
              <w:spacing w:after="40" w:before="40"/>
            </w:pPr>
            <w:r>
              <w:rPr>
                <w:b w:val="false"/>
                <w:bCs w:val="false"/>
                <w:sz w:val="16"/>
                <w:szCs w:val="16"/>
              </w:rPr>
              <w:t xml:space="preserve">9</w:t>
            </w:r>
          </w:p>
        </w:tc>
        <w:tc>
          <w:tcPr>
            <w:tcW w:type="dxa" w:w="900"/>
            <w:tcMar>
              <w:top w:type="dxa" w:w="60"/>
              <w:left w:type="dxa" w:w="90"/>
              <w:bottom w:type="dxa" w:w="60"/>
              <w:right w:type="dxa" w:w="90"/>
            </w:tcMar>
          </w:tcPr>
          <w:p>
            <w:pPr>
              <w:spacing w:after="40" w:before="40"/>
            </w:pPr>
            <w:r>
              <w:rPr>
                <w:b w:val="false"/>
                <w:bCs w:val="false"/>
                <w:sz w:val="16"/>
                <w:szCs w:val="16"/>
              </w:rPr>
              <w:t xml:space="preserve">AL</w:t>
            </w:r>
          </w:p>
        </w:tc>
        <w:tc>
          <w:tcPr>
            <w:tcW w:type="dxa" w:w="1560"/>
            <w:tcMar>
              <w:top w:type="dxa" w:w="60"/>
              <w:left w:type="dxa" w:w="90"/>
              <w:bottom w:type="dxa" w:w="60"/>
              <w:right w:type="dxa" w:w="90"/>
            </w:tcMar>
          </w:tcPr>
          <w:p>
            <w:pPr>
              <w:spacing w:after="40" w:before="40"/>
            </w:pPr>
            <w:r>
              <w:rPr>
                <w:b w:val="false"/>
                <w:bCs w:val="false"/>
                <w:sz w:val="16"/>
                <w:szCs w:val="16"/>
              </w:rPr>
              <w:t xml:space="preserve">A  Lidstone</w:t>
            </w:r>
          </w:p>
        </w:tc>
        <w:tc>
          <w:tcPr>
            <w:tcW w:type="dxa" w:w="1340"/>
            <w:tcMar>
              <w:top w:type="dxa" w:w="60"/>
              <w:left w:type="dxa" w:w="90"/>
              <w:bottom w:type="dxa" w:w="60"/>
              <w:right w:type="dxa" w:w="90"/>
            </w:tcMar>
          </w:tcPr>
          <w:p>
            <w:pPr>
              <w:spacing w:after="40" w:before="40"/>
            </w:pPr>
            <w:r>
              <w:rPr>
                <w:b w:val="false"/>
                <w:bCs w:val="false"/>
                <w:sz w:val="16"/>
                <w:szCs w:val="16"/>
              </w:rPr>
              <w:t xml:space="preserve">Seattle</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§3.10a second person sharing this code with the preceding row</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1</w:t>
            </w:r>
          </w:p>
        </w:tc>
        <w:tc>
          <w:tcPr>
            <w:tcW w:type="dxa" w:w="520"/>
            <w:tcMar>
              <w:top w:type="dxa" w:w="60"/>
              <w:left w:type="dxa" w:w="90"/>
              <w:bottom w:type="dxa" w:w="60"/>
              <w:right w:type="dxa" w:w="90"/>
            </w:tcMar>
          </w:tcPr>
          <w:p>
            <w:pPr>
              <w:spacing w:after="40" w:before="40"/>
            </w:pPr>
            <w:r>
              <w:rPr>
                <w:b w:val="false"/>
                <w:bCs w:val="false"/>
                <w:sz w:val="16"/>
                <w:szCs w:val="16"/>
              </w:rPr>
              <w:t xml:space="preserve">4</w:t>
            </w:r>
          </w:p>
        </w:tc>
        <w:tc>
          <w:tcPr>
            <w:tcW w:type="dxa" w:w="900"/>
            <w:tcMar>
              <w:top w:type="dxa" w:w="60"/>
              <w:left w:type="dxa" w:w="90"/>
              <w:bottom w:type="dxa" w:w="60"/>
              <w:right w:type="dxa" w:w="90"/>
            </w:tcMar>
          </w:tcPr>
          <w:p>
            <w:pPr>
              <w:spacing w:after="40" w:before="40"/>
            </w:pPr>
            <w:r>
              <w:rPr>
                <w:b w:val="false"/>
                <w:bCs w:val="false"/>
                <w:sz w:val="16"/>
                <w:szCs w:val="16"/>
              </w:rPr>
              <w:t xml:space="preserve">EJE</w:t>
            </w:r>
          </w:p>
        </w:tc>
        <w:tc>
          <w:tcPr>
            <w:tcW w:type="dxa" w:w="1560"/>
            <w:tcMar>
              <w:top w:type="dxa" w:w="60"/>
              <w:left w:type="dxa" w:w="90"/>
              <w:bottom w:type="dxa" w:w="60"/>
              <w:right w:type="dxa" w:w="90"/>
            </w:tcMar>
          </w:tcPr>
          <w:p>
            <w:pPr>
              <w:spacing w:after="40" w:before="40"/>
            </w:pPr>
            <w:r>
              <w:rPr>
                <w:b w:val="false"/>
                <w:bCs w:val="false"/>
                <w:sz w:val="16"/>
                <w:szCs w:val="16"/>
              </w:rPr>
              <w:t xml:space="preserve">Edward I. Emerson</w:t>
            </w:r>
          </w:p>
        </w:tc>
        <w:tc>
          <w:tcPr>
            <w:tcW w:type="dxa" w:w="1340"/>
            <w:tcMar>
              <w:top w:type="dxa" w:w="60"/>
              <w:left w:type="dxa" w:w="90"/>
              <w:bottom w:type="dxa" w:w="60"/>
              <w:right w:type="dxa" w:w="90"/>
            </w:tcMar>
          </w:tcPr>
          <w:p>
            <w:pPr>
              <w:spacing w:after="40" w:before="40"/>
            </w:pPr>
            <w:r>
              <w:rPr>
                <w:b w:val="false"/>
                <w:bCs w:val="false"/>
                <w:sz w:val="16"/>
                <w:szCs w:val="16"/>
              </w:rPr>
              <w:t xml:space="preserve">Indianapolis</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locality truncated at right edge of scan; printed portion reads “Indianapoli”</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1</w:t>
            </w:r>
          </w:p>
        </w:tc>
        <w:tc>
          <w:tcPr>
            <w:tcW w:type="dxa" w:w="520"/>
            <w:tcMar>
              <w:top w:type="dxa" w:w="60"/>
              <w:left w:type="dxa" w:w="90"/>
              <w:bottom w:type="dxa" w:w="60"/>
              <w:right w:type="dxa" w:w="90"/>
            </w:tcMar>
          </w:tcPr>
          <w:p>
            <w:pPr>
              <w:spacing w:after="40" w:before="40"/>
            </w:pPr>
            <w:r>
              <w:rPr>
                <w:b w:val="false"/>
                <w:bCs w:val="false"/>
                <w:sz w:val="16"/>
                <w:szCs w:val="16"/>
              </w:rPr>
              <w:t xml:space="preserve">5</w:t>
            </w:r>
          </w:p>
        </w:tc>
        <w:tc>
          <w:tcPr>
            <w:tcW w:type="dxa" w:w="900"/>
            <w:tcMar>
              <w:top w:type="dxa" w:w="60"/>
              <w:left w:type="dxa" w:w="90"/>
              <w:bottom w:type="dxa" w:w="60"/>
              <w:right w:type="dxa" w:w="90"/>
            </w:tcMar>
          </w:tcPr>
          <w:p>
            <w:pPr>
              <w:spacing w:after="40" w:before="40"/>
            </w:pPr>
            <w:r>
              <w:rPr>
                <w:b w:val="false"/>
                <w:bCs w:val="false"/>
                <w:sz w:val="16"/>
                <w:szCs w:val="16"/>
              </w:rPr>
              <w:t xml:space="preserve">E</w:t>
            </w:r>
          </w:p>
        </w:tc>
        <w:tc>
          <w:tcPr>
            <w:tcW w:type="dxa" w:w="1560"/>
            <w:tcMar>
              <w:top w:type="dxa" w:w="60"/>
              <w:left w:type="dxa" w:w="90"/>
              <w:bottom w:type="dxa" w:w="60"/>
              <w:right w:type="dxa" w:w="90"/>
            </w:tcMar>
          </w:tcPr>
          <w:p>
            <w:pPr>
              <w:spacing w:after="40" w:before="40"/>
            </w:pPr>
            <w:r>
              <w:rPr>
                <w:b w:val="false"/>
                <w:bCs w:val="false"/>
                <w:sz w:val="16"/>
                <w:szCs w:val="16"/>
              </w:rPr>
              <w:t xml:space="preserve"/>
            </w:r>
          </w:p>
        </w:tc>
        <w:tc>
          <w:tcPr>
            <w:tcW w:type="dxa" w:w="1340"/>
            <w:tcMar>
              <w:top w:type="dxa" w:w="60"/>
              <w:left w:type="dxa" w:w="90"/>
              <w:bottom w:type="dxa" w:w="60"/>
              <w:right w:type="dxa" w:w="90"/>
            </w:tcMar>
          </w:tcPr>
          <w:p>
            <w:pPr>
              <w:spacing w:after="40" w:before="40"/>
            </w:pPr>
            <w:r>
              <w:rPr>
                <w:b w:val="false"/>
                <w:bCs w:val="false"/>
                <w:sz w:val="16"/>
                <w:szCs w:val="16"/>
              </w:rPr>
              <w:t xml:space="preserve"/>
            </w:r>
          </w:p>
        </w:tc>
        <w:tc>
          <w:tcPr>
            <w:tcW w:type="dxa" w:w="940"/>
            <w:tcMar>
              <w:top w:type="dxa" w:w="60"/>
              <w:left w:type="dxa" w:w="90"/>
              <w:bottom w:type="dxa" w:w="60"/>
              <w:right w:type="dxa" w:w="90"/>
            </w:tcMar>
          </w:tcPr>
          <w:p>
            <w:pPr>
              <w:spacing w:after="40" w:before="40"/>
            </w:pPr>
            <w:r>
              <w:rPr>
                <w:b w:val="false"/>
                <w:bCs w:val="false"/>
                <w:sz w:val="16"/>
                <w:szCs w:val="16"/>
              </w:rPr>
              <w:t xml:space="preserve">189, 347</w:t>
            </w:r>
          </w:p>
        </w:tc>
        <w:tc>
          <w:tcPr>
            <w:tcW w:type="dxa" w:w="3460"/>
            <w:tcMar>
              <w:top w:type="dxa" w:w="60"/>
              <w:left w:type="dxa" w:w="90"/>
              <w:bottom w:type="dxa" w:w="60"/>
              <w:right w:type="dxa" w:w="90"/>
            </w:tcMar>
          </w:tcPr>
          <w:p>
            <w:pPr>
              <w:spacing w:after="40" w:before="40"/>
            </w:pPr>
            <w:r>
              <w:rPr>
                <w:b w:val="false"/>
                <w:bCs w:val="false"/>
                <w:sz w:val="16"/>
                <w:szCs w:val="16"/>
              </w:rPr>
              <w:t xml:space="preserve">two cross-reference numbers printed on one line</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43</w:t>
            </w:r>
          </w:p>
        </w:tc>
        <w:tc>
          <w:tcPr>
            <w:tcW w:type="dxa" w:w="520"/>
            <w:tcMar>
              <w:top w:type="dxa" w:w="60"/>
              <w:left w:type="dxa" w:w="90"/>
              <w:bottom w:type="dxa" w:w="60"/>
              <w:right w:type="dxa" w:w="90"/>
            </w:tcMar>
          </w:tcPr>
          <w:p>
            <w:pPr>
              <w:spacing w:after="40" w:before="40"/>
            </w:pPr>
            <w:r>
              <w:rPr>
                <w:b w:val="false"/>
                <w:bCs w:val="false"/>
                <w:sz w:val="16"/>
                <w:szCs w:val="16"/>
              </w:rPr>
              <w:t xml:space="preserve">100</w:t>
            </w:r>
          </w:p>
        </w:tc>
        <w:tc>
          <w:tcPr>
            <w:tcW w:type="dxa" w:w="900"/>
            <w:tcMar>
              <w:top w:type="dxa" w:w="60"/>
              <w:left w:type="dxa" w:w="90"/>
              <w:bottom w:type="dxa" w:w="60"/>
              <w:right w:type="dxa" w:w="90"/>
            </w:tcMar>
          </w:tcPr>
          <w:p>
            <w:pPr>
              <w:spacing w:after="40" w:before="40"/>
            </w:pPr>
            <w:r>
              <w:rPr>
                <w:b w:val="false"/>
                <w:bCs w:val="false"/>
                <w:sz w:val="16"/>
                <w:szCs w:val="16"/>
              </w:rPr>
              <w:t xml:space="preserve">D</w:t>
            </w:r>
          </w:p>
        </w:tc>
        <w:tc>
          <w:tcPr>
            <w:tcW w:type="dxa" w:w="1560"/>
            <w:tcMar>
              <w:top w:type="dxa" w:w="60"/>
              <w:left w:type="dxa" w:w="90"/>
              <w:bottom w:type="dxa" w:w="60"/>
              <w:right w:type="dxa" w:w="90"/>
            </w:tcMar>
          </w:tcPr>
          <w:p>
            <w:pPr>
              <w:spacing w:after="40" w:before="40"/>
            </w:pPr>
            <w:r>
              <w:rPr>
                <w:b w:val="false"/>
                <w:bCs w:val="false"/>
                <w:sz w:val="16"/>
                <w:szCs w:val="16"/>
              </w:rPr>
              <w:t xml:space="preserve"/>
            </w:r>
          </w:p>
        </w:tc>
        <w:tc>
          <w:tcPr>
            <w:tcW w:type="dxa" w:w="1340"/>
            <w:tcMar>
              <w:top w:type="dxa" w:w="60"/>
              <w:left w:type="dxa" w:w="90"/>
              <w:bottom w:type="dxa" w:w="60"/>
              <w:right w:type="dxa" w:w="90"/>
            </w:tcMar>
          </w:tcPr>
          <w:p>
            <w:pPr>
              <w:spacing w:after="40" w:before="40"/>
            </w:pPr>
            <w:r>
              <w:rPr>
                <w:b w:val="false"/>
                <w:bCs w:val="false"/>
                <w:sz w:val="16"/>
                <w:szCs w:val="16"/>
              </w:rPr>
              <w:t xml:space="preserve"/>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appears to be alphabetical divider, not an entry</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43</w:t>
            </w:r>
          </w:p>
        </w:tc>
        <w:tc>
          <w:tcPr>
            <w:tcW w:type="dxa" w:w="520"/>
            <w:tcMar>
              <w:top w:type="dxa" w:w="60"/>
              <w:left w:type="dxa" w:w="90"/>
              <w:bottom w:type="dxa" w:w="60"/>
              <w:right w:type="dxa" w:w="90"/>
            </w:tcMar>
          </w:tcPr>
          <w:p>
            <w:pPr>
              <w:spacing w:after="40" w:before="40"/>
            </w:pPr>
            <w:r>
              <w:rPr>
                <w:b w:val="false"/>
                <w:bCs w:val="false"/>
                <w:sz w:val="16"/>
                <w:szCs w:val="16"/>
              </w:rPr>
              <w:t xml:space="preserve">100</w:t>
            </w:r>
          </w:p>
        </w:tc>
        <w:tc>
          <w:tcPr>
            <w:tcW w:type="dxa" w:w="900"/>
            <w:tcMar>
              <w:top w:type="dxa" w:w="60"/>
              <w:left w:type="dxa" w:w="90"/>
              <w:bottom w:type="dxa" w:w="60"/>
              <w:right w:type="dxa" w:w="90"/>
            </w:tcMar>
          </w:tcPr>
          <w:p>
            <w:pPr>
              <w:spacing w:after="40" w:before="40"/>
            </w:pPr>
            <w:r>
              <w:rPr>
                <w:b w:val="false"/>
                <w:bCs w:val="false"/>
                <w:sz w:val="16"/>
                <w:szCs w:val="16"/>
              </w:rPr>
              <w:t xml:space="preserve">JC</w:t>
            </w:r>
          </w:p>
        </w:tc>
        <w:tc>
          <w:tcPr>
            <w:tcW w:type="dxa" w:w="1560"/>
            <w:tcMar>
              <w:top w:type="dxa" w:w="60"/>
              <w:left w:type="dxa" w:w="90"/>
              <w:bottom w:type="dxa" w:w="60"/>
              <w:right w:type="dxa" w:w="90"/>
            </w:tcMar>
          </w:tcPr>
          <w:p>
            <w:pPr>
              <w:spacing w:after="40" w:before="40"/>
            </w:pPr>
            <w:r>
              <w:rPr>
                <w:b w:val="false"/>
                <w:bCs w:val="false"/>
                <w:sz w:val="16"/>
                <w:szCs w:val="16"/>
              </w:rPr>
              <w:t xml:space="preserve"/>
            </w:r>
          </w:p>
        </w:tc>
        <w:tc>
          <w:tcPr>
            <w:tcW w:type="dxa" w:w="1340"/>
            <w:tcMar>
              <w:top w:type="dxa" w:w="60"/>
              <w:left w:type="dxa" w:w="90"/>
              <w:bottom w:type="dxa" w:w="60"/>
              <w:right w:type="dxa" w:w="90"/>
            </w:tcMar>
          </w:tcPr>
          <w:p>
            <w:pPr>
              <w:spacing w:after="40" w:before="40"/>
            </w:pPr>
            <w:r>
              <w:rPr>
                <w:b w:val="false"/>
                <w:bCs w:val="false"/>
                <w:sz w:val="16"/>
                <w:szCs w:val="16"/>
              </w:rPr>
              <w:t xml:space="preserve"/>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code printed with no name or locality</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43</w:t>
            </w:r>
          </w:p>
        </w:tc>
        <w:tc>
          <w:tcPr>
            <w:tcW w:type="dxa" w:w="520"/>
            <w:tcMar>
              <w:top w:type="dxa" w:w="60"/>
              <w:left w:type="dxa" w:w="90"/>
              <w:bottom w:type="dxa" w:w="60"/>
              <w:right w:type="dxa" w:w="90"/>
            </w:tcMar>
          </w:tcPr>
          <w:p>
            <w:pPr>
              <w:spacing w:after="40" w:before="40"/>
            </w:pPr>
            <w:r>
              <w:rPr>
                <w:b w:val="false"/>
                <w:bCs w:val="false"/>
                <w:sz w:val="16"/>
                <w:szCs w:val="16"/>
              </w:rPr>
              <w:t xml:space="preserve">100</w:t>
            </w:r>
          </w:p>
        </w:tc>
        <w:tc>
          <w:tcPr>
            <w:tcW w:type="dxa" w:w="900"/>
            <w:tcMar>
              <w:top w:type="dxa" w:w="60"/>
              <w:left w:type="dxa" w:w="90"/>
              <w:bottom w:type="dxa" w:w="60"/>
              <w:right w:type="dxa" w:w="90"/>
            </w:tcMar>
          </w:tcPr>
          <w:p>
            <w:pPr>
              <w:spacing w:after="40" w:before="40"/>
            </w:pPr>
            <w:r>
              <w:rPr>
                <w:b w:val="false"/>
                <w:bCs w:val="false"/>
                <w:sz w:val="16"/>
                <w:szCs w:val="16"/>
              </w:rPr>
              <w:t xml:space="preserve">FW</w:t>
            </w:r>
          </w:p>
        </w:tc>
        <w:tc>
          <w:tcPr>
            <w:tcW w:type="dxa" w:w="1560"/>
            <w:tcMar>
              <w:top w:type="dxa" w:w="60"/>
              <w:left w:type="dxa" w:w="90"/>
              <w:bottom w:type="dxa" w:w="60"/>
              <w:right w:type="dxa" w:w="90"/>
            </w:tcMar>
          </w:tcPr>
          <w:p>
            <w:pPr>
              <w:spacing w:after="40" w:before="40"/>
            </w:pPr>
            <w:r>
              <w:rPr>
                <w:b w:val="false"/>
                <w:bCs w:val="false"/>
                <w:sz w:val="16"/>
                <w:szCs w:val="16"/>
              </w:rPr>
              <w:t xml:space="preserve">Frank G. Ward</w:t>
            </w:r>
          </w:p>
        </w:tc>
        <w:tc>
          <w:tcPr>
            <w:tcW w:type="dxa" w:w="1340"/>
            <w:tcMar>
              <w:top w:type="dxa" w:w="60"/>
              <w:left w:type="dxa" w:w="90"/>
              <w:bottom w:type="dxa" w:w="60"/>
              <w:right w:type="dxa" w:w="90"/>
            </w:tcMar>
          </w:tcPr>
          <w:p>
            <w:pPr>
              <w:spacing w:after="40" w:before="40"/>
            </w:pPr>
            <w:r>
              <w:rPr>
                <w:b w:val="false"/>
                <w:bCs w:val="false"/>
                <w:sz w:val="16"/>
                <w:szCs w:val="16"/>
              </w:rPr>
              <w:t xml:space="preserve">Stowmarket</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group heading “Cambridge:”; 1 of 3 people under code FW</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43</w:t>
            </w:r>
          </w:p>
        </w:tc>
        <w:tc>
          <w:tcPr>
            <w:tcW w:type="dxa" w:w="520"/>
            <w:tcMar>
              <w:top w:type="dxa" w:w="60"/>
              <w:left w:type="dxa" w:w="90"/>
              <w:bottom w:type="dxa" w:w="60"/>
              <w:right w:type="dxa" w:w="90"/>
            </w:tcMar>
          </w:tcPr>
          <w:p>
            <w:pPr>
              <w:spacing w:after="40" w:before="40"/>
            </w:pPr>
            <w:r>
              <w:rPr>
                <w:b w:val="false"/>
                <w:bCs w:val="false"/>
                <w:sz w:val="16"/>
                <w:szCs w:val="16"/>
              </w:rPr>
              <w:t xml:space="preserve">100</w:t>
            </w:r>
          </w:p>
        </w:tc>
        <w:tc>
          <w:tcPr>
            <w:tcW w:type="dxa" w:w="900"/>
            <w:tcMar>
              <w:top w:type="dxa" w:w="60"/>
              <w:left w:type="dxa" w:w="90"/>
              <w:bottom w:type="dxa" w:w="60"/>
              <w:right w:type="dxa" w:w="90"/>
            </w:tcMar>
          </w:tcPr>
          <w:p>
            <w:pPr>
              <w:spacing w:after="40" w:before="40"/>
            </w:pPr>
            <w:r>
              <w:rPr>
                <w:b w:val="false"/>
                <w:bCs w:val="false"/>
                <w:sz w:val="16"/>
                <w:szCs w:val="16"/>
              </w:rPr>
              <w:t xml:space="preserve">FW</w:t>
            </w:r>
          </w:p>
        </w:tc>
        <w:tc>
          <w:tcPr>
            <w:tcW w:type="dxa" w:w="1560"/>
            <w:tcMar>
              <w:top w:type="dxa" w:w="60"/>
              <w:left w:type="dxa" w:w="90"/>
              <w:bottom w:type="dxa" w:w="60"/>
              <w:right w:type="dxa" w:w="90"/>
            </w:tcMar>
          </w:tcPr>
          <w:p>
            <w:pPr>
              <w:spacing w:after="40" w:before="40"/>
            </w:pPr>
            <w:r>
              <w:rPr>
                <w:b w:val="false"/>
                <w:bCs w:val="false"/>
                <w:sz w:val="16"/>
                <w:szCs w:val="16"/>
              </w:rPr>
              <w:t xml:space="preserve">Frederick Walton</w:t>
            </w:r>
          </w:p>
        </w:tc>
        <w:tc>
          <w:tcPr>
            <w:tcW w:type="dxa" w:w="1340"/>
            <w:tcMar>
              <w:top w:type="dxa" w:w="60"/>
              <w:left w:type="dxa" w:w="90"/>
              <w:bottom w:type="dxa" w:w="60"/>
              <w:right w:type="dxa" w:w="90"/>
            </w:tcMar>
          </w:tcPr>
          <w:p>
            <w:pPr>
              <w:spacing w:after="40" w:before="40"/>
            </w:pPr>
            <w:r>
              <w:rPr>
                <w:b w:val="false"/>
                <w:bCs w:val="false"/>
                <w:sz w:val="16"/>
                <w:szCs w:val="16"/>
              </w:rPr>
              <w:t xml:space="preserve">Malvern</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group heading “Evesham:”; 2 of 3 people under code FW</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43</w:t>
            </w:r>
          </w:p>
        </w:tc>
        <w:tc>
          <w:tcPr>
            <w:tcW w:type="dxa" w:w="520"/>
            <w:tcMar>
              <w:top w:type="dxa" w:w="60"/>
              <w:left w:type="dxa" w:w="90"/>
              <w:bottom w:type="dxa" w:w="60"/>
              <w:right w:type="dxa" w:w="90"/>
            </w:tcMar>
          </w:tcPr>
          <w:p>
            <w:pPr>
              <w:spacing w:after="40" w:before="40"/>
            </w:pPr>
            <w:r>
              <w:rPr>
                <w:b w:val="false"/>
                <w:bCs w:val="false"/>
                <w:sz w:val="16"/>
                <w:szCs w:val="16"/>
              </w:rPr>
              <w:t xml:space="preserve">100</w:t>
            </w:r>
          </w:p>
        </w:tc>
        <w:tc>
          <w:tcPr>
            <w:tcW w:type="dxa" w:w="900"/>
            <w:tcMar>
              <w:top w:type="dxa" w:w="60"/>
              <w:left w:type="dxa" w:w="90"/>
              <w:bottom w:type="dxa" w:w="60"/>
              <w:right w:type="dxa" w:w="90"/>
            </w:tcMar>
          </w:tcPr>
          <w:p>
            <w:pPr>
              <w:spacing w:after="40" w:before="40"/>
            </w:pPr>
            <w:r>
              <w:rPr>
                <w:b w:val="false"/>
                <w:bCs w:val="false"/>
                <w:sz w:val="16"/>
                <w:szCs w:val="16"/>
              </w:rPr>
              <w:t xml:space="preserve">FW</w:t>
            </w:r>
          </w:p>
        </w:tc>
        <w:tc>
          <w:tcPr>
            <w:tcW w:type="dxa" w:w="1560"/>
            <w:tcMar>
              <w:top w:type="dxa" w:w="60"/>
              <w:left w:type="dxa" w:w="90"/>
              <w:bottom w:type="dxa" w:w="60"/>
              <w:right w:type="dxa" w:w="90"/>
            </w:tcMar>
          </w:tcPr>
          <w:p>
            <w:pPr>
              <w:spacing w:after="40" w:before="40"/>
            </w:pPr>
            <w:r>
              <w:rPr>
                <w:b w:val="false"/>
                <w:bCs w:val="false"/>
                <w:sz w:val="16"/>
                <w:szCs w:val="16"/>
              </w:rPr>
              <w:t xml:space="preserve">Frederick Woodard</w:t>
            </w:r>
          </w:p>
        </w:tc>
        <w:tc>
          <w:tcPr>
            <w:tcW w:type="dxa" w:w="1340"/>
            <w:tcMar>
              <w:top w:type="dxa" w:w="60"/>
              <w:left w:type="dxa" w:w="90"/>
              <w:bottom w:type="dxa" w:w="60"/>
              <w:right w:type="dxa" w:w="90"/>
            </w:tcMar>
          </w:tcPr>
          <w:p>
            <w:pPr>
              <w:spacing w:after="40" w:before="40"/>
            </w:pPr>
            <w:r>
              <w:rPr>
                <w:b w:val="false"/>
                <w:bCs w:val="false"/>
                <w:sz w:val="16"/>
                <w:szCs w:val="16"/>
              </w:rPr>
              <w:t xml:space="preserve">Norwich</w:t>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group heading “Norwich:”; 3 of 3 people under code FW</w:t>
            </w:r>
          </w:p>
        </w:tc>
      </w:tr>
      <w:tr>
        <w:trPr>
          <w:tblHeader w:val="false"/>
        </w:trPr>
        <w:tc>
          <w:tcPr>
            <w:tcW w:type="dxa" w:w="640"/>
            <w:tcMar>
              <w:top w:type="dxa" w:w="60"/>
              <w:left w:type="dxa" w:w="90"/>
              <w:bottom w:type="dxa" w:w="60"/>
              <w:right w:type="dxa" w:w="90"/>
            </w:tcMar>
          </w:tcPr>
          <w:p>
            <w:pPr>
              <w:spacing w:after="40" w:before="40"/>
            </w:pPr>
            <w:r>
              <w:rPr>
                <w:b w:val="false"/>
                <w:bCs w:val="false"/>
                <w:sz w:val="16"/>
                <w:szCs w:val="16"/>
              </w:rPr>
              <w:t xml:space="preserve">43</w:t>
            </w:r>
          </w:p>
        </w:tc>
        <w:tc>
          <w:tcPr>
            <w:tcW w:type="dxa" w:w="520"/>
            <w:tcMar>
              <w:top w:type="dxa" w:w="60"/>
              <w:left w:type="dxa" w:w="90"/>
              <w:bottom w:type="dxa" w:w="60"/>
              <w:right w:type="dxa" w:w="90"/>
            </w:tcMar>
          </w:tcPr>
          <w:p>
            <w:pPr>
              <w:spacing w:after="40" w:before="40"/>
            </w:pPr>
            <w:r>
              <w:rPr>
                <w:b w:val="false"/>
                <w:bCs w:val="false"/>
                <w:sz w:val="16"/>
                <w:szCs w:val="16"/>
              </w:rPr>
              <w:t xml:space="preserve">100</w:t>
            </w:r>
          </w:p>
        </w:tc>
        <w:tc>
          <w:tcPr>
            <w:tcW w:type="dxa" w:w="900"/>
            <w:tcMar>
              <w:top w:type="dxa" w:w="60"/>
              <w:left w:type="dxa" w:w="90"/>
              <w:bottom w:type="dxa" w:w="60"/>
              <w:right w:type="dxa" w:w="90"/>
            </w:tcMar>
          </w:tcPr>
          <w:p>
            <w:pPr>
              <w:spacing w:after="40" w:before="40"/>
            </w:pPr>
            <w:r>
              <w:rPr>
                <w:b w:val="false"/>
                <w:bCs w:val="false"/>
                <w:sz w:val="16"/>
                <w:szCs w:val="16"/>
              </w:rPr>
              <w:t xml:space="preserve">DAP</w:t>
            </w:r>
          </w:p>
        </w:tc>
        <w:tc>
          <w:tcPr>
            <w:tcW w:type="dxa" w:w="1560"/>
            <w:tcMar>
              <w:top w:type="dxa" w:w="60"/>
              <w:left w:type="dxa" w:w="90"/>
              <w:bottom w:type="dxa" w:w="60"/>
              <w:right w:type="dxa" w:w="90"/>
            </w:tcMar>
          </w:tcPr>
          <w:p>
            <w:pPr>
              <w:spacing w:after="40" w:before="40"/>
            </w:pPr>
            <w:r>
              <w:rPr>
                <w:b w:val="false"/>
                <w:bCs w:val="false"/>
                <w:sz w:val="16"/>
                <w:szCs w:val="16"/>
              </w:rPr>
              <w:t xml:space="preserve"/>
            </w:r>
          </w:p>
        </w:tc>
        <w:tc>
          <w:tcPr>
            <w:tcW w:type="dxa" w:w="1340"/>
            <w:tcMar>
              <w:top w:type="dxa" w:w="60"/>
              <w:left w:type="dxa" w:w="90"/>
              <w:bottom w:type="dxa" w:w="60"/>
              <w:right w:type="dxa" w:w="90"/>
            </w:tcMar>
          </w:tcPr>
          <w:p>
            <w:pPr>
              <w:spacing w:after="40" w:before="40"/>
            </w:pPr>
            <w:r>
              <w:rPr>
                <w:b w:val="false"/>
                <w:bCs w:val="false"/>
                <w:sz w:val="16"/>
                <w:szCs w:val="16"/>
              </w:rPr>
              <w:t xml:space="preserve"/>
            </w:r>
          </w:p>
        </w:tc>
        <w:tc>
          <w:tcPr>
            <w:tcW w:type="dxa" w:w="940"/>
            <w:tcMar>
              <w:top w:type="dxa" w:w="60"/>
              <w:left w:type="dxa" w:w="90"/>
              <w:bottom w:type="dxa" w:w="60"/>
              <w:right w:type="dxa" w:w="90"/>
            </w:tcMar>
          </w:tcPr>
          <w:p>
            <w:pPr>
              <w:spacing w:after="40" w:before="40"/>
            </w:pPr>
            <w:r>
              <w:rPr>
                <w:b w:val="false"/>
                <w:bCs w:val="false"/>
                <w:sz w:val="16"/>
                <w:szCs w:val="16"/>
              </w:rPr>
              <w:t xml:space="preserve"/>
            </w:r>
          </w:p>
        </w:tc>
        <w:tc>
          <w:tcPr>
            <w:tcW w:type="dxa" w:w="3460"/>
            <w:tcMar>
              <w:top w:type="dxa" w:w="60"/>
              <w:left w:type="dxa" w:w="90"/>
              <w:bottom w:type="dxa" w:w="60"/>
              <w:right w:type="dxa" w:w="90"/>
            </w:tcMar>
          </w:tcPr>
          <w:p>
            <w:pPr>
              <w:spacing w:after="40" w:before="40"/>
            </w:pPr>
            <w:r>
              <w:rPr>
                <w:b w:val="false"/>
                <w:bCs w:val="false"/>
                <w:sz w:val="16"/>
                <w:szCs w:val="16"/>
              </w:rPr>
              <w:t xml:space="preserve">“Error for DP”</w:t>
            </w:r>
          </w:p>
        </w:tc>
      </w:tr>
    </w:tbl>
    <w:p>
      <w:pPr>
        <w:spacing w:after="200" w:line="276"/>
      </w:pPr>
      <w:r>
        <w:rPr>
          <w:sz w:val="20"/>
          <w:szCs w:val="20"/>
        </w:rPr>
        <w:t xml:space="preserve"/>
      </w:r>
    </w:p>
    <w:p>
      <w:pPr>
        <w:pStyle w:val="Heading1"/>
        <w:spacing w:after="160" w:before="320"/>
      </w:pPr>
      <w:r>
        <w:t xml:space="preserve">6. Approach</w:t>
      </w:r>
    </w:p>
    <w:p>
      <w:pPr>
        <w:pStyle w:val="Heading2"/>
        <w:spacing w:after="120" w:before="240"/>
      </w:pPr>
      <w:r>
        <w:t xml:space="preserve">6.1 Page images — NEW</w:t>
      </w:r>
    </w:p>
    <w:p>
      <w:pPr>
        <w:spacing w:after="120" w:line="276"/>
      </w:pPr>
      <w:r>
        <w:rPr>
          <w:sz w:val="20"/>
          <w:szCs w:val="20"/>
        </w:rPr>
        <w:t xml:space="preserve">The 43 page images have been extracted from the PDF by </w:t>
      </w:r>
      <w:r>
        <w:rPr>
          <w:rFonts w:ascii="Consolas" w:cs="Consolas" w:eastAsia="Consolas" w:hAnsi="Consolas"/>
          <w:sz w:val="18"/>
          <w:szCs w:val="18"/>
        </w:rPr>
        <w:t xml:space="preserve">pdf_to_tiff.py --native</w:t>
      </w:r>
      <w:r>
        <w:rPr>
          <w:sz w:val="20"/>
          <w:szCs w:val="20"/>
        </w:rPr>
        <w:t xml:space="preserve">, which lifts the embedded JPEG streams out of the PDF byte-for-byte. They are 2480 × 3507 pixels at 300 DPI and are </w:t>
      </w:r>
      <w:r>
        <w:rPr>
          <w:b/>
          <w:bCs/>
          <w:sz w:val="20"/>
          <w:szCs w:val="20"/>
        </w:rPr>
        <w:t xml:space="preserve">bit-identical to the images inside the PDF</w:t>
      </w:r>
      <w:r>
        <w:rPr>
          <w:sz w:val="20"/>
          <w:szCs w:val="20"/>
        </w:rPr>
        <w:t xml:space="preserve"> — no decode, no re-encode, no resampling. They live in </w:t>
      </w:r>
      <w:r>
        <w:rPr>
          <w:rFonts w:ascii="Consolas" w:cs="Consolas" w:eastAsia="Consolas" w:hAnsi="Consolas"/>
          <w:sz w:val="18"/>
          <w:szCs w:val="18"/>
        </w:rPr>
        <w:t xml:space="preserve">initials\JPEG\initials_p0001.jpeg</w:t>
      </w:r>
      <w:r>
        <w:rPr>
          <w:sz w:val="20"/>
          <w:szCs w:val="20"/>
        </w:rPr>
        <w:t xml:space="preserve"> … </w:t>
      </w:r>
      <w:r>
        <w:rPr>
          <w:rFonts w:ascii="Consolas" w:cs="Consolas" w:eastAsia="Consolas" w:hAnsi="Consolas"/>
          <w:sz w:val="18"/>
          <w:szCs w:val="18"/>
        </w:rPr>
        <w:t xml:space="preserve">p0043.jpeg</w:t>
      </w:r>
      <w:r>
        <w:rPr>
          <w:sz w:val="20"/>
          <w:szCs w:val="20"/>
        </w:rPr>
        <w:t xml:space="preserve">.</w:t>
      </w:r>
    </w:p>
    <w:p>
      <w:pPr>
        <w:spacing w:after="120" w:line="276"/>
      </w:pPr>
      <w:r>
        <w:rPr>
          <w:i/>
          <w:iCs/>
          <w:sz w:val="20"/>
          <w:szCs w:val="20"/>
        </w:rPr>
        <w:t xml:space="preserve">Note: </w:t>
      </w:r>
      <w:r>
        <w:rPr>
          <w:i/>
          <w:iCs/>
          <w:sz w:val="20"/>
          <w:szCs w:val="20"/>
        </w:rPr>
        <w:t xml:space="preserve">rendering pages to TIFF was considered and rejected. Because the PDF already stores JPEGs, a lossless TIFF is the same pixels in a container roughly eight times larger, and any re-render at a chosen DPI resamples the scanner’s original grid. Native extraction is both smaller and strictly more faithful.</w:t>
      </w:r>
    </w:p>
    <w:p>
      <w:pPr>
        <w:pStyle w:val="Heading2"/>
        <w:spacing w:after="120" w:before="240"/>
      </w:pPr>
      <w:r>
        <w:t xml:space="preserve">6.2 Transcription method</w:t>
      </w:r>
    </w:p>
    <w:p>
      <w:pPr>
        <w:spacing w:after="120" w:line="276"/>
      </w:pPr>
      <w:r>
        <w:rPr>
          <w:sz w:val="20"/>
          <w:szCs w:val="20"/>
        </w:rPr>
        <w:t xml:space="preserve">Transcribe page-by-page directly from the image into the eight-column structure, rather than running blind OCR. OCR on typewriter-era scans with codes like “WB-s”, prefixes like “266EH”, mixed initials and numbers, heavy show-through and overstruck lines is unreliable, and correcting it costs as much as transcribing directly.</w:t>
      </w:r>
    </w:p>
    <w:p>
      <w:pPr>
        <w:spacing w:after="120" w:line="276"/>
      </w:pPr>
      <w:r>
        <w:rPr>
          <w:b/>
          <w:bCs/>
          <w:sz w:val="20"/>
          <w:szCs w:val="20"/>
        </w:rPr>
        <w:t xml:space="preserve">Working method, as agreed: </w:t>
      </w:r>
      <w:r>
        <w:rPr>
          <w:sz w:val="20"/>
          <w:szCs w:val="20"/>
        </w:rPr>
        <w:t xml:space="preserve">a few pages per turn, appended to a growing workbook in the </w:t>
      </w:r>
      <w:r>
        <w:rPr>
          <w:rFonts w:ascii="Consolas" w:cs="Consolas" w:eastAsia="Consolas" w:hAnsi="Consolas"/>
          <w:sz w:val="18"/>
          <w:szCs w:val="18"/>
        </w:rPr>
        <w:t xml:space="preserve">initials</w:t>
      </w:r>
      <w:r>
        <w:rPr>
          <w:sz w:val="20"/>
          <w:szCs w:val="20"/>
        </w:rPr>
        <w:t xml:space="preserve"> folder, with the new rows and every ambiguity surfaced for review after each batch. Errors in a rule show up on batch one rather than after 6,000 rows.</w:t>
      </w:r>
    </w:p>
    <w:p>
      <w:pPr>
        <w:spacing w:after="120" w:line="276"/>
      </w:pPr>
      <w:r>
        <w:rPr>
          <w:sz w:val="20"/>
          <w:szCs w:val="20"/>
        </w:rPr>
        <w:t xml:space="preserve">Within a page, work one physical column at a time, top to bottom, in the order set by §3.2.</w:t>
      </w:r>
    </w:p>
    <w:p>
      <w:pPr>
        <w:pStyle w:val="Heading2"/>
        <w:spacing w:after="120" w:before="240"/>
      </w:pPr>
      <w:r>
        <w:t xml:space="preserve">6.3 Verification pass</w:t>
      </w:r>
    </w:p>
    <w:p>
      <w:pPr>
        <w:pStyle w:val="ListParagraph"/>
        <w:numPr>
          <w:ilvl w:val="0"/>
          <w:numId w:val="1"/>
        </w:numPr>
        <w:spacing w:after="80" w:line="276"/>
      </w:pPr>
      <w:r>
        <w:rPr>
          <w:b/>
          <w:bCs/>
          <w:sz w:val="20"/>
          <w:szCs w:val="20"/>
        </w:rPr>
        <w:t xml:space="preserve">Row-count check — CHANGED. </w:t>
      </w:r>
      <w:r>
        <w:rPr>
          <w:sz w:val="20"/>
          <w:szCs w:val="20"/>
        </w:rPr>
        <w:t xml:space="preserve">Count printed lines per column per page. Bare codes and divider letters are retained (§§3.6–3.7), so they are already included; but §3.10a second-person rows have no printed line of their own. The identity to check is therefore </w:t>
      </w:r>
      <w:r>
        <w:rPr>
          <w:b/>
          <w:bCs/>
          <w:sz w:val="20"/>
          <w:szCs w:val="20"/>
        </w:rPr>
        <w:t xml:space="preserve">rows minus §3.10a rows = printed lines</w:t>
      </w:r>
      <w:r>
        <w:rPr>
          <w:sz w:val="20"/>
          <w:szCs w:val="20"/>
        </w:rPr>
        <w:t xml:space="preserve">. Filter Col. 7 for “second person sharing” to get that count. A discrepancy after that adjustment is a dropped or doubled line.</w:t>
      </w:r>
    </w:p>
    <w:p>
      <w:pPr>
        <w:pStyle w:val="ListParagraph"/>
        <w:numPr>
          <w:ilvl w:val="0"/>
          <w:numId w:val="1"/>
        </w:numPr>
        <w:spacing w:after="80" w:line="276"/>
      </w:pPr>
      <w:r>
        <w:rPr>
          <w:b/>
          <w:bCs/>
          <w:sz w:val="20"/>
          <w:szCs w:val="20"/>
        </w:rPr>
        <w:t xml:space="preserve">Volume-continuity check. </w:t>
      </w:r>
      <w:r>
        <w:rPr>
          <w:sz w:val="20"/>
          <w:szCs w:val="20"/>
        </w:rPr>
        <w:t xml:space="preserve">Volume numbers must be non-decreasing through the whole table in reading order, and must reach 100 on page 43. A step backwards means a heading was missed or a column was read out of order.</w:t>
      </w:r>
    </w:p>
    <w:p>
      <w:pPr>
        <w:pStyle w:val="ListParagraph"/>
        <w:numPr>
          <w:ilvl w:val="0"/>
          <w:numId w:val="1"/>
        </w:numPr>
        <w:spacing w:after="80" w:line="276"/>
      </w:pPr>
      <w:r>
        <w:rPr>
          <w:b/>
          <w:bCs/>
          <w:sz w:val="20"/>
          <w:szCs w:val="20"/>
        </w:rPr>
        <w:t xml:space="preserve">Spot-check. </w:t>
      </w:r>
      <w:r>
        <w:rPr>
          <w:sz w:val="20"/>
          <w:szCs w:val="20"/>
        </w:rPr>
        <w:t xml:space="preserve">Re-open 3–5 random pages against the transcribed rows after the first full pass.</w:t>
      </w:r>
    </w:p>
    <w:p>
      <w:pPr>
        <w:pStyle w:val="ListParagraph"/>
        <w:numPr>
          <w:ilvl w:val="0"/>
          <w:numId w:val="1"/>
        </w:numPr>
        <w:spacing w:after="80" w:line="276"/>
      </w:pPr>
      <w:r>
        <w:rPr>
          <w:b/>
          <w:bCs/>
          <w:sz w:val="20"/>
          <w:szCs w:val="20"/>
        </w:rPr>
        <w:t xml:space="preserve">Flag list. </w:t>
      </w:r>
      <w:r>
        <w:rPr>
          <w:sz w:val="20"/>
          <w:szCs w:val="20"/>
        </w:rPr>
        <w:t xml:space="preserve">Everything with a non-empty Col. 7 or Col. 6 filters in one step for a manual review pass — those are the rows most likely to need a second look.</w:t>
      </w:r>
    </w:p>
    <w:p>
      <w:pPr>
        <w:pStyle w:val="Heading2"/>
        <w:spacing w:after="120" w:before="240"/>
      </w:pPr>
      <w:r>
        <w:t xml:space="preserve">6.4 Delivery</w:t>
      </w:r>
    </w:p>
    <w:p>
      <w:pPr>
        <w:spacing w:after="120" w:line="276"/>
      </w:pPr>
      <w:r>
        <w:rPr>
          <w:sz w:val="20"/>
          <w:szCs w:val="20"/>
        </w:rPr>
        <w:t xml:space="preserve">A single .xlsx with two sheets (Entries and Volumes, see §8), frozen header row on each, an autofilter across both, and Page / Volume / Initials sortable on Sheet 1.</w:t>
      </w:r>
    </w:p>
    <w:p>
      <w:pPr>
        <w:pStyle w:val="Heading1"/>
        <w:spacing w:after="160" w:before="320"/>
      </w:pPr>
      <w:r>
        <w:t xml:space="preserve">7. Decisions</w:t>
      </w:r>
    </w:p>
    <w:p>
      <w:pPr>
        <w:spacing w:after="120" w:line="276"/>
      </w:pPr>
      <w:r>
        <w:rPr>
          <w:sz w:val="20"/>
          <w:szCs w:val="20"/>
        </w:rPr>
        <w:t xml:space="preserve">Confirmed in v1 and carried forward:</w:t>
      </w:r>
    </w:p>
    <w:p>
      <w:pPr>
        <w:pStyle w:val="ListParagraph"/>
        <w:numPr>
          <w:ilvl w:val="0"/>
          <w:numId w:val="1"/>
        </w:numPr>
        <w:spacing w:after="80" w:line="276"/>
      </w:pPr>
      <w:r>
        <w:rPr>
          <w:sz w:val="20"/>
          <w:szCs w:val="20"/>
        </w:rPr>
        <w:t xml:space="preserve">Suffixed initials (WB-s, WB-t, WB-w) stay exactly as printed in Col. 3 — no separate suffix column.</w:t>
      </w:r>
    </w:p>
    <w:p>
      <w:pPr>
        <w:pStyle w:val="ListParagraph"/>
        <w:numPr>
          <w:ilvl w:val="0"/>
          <w:numId w:val="1"/>
        </w:numPr>
        <w:spacing w:after="80" w:line="276"/>
      </w:pPr>
      <w:r>
        <w:rPr>
          <w:sz w:val="20"/>
          <w:szCs w:val="20"/>
        </w:rPr>
        <w:t xml:space="preserve">“Or” alternate localities: the first-listed place goes in Locality, every other place named goes in Notes verbatim.</w:t>
      </w:r>
    </w:p>
    <w:p>
      <w:pPr>
        <w:pStyle w:val="ListParagraph"/>
        <w:numPr>
          <w:ilvl w:val="0"/>
          <w:numId w:val="1"/>
        </w:numPr>
        <w:spacing w:after="80" w:line="276"/>
      </w:pPr>
      <w:r>
        <w:rPr>
          <w:sz w:val="20"/>
          <w:szCs w:val="20"/>
        </w:rPr>
        <w:t xml:space="preserve">Volume date/location subheadings are captured on the Volumes sheet, not repeated on every entry row.</w:t>
      </w:r>
    </w:p>
    <w:p>
      <w:pPr>
        <w:spacing w:after="120" w:line="276"/>
      </w:pPr>
      <w:r>
        <w:rPr>
          <w:sz w:val="20"/>
          <w:szCs w:val="20"/>
        </w:rPr>
        <w:t xml:space="preserve">Confirmed in v2:</w:t>
      </w:r>
    </w:p>
    <w:p>
      <w:pPr>
        <w:pStyle w:val="ListParagraph"/>
        <w:numPr>
          <w:ilvl w:val="0"/>
          <w:numId w:val="1"/>
        </w:numPr>
        <w:spacing w:after="80" w:line="276"/>
      </w:pPr>
      <w:r>
        <w:rPr>
          <w:b/>
          <w:bCs/>
          <w:sz w:val="20"/>
          <w:szCs w:val="20"/>
        </w:rPr>
        <w:t xml:space="preserve">Numeric prefixes get their own column</w:t>
      </w:r>
      <w:r>
        <w:rPr>
          <w:sz w:val="20"/>
          <w:szCs w:val="20"/>
        </w:rPr>
        <w:t xml:space="preserve"> (Col. 8 Ref Prefix), with Col. 3 holding the alphabetic code alone.</w:t>
      </w:r>
    </w:p>
    <w:p>
      <w:pPr>
        <w:pStyle w:val="ListParagraph"/>
        <w:numPr>
          <w:ilvl w:val="0"/>
          <w:numId w:val="1"/>
        </w:numPr>
        <w:spacing w:after="80" w:line="276"/>
      </w:pPr>
      <w:r>
        <w:rPr>
          <w:b/>
          <w:bCs/>
          <w:sz w:val="20"/>
          <w:szCs w:val="20"/>
        </w:rPr>
        <w:t xml:space="preserve">Bare-code rows and alphabetical divider letters are both retained as rows</w:t>
      </w:r>
      <w:r>
        <w:rPr>
          <w:sz w:val="20"/>
          <w:szCs w:val="20"/>
        </w:rPr>
        <w:t xml:space="preserve"> and flagged in Notes, rather than dropped or moved to another sheet.</w:t>
      </w:r>
    </w:p>
    <w:p>
      <w:pPr>
        <w:pStyle w:val="ListParagraph"/>
        <w:numPr>
          <w:ilvl w:val="0"/>
          <w:numId w:val="1"/>
        </w:numPr>
        <w:spacing w:after="80" w:line="276"/>
      </w:pPr>
      <w:r>
        <w:rPr>
          <w:b/>
          <w:bCs/>
          <w:sz w:val="20"/>
          <w:szCs w:val="20"/>
        </w:rPr>
        <w:t xml:space="preserve">Multi-person codes produce one row per person,</w:t>
      </w:r>
      <w:r>
        <w:rPr>
          <w:sz w:val="20"/>
          <w:szCs w:val="20"/>
        </w:rPr>
        <w:t xml:space="preserve"> repeating the code, with the group heading in Notes.</w:t>
      </w:r>
    </w:p>
    <w:p>
      <w:pPr>
        <w:pStyle w:val="ListParagraph"/>
        <w:numPr>
          <w:ilvl w:val="0"/>
          <w:numId w:val="1"/>
        </w:numPr>
        <w:spacing w:after="80" w:line="276"/>
      </w:pPr>
      <w:r>
        <w:rPr>
          <w:b/>
          <w:bCs/>
          <w:sz w:val="20"/>
          <w:szCs w:val="20"/>
        </w:rPr>
        <w:t xml:space="preserve">Transcription runs in batches with a checkpoint after each,</w:t>
      </w:r>
      <w:r>
        <w:rPr>
          <w:sz w:val="20"/>
          <w:szCs w:val="20"/>
        </w:rPr>
        <w:t xml:space="preserve"> appending to a workbook in the source folder.</w:t>
      </w:r>
    </w:p>
    <w:p>
      <w:pPr>
        <w:spacing w:after="120" w:line="276"/>
      </w:pPr>
      <w:r>
        <w:rPr>
          <w:sz w:val="20"/>
          <w:szCs w:val="20"/>
        </w:rPr>
        <w:t xml:space="preserve">Confirmed in v2.1:</w:t>
      </w:r>
    </w:p>
    <w:p>
      <w:pPr>
        <w:pStyle w:val="ListParagraph"/>
        <w:numPr>
          <w:ilvl w:val="0"/>
          <w:numId w:val="1"/>
        </w:numPr>
        <w:spacing w:after="80" w:line="276"/>
      </w:pPr>
      <w:r>
        <w:rPr>
          <w:b/>
          <w:bCs/>
          <w:sz w:val="20"/>
          <w:szCs w:val="20"/>
        </w:rPr>
        <w:t xml:space="preserve">An underlined “or” between two names means two people,</w:t>
      </w:r>
      <w:r>
        <w:rPr>
          <w:sz w:val="20"/>
          <w:szCs w:val="20"/>
        </w:rPr>
        <w:t xml:space="preserve"> each getting a row with their name in Col. 4 (§3.10a) — not one row with the second name hidden in Notes.</w:t>
      </w:r>
    </w:p>
    <w:p>
      <w:pPr>
        <w:pStyle w:val="ListParagraph"/>
        <w:numPr>
          <w:ilvl w:val="0"/>
          <w:numId w:val="1"/>
        </w:numPr>
        <w:spacing w:after="80" w:line="276"/>
      </w:pPr>
      <w:r>
        <w:rPr>
          <w:b/>
          <w:bCs/>
          <w:sz w:val="20"/>
          <w:szCs w:val="20"/>
        </w:rPr>
        <w:t xml:space="preserve">Truncated localities are completed in Col. 5</w:t>
      </w:r>
      <w:r>
        <w:rPr>
          <w:sz w:val="20"/>
          <w:szCs w:val="20"/>
        </w:rPr>
        <w:t xml:space="preserve"> where the full form is certain, with the printed fragment recorded in Col. 7 (§3.12).</w:t>
      </w:r>
    </w:p>
    <w:p>
      <w:pPr>
        <w:spacing w:after="120" w:line="276"/>
      </w:pPr>
      <w:r>
        <w:rPr>
          <w:b/>
          <w:bCs/>
          <w:sz w:val="20"/>
          <w:szCs w:val="20"/>
        </w:rPr>
        <w:t xml:space="preserve">Delivered so far: </w:t>
      </w:r>
      <w:r>
        <w:rPr>
          <w:rFonts w:ascii="Consolas" w:cs="Consolas" w:eastAsia="Consolas" w:hAnsi="Consolas"/>
          <w:sz w:val="18"/>
          <w:szCs w:val="18"/>
        </w:rPr>
        <w:t xml:space="preserve">Scribe_Index_Entries.xlsx</w:t>
      </w:r>
      <w:r>
        <w:rPr>
          <w:sz w:val="20"/>
          <w:szCs w:val="20"/>
        </w:rPr>
        <w:t xml:space="preserve"> — pages 1–3, Volumes 1–11, 625 rows (615 printed lines plus 10 §3.10a rows). Sheets: Entries, Volumes, Legend.</w:t>
      </w:r>
    </w:p>
    <w:p>
      <w:pPr>
        <w:pStyle w:val="Heading1"/>
        <w:spacing w:after="160" w:before="320"/>
      </w:pPr>
      <w:r>
        <w:t xml:space="preserve">8. Workbook layout</w:t>
      </w:r>
    </w:p>
    <w:p>
      <w:pPr>
        <w:pStyle w:val="Heading2"/>
        <w:spacing w:after="120" w:before="240"/>
      </w:pPr>
      <w:r>
        <w:t xml:space="preserve">8.1 Sheet 1 — Entries</w:t>
      </w:r>
    </w:p>
    <w:p>
      <w:pPr>
        <w:spacing w:after="120" w:line="276"/>
      </w:pPr>
      <w:r>
        <w:rPr>
          <w:sz w:val="20"/>
          <w:szCs w:val="20"/>
        </w:rPr>
        <w:t xml:space="preserve">The eight-column table described in §2, one row per person, cross-reference, bare code or divider, in the reading order of §3.2.</w:t>
      </w:r>
    </w:p>
    <w:p>
      <w:pPr>
        <w:pStyle w:val="Heading2"/>
        <w:spacing w:after="120" w:before="240"/>
      </w:pPr>
      <w:r>
        <w:t xml:space="preserve">8.2 Sheet 2 — Volumes</w:t>
      </w:r>
    </w:p>
    <w:p>
      <w:pPr>
        <w:spacing w:after="120" w:line="276"/>
      </w:pPr>
      <w:r>
        <w:rPr>
          <w:sz w:val="20"/>
          <w:szCs w:val="20"/>
        </w:rPr>
        <w:t xml:space="preserve">One row per “VOLUME n” heading — 100 rows when complete — capturing the subheading printed directly under it, so that metadata is not duplicated across thousands of entry rows. Columns: Volume No., Locations, Dates, Raw subheading. Any observation about the heading itself (such as the handwritten Volume 100) goes in the Raw subheading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700"/>
        <w:gridCol w:w="3960"/>
      </w:tblGrid>
      <w:tr>
        <w:trPr>
          <w:tblHeader/>
        </w:trPr>
        <w:tc>
          <w:tcPr>
            <w:tcW w:type="dxa" w:w="1100"/>
            <w:shd w:fill="D9E2F3" w:color="auto" w:val="clear"/>
            <w:tcMar>
              <w:top w:type="dxa" w:w="60"/>
              <w:left w:type="dxa" w:w="90"/>
              <w:bottom w:type="dxa" w:w="60"/>
              <w:right w:type="dxa" w:w="90"/>
            </w:tcMar>
          </w:tcPr>
          <w:p>
            <w:pPr>
              <w:spacing w:after="40" w:before="40"/>
            </w:pPr>
            <w:r>
              <w:rPr>
                <w:b/>
                <w:bCs/>
                <w:sz w:val="16"/>
                <w:szCs w:val="16"/>
              </w:rPr>
              <w:t xml:space="preserve">Volume No.</w:t>
            </w:r>
          </w:p>
        </w:tc>
        <w:tc>
          <w:tcPr>
            <w:tcW w:type="dxa" w:w="2600"/>
            <w:shd w:fill="D9E2F3" w:color="auto" w:val="clear"/>
            <w:tcMar>
              <w:top w:type="dxa" w:w="60"/>
              <w:left w:type="dxa" w:w="90"/>
              <w:bottom w:type="dxa" w:w="60"/>
              <w:right w:type="dxa" w:w="90"/>
            </w:tcMar>
          </w:tcPr>
          <w:p>
            <w:pPr>
              <w:spacing w:after="40" w:before="40"/>
            </w:pPr>
            <w:r>
              <w:rPr>
                <w:b/>
                <w:bCs/>
                <w:sz w:val="16"/>
                <w:szCs w:val="16"/>
              </w:rPr>
              <w:t xml:space="preserve">Locations</w:t>
            </w:r>
          </w:p>
        </w:tc>
        <w:tc>
          <w:tcPr>
            <w:tcW w:type="dxa" w:w="1700"/>
            <w:shd w:fill="D9E2F3" w:color="auto" w:val="clear"/>
            <w:tcMar>
              <w:top w:type="dxa" w:w="60"/>
              <w:left w:type="dxa" w:w="90"/>
              <w:bottom w:type="dxa" w:w="60"/>
              <w:right w:type="dxa" w:w="90"/>
            </w:tcMar>
          </w:tcPr>
          <w:p>
            <w:pPr>
              <w:spacing w:after="40" w:before="40"/>
            </w:pPr>
            <w:r>
              <w:rPr>
                <w:b/>
                <w:bCs/>
                <w:sz w:val="16"/>
                <w:szCs w:val="16"/>
              </w:rPr>
              <w:t xml:space="preserve">Dates</w:t>
            </w:r>
          </w:p>
        </w:tc>
        <w:tc>
          <w:tcPr>
            <w:tcW w:type="dxa" w:w="3960"/>
            <w:shd w:fill="D9E2F3" w:color="auto" w:val="clear"/>
            <w:tcMar>
              <w:top w:type="dxa" w:w="60"/>
              <w:left w:type="dxa" w:w="90"/>
              <w:bottom w:type="dxa" w:w="60"/>
              <w:right w:type="dxa" w:w="90"/>
            </w:tcMar>
          </w:tcPr>
          <w:p>
            <w:pPr>
              <w:spacing w:after="40" w:before="40"/>
            </w:pPr>
            <w:r>
              <w:rPr>
                <w:b/>
                <w:bCs/>
                <w:sz w:val="16"/>
                <w:szCs w:val="16"/>
              </w:rPr>
              <w:t xml:space="preserve">Raw subheading</w:t>
            </w:r>
          </w:p>
        </w:tc>
      </w:tr>
      <w:tr>
        <w:trPr>
          <w:tblHeader w:val="false"/>
        </w:trPr>
        <w:tc>
          <w:tcPr>
            <w:tcW w:type="dxa" w:w="1100"/>
            <w:tcMar>
              <w:top w:type="dxa" w:w="60"/>
              <w:left w:type="dxa" w:w="90"/>
              <w:bottom w:type="dxa" w:w="60"/>
              <w:right w:type="dxa" w:w="90"/>
            </w:tcMar>
          </w:tcPr>
          <w:p>
            <w:pPr>
              <w:spacing w:after="40" w:before="40"/>
            </w:pPr>
            <w:r>
              <w:rPr>
                <w:b w:val="false"/>
                <w:bCs w:val="false"/>
                <w:sz w:val="16"/>
                <w:szCs w:val="16"/>
              </w:rPr>
              <w:t xml:space="preserve">6</w:t>
            </w:r>
          </w:p>
        </w:tc>
        <w:tc>
          <w:tcPr>
            <w:tcW w:type="dxa" w:w="2600"/>
            <w:tcMar>
              <w:top w:type="dxa" w:w="60"/>
              <w:left w:type="dxa" w:w="90"/>
              <w:bottom w:type="dxa" w:w="60"/>
              <w:right w:type="dxa" w:w="90"/>
            </w:tcMar>
          </w:tcPr>
          <w:p>
            <w:pPr>
              <w:spacing w:after="40" w:before="40"/>
            </w:pPr>
            <w:r>
              <w:rPr>
                <w:b w:val="false"/>
                <w:bCs w:val="false"/>
                <w:sz w:val="16"/>
                <w:szCs w:val="16"/>
              </w:rPr>
              <w:t xml:space="preserve">Belfast; London; New York</w:t>
            </w:r>
          </w:p>
        </w:tc>
        <w:tc>
          <w:tcPr>
            <w:tcW w:type="dxa" w:w="1700"/>
            <w:tcMar>
              <w:top w:type="dxa" w:w="60"/>
              <w:left w:type="dxa" w:w="90"/>
              <w:bottom w:type="dxa" w:w="60"/>
              <w:right w:type="dxa" w:w="90"/>
            </w:tcMar>
          </w:tcPr>
          <w:p>
            <w:pPr>
              <w:spacing w:after="40" w:before="40"/>
            </w:pPr>
            <w:r>
              <w:rPr>
                <w:b w:val="false"/>
                <w:bCs w:val="false"/>
                <w:sz w:val="16"/>
                <w:szCs w:val="16"/>
              </w:rPr>
              <w:t xml:space="preserve">1914, 1915</w:t>
            </w:r>
          </w:p>
        </w:tc>
        <w:tc>
          <w:tcPr>
            <w:tcW w:type="dxa" w:w="3960"/>
            <w:tcMar>
              <w:top w:type="dxa" w:w="60"/>
              <w:left w:type="dxa" w:w="90"/>
              <w:bottom w:type="dxa" w:w="60"/>
              <w:right w:type="dxa" w:w="90"/>
            </w:tcMar>
          </w:tcPr>
          <w:p>
            <w:pPr>
              <w:spacing w:after="40" w:before="40"/>
            </w:pPr>
            <w:r>
              <w:rPr>
                <w:b w:val="false"/>
                <w:bCs w:val="false"/>
                <w:sz w:val="16"/>
                <w:szCs w:val="16"/>
              </w:rPr>
              <w:t xml:space="preserve">Belfast, 1914,15; London, 1914, N.Y. 1914</w:t>
            </w:r>
          </w:p>
        </w:tc>
      </w:tr>
      <w:tr>
        <w:trPr>
          <w:tblHeader w:val="false"/>
        </w:trPr>
        <w:tc>
          <w:tcPr>
            <w:tcW w:type="dxa" w:w="1100"/>
            <w:tcMar>
              <w:top w:type="dxa" w:w="60"/>
              <w:left w:type="dxa" w:w="90"/>
              <w:bottom w:type="dxa" w:w="60"/>
              <w:right w:type="dxa" w:w="90"/>
            </w:tcMar>
          </w:tcPr>
          <w:p>
            <w:pPr>
              <w:spacing w:after="40" w:before="40"/>
            </w:pPr>
            <w:r>
              <w:rPr>
                <w:b w:val="false"/>
                <w:bCs w:val="false"/>
                <w:sz w:val="16"/>
                <w:szCs w:val="16"/>
              </w:rPr>
              <w:t xml:space="preserve">7</w:t>
            </w:r>
          </w:p>
        </w:tc>
        <w:tc>
          <w:tcPr>
            <w:tcW w:type="dxa" w:w="2600"/>
            <w:tcMar>
              <w:top w:type="dxa" w:w="60"/>
              <w:left w:type="dxa" w:w="90"/>
              <w:bottom w:type="dxa" w:w="60"/>
              <w:right w:type="dxa" w:w="90"/>
            </w:tcMar>
          </w:tcPr>
          <w:p>
            <w:pPr>
              <w:spacing w:after="40" w:before="40"/>
            </w:pPr>
            <w:r>
              <w:rPr>
                <w:b w:val="false"/>
                <w:bCs w:val="false"/>
                <w:sz w:val="16"/>
                <w:szCs w:val="16"/>
              </w:rPr>
              <w:t xml:space="preserve">Belfast; Indianapolis; New York</w:t>
            </w:r>
          </w:p>
        </w:tc>
        <w:tc>
          <w:tcPr>
            <w:tcW w:type="dxa" w:w="1700"/>
            <w:tcMar>
              <w:top w:type="dxa" w:w="60"/>
              <w:left w:type="dxa" w:w="90"/>
              <w:bottom w:type="dxa" w:w="60"/>
              <w:right w:type="dxa" w:w="90"/>
            </w:tcMar>
          </w:tcPr>
          <w:p>
            <w:pPr>
              <w:spacing w:after="40" w:before="40"/>
            </w:pPr>
            <w:r>
              <w:rPr>
                <w:b w:val="false"/>
                <w:bCs w:val="false"/>
                <w:sz w:val="16"/>
                <w:szCs w:val="16"/>
              </w:rPr>
              <w:t xml:space="preserve">1915</w:t>
            </w:r>
          </w:p>
        </w:tc>
        <w:tc>
          <w:tcPr>
            <w:tcW w:type="dxa" w:w="3960"/>
            <w:tcMar>
              <w:top w:type="dxa" w:w="60"/>
              <w:left w:type="dxa" w:w="90"/>
              <w:bottom w:type="dxa" w:w="60"/>
              <w:right w:type="dxa" w:w="90"/>
            </w:tcMar>
          </w:tcPr>
          <w:p>
            <w:pPr>
              <w:spacing w:after="40" w:before="40"/>
            </w:pPr>
            <w:r>
              <w:rPr>
                <w:b w:val="false"/>
                <w:bCs w:val="false"/>
                <w:sz w:val="16"/>
                <w:szCs w:val="16"/>
              </w:rPr>
              <w:t xml:space="preserve">Belfast; Indianapolis; New York; all 1915</w:t>
            </w:r>
          </w:p>
        </w:tc>
      </w:tr>
      <w:tr>
        <w:trPr>
          <w:tblHeader w:val="false"/>
        </w:trPr>
        <w:tc>
          <w:tcPr>
            <w:tcW w:type="dxa" w:w="1100"/>
            <w:tcMar>
              <w:top w:type="dxa" w:w="60"/>
              <w:left w:type="dxa" w:w="90"/>
              <w:bottom w:type="dxa" w:w="60"/>
              <w:right w:type="dxa" w:w="90"/>
            </w:tcMar>
          </w:tcPr>
          <w:p>
            <w:pPr>
              <w:spacing w:after="40" w:before="40"/>
            </w:pPr>
            <w:r>
              <w:rPr>
                <w:b w:val="false"/>
                <w:bCs w:val="false"/>
                <w:sz w:val="16"/>
                <w:szCs w:val="16"/>
              </w:rPr>
              <w:t xml:space="preserve">57</w:t>
            </w:r>
          </w:p>
        </w:tc>
        <w:tc>
          <w:tcPr>
            <w:tcW w:type="dxa" w:w="2600"/>
            <w:tcMar>
              <w:top w:type="dxa" w:w="60"/>
              <w:left w:type="dxa" w:w="90"/>
              <w:bottom w:type="dxa" w:w="60"/>
              <w:right w:type="dxa" w:w="90"/>
            </w:tcMar>
          </w:tcPr>
          <w:p>
            <w:pPr>
              <w:spacing w:after="40" w:before="40"/>
            </w:pPr>
            <w:r>
              <w:rPr>
                <w:b w:val="false"/>
                <w:bCs w:val="false"/>
                <w:sz w:val="16"/>
                <w:szCs w:val="16"/>
              </w:rPr>
              <w:t xml:space="preserve">Croydon; Edinburgh; Glasgow; London CAN; Peterhead; Plainfield; Toronto</w:t>
            </w:r>
          </w:p>
        </w:tc>
        <w:tc>
          <w:tcPr>
            <w:tcW w:type="dxa" w:w="1700"/>
            <w:tcMar>
              <w:top w:type="dxa" w:w="60"/>
              <w:left w:type="dxa" w:w="90"/>
              <w:bottom w:type="dxa" w:w="60"/>
              <w:right w:type="dxa" w:w="90"/>
            </w:tcMar>
          </w:tcPr>
          <w:p>
            <w:pPr>
              <w:spacing w:after="40" w:before="40"/>
            </w:pPr>
            <w:r>
              <w:rPr>
                <w:b w:val="false"/>
                <w:bCs w:val="false"/>
                <w:sz w:val="16"/>
                <w:szCs w:val="16"/>
              </w:rPr>
              <w:t xml:space="preserve">1943, 1945</w:t>
            </w:r>
          </w:p>
        </w:tc>
        <w:tc>
          <w:tcPr>
            <w:tcW w:type="dxa" w:w="3960"/>
            <w:tcMar>
              <w:top w:type="dxa" w:w="60"/>
              <w:left w:type="dxa" w:w="90"/>
              <w:bottom w:type="dxa" w:w="60"/>
              <w:right w:type="dxa" w:w="90"/>
            </w:tcMar>
          </w:tcPr>
          <w:p>
            <w:pPr>
              <w:spacing w:after="40" w:before="40"/>
            </w:pPr>
            <w:r>
              <w:rPr>
                <w:b w:val="false"/>
                <w:bCs w:val="false"/>
                <w:sz w:val="16"/>
                <w:szCs w:val="16"/>
              </w:rPr>
              <w:t xml:space="preserve">Croydon, 1945; Edinburgh, 1945; Glasgow, ’45; London CAN, 1943; Peterhead, 1945; Plainfield, 1943; Toronto, 1943</w:t>
            </w:r>
          </w:p>
        </w:tc>
      </w:tr>
      <w:tr>
        <w:trPr>
          <w:tblHeader w:val="false"/>
        </w:trPr>
        <w:tc>
          <w:tcPr>
            <w:tcW w:type="dxa" w:w="1100"/>
            <w:tcMar>
              <w:top w:type="dxa" w:w="60"/>
              <w:left w:type="dxa" w:w="90"/>
              <w:bottom w:type="dxa" w:w="60"/>
              <w:right w:type="dxa" w:w="90"/>
            </w:tcMar>
          </w:tcPr>
          <w:p>
            <w:pPr>
              <w:spacing w:after="40" w:before="40"/>
            </w:pPr>
            <w:r>
              <w:rPr>
                <w:b w:val="false"/>
                <w:bCs w:val="false"/>
                <w:sz w:val="16"/>
                <w:szCs w:val="16"/>
              </w:rPr>
              <w:t xml:space="preserve">100</w:t>
            </w:r>
          </w:p>
        </w:tc>
        <w:tc>
          <w:tcPr>
            <w:tcW w:type="dxa" w:w="2600"/>
            <w:tcMar>
              <w:top w:type="dxa" w:w="60"/>
              <w:left w:type="dxa" w:w="90"/>
              <w:bottom w:type="dxa" w:w="60"/>
              <w:right w:type="dxa" w:w="90"/>
            </w:tcMar>
          </w:tcPr>
          <w:p>
            <w:pPr>
              <w:spacing w:after="40" w:before="40"/>
            </w:pPr>
            <w:r>
              <w:rPr>
                <w:b w:val="false"/>
                <w:bCs w:val="false"/>
                <w:sz w:val="16"/>
                <w:szCs w:val="16"/>
              </w:rPr>
              <w:t xml:space="preserve">Detroit; London; Montreal; Paignton; Rochester; San Francisco; Summit; Westfield</w:t>
            </w:r>
          </w:p>
        </w:tc>
        <w:tc>
          <w:tcPr>
            <w:tcW w:type="dxa" w:w="1700"/>
            <w:tcMar>
              <w:top w:type="dxa" w:w="60"/>
              <w:left w:type="dxa" w:w="90"/>
              <w:bottom w:type="dxa" w:w="60"/>
              <w:right w:type="dxa" w:w="90"/>
            </w:tcMar>
          </w:tcPr>
          <w:p>
            <w:pPr>
              <w:spacing w:after="40" w:before="40"/>
            </w:pPr>
            <w:r>
              <w:rPr>
                <w:b w:val="false"/>
                <w:bCs w:val="false"/>
                <w:sz w:val="16"/>
                <w:szCs w:val="16"/>
              </w:rPr>
              <w:t xml:space="preserve">1910, 1944, 1946, 1948, 1951</w:t>
            </w:r>
          </w:p>
        </w:tc>
        <w:tc>
          <w:tcPr>
            <w:tcW w:type="dxa" w:w="3960"/>
            <w:tcMar>
              <w:top w:type="dxa" w:w="60"/>
              <w:left w:type="dxa" w:w="90"/>
              <w:bottom w:type="dxa" w:w="60"/>
              <w:right w:type="dxa" w:w="90"/>
            </w:tcMar>
          </w:tcPr>
          <w:p>
            <w:pPr>
              <w:spacing w:after="40" w:before="40"/>
            </w:pPr>
            <w:r>
              <w:rPr>
                <w:b w:val="false"/>
                <w:bCs w:val="false"/>
                <w:sz w:val="16"/>
                <w:szCs w:val="16"/>
              </w:rPr>
              <w:t xml:space="preserve">Detroit, 1944; London, 1910; Montreal 1944; Paignton, 1946; Rochester, 1951; San Francisco, 1948; Summit, 1946; Westfield 1944/6 — heading is HANDWRITTEN</w:t>
            </w:r>
          </w:p>
        </w:tc>
      </w:tr>
    </w:tbl>
    <w:p>
      <w:pPr>
        <w:spacing w:after="200" w:line="276"/>
      </w:pPr>
      <w:r>
        <w:rPr>
          <w:sz w:val="20"/>
          <w:szCs w:val="20"/>
        </w:rPr>
        <w:t xml:space="preserve"/>
      </w:r>
    </w:p>
    <w:p>
      <w:pPr>
        <w:pStyle w:val="Heading1"/>
        <w:spacing w:after="160" w:before="320"/>
      </w:pPr>
      <w:r>
        <w:t xml:space="preserve">9. Open items</w:t>
      </w:r>
    </w:p>
    <w:p>
      <w:pPr>
        <w:spacing w:after="120" w:line="276"/>
      </w:pPr>
      <w:r>
        <w:rPr>
          <w:sz w:val="20"/>
          <w:szCs w:val="20"/>
        </w:rPr>
        <w:t xml:space="preserve">Not blocking, but to be resolved as transcription reaches the relevant pages:</w:t>
      </w:r>
    </w:p>
    <w:p>
      <w:pPr>
        <w:pStyle w:val="ListParagraph"/>
        <w:numPr>
          <w:ilvl w:val="0"/>
          <w:numId w:val="1"/>
        </w:numPr>
        <w:spacing w:after="80" w:line="276"/>
      </w:pPr>
      <w:r>
        <w:rPr>
          <w:b/>
          <w:bCs/>
          <w:sz w:val="20"/>
          <w:szCs w:val="20"/>
        </w:rPr>
        <w:t xml:space="preserve">Pages 3–21, 23–42 are not yet inspected.</w:t>
      </w:r>
      <w:r>
        <w:rPr>
          <w:sz w:val="20"/>
          <w:szCs w:val="20"/>
        </w:rPr>
        <w:t xml:space="preserve"> The rules above are derived from pages 1, 2, 22 and 43. Any structure they do not cover will be raised at the batch checkpoint rather than absorbed silently.</w:t>
      </w:r>
    </w:p>
    <w:p>
      <w:pPr>
        <w:pStyle w:val="ListParagraph"/>
        <w:numPr>
          <w:ilvl w:val="0"/>
          <w:numId w:val="1"/>
        </w:numPr>
        <w:spacing w:after="80" w:line="276"/>
      </w:pPr>
      <w:r>
        <w:rPr>
          <w:b/>
          <w:bCs/>
          <w:sz w:val="20"/>
          <w:szCs w:val="20"/>
        </w:rPr>
        <w:t xml:space="preserve">Meaning of the Ref Prefix is unknown.</w:t>
      </w:r>
      <w:r>
        <w:rPr>
          <w:sz w:val="20"/>
          <w:szCs w:val="20"/>
        </w:rPr>
        <w:t xml:space="preserve"> It is preserved, not interpreted. If its meaning emerges (a membership or certificate number, say), the column can be renamed without re-transcribing.</w:t>
      </w:r>
    </w:p>
    <w:p>
      <w:pPr>
        <w:pStyle w:val="ListParagraph"/>
        <w:numPr>
          <w:ilvl w:val="0"/>
          <w:numId w:val="1"/>
        </w:numPr>
        <w:spacing w:after="80" w:line="276"/>
      </w:pPr>
      <w:r>
        <w:rPr>
          <w:b/>
          <w:bCs/>
          <w:sz w:val="20"/>
          <w:szCs w:val="20"/>
        </w:rPr>
        <w:t xml:space="preserve">Divider letters are an inference.</w:t>
      </w:r>
      <w:r>
        <w:rPr>
          <w:sz w:val="20"/>
          <w:szCs w:val="20"/>
        </w:rPr>
        <w:t xml:space="preserve"> §3.7 records the judgement in Notes precisely so it can be reversed in one filter if pages 3–42 show single letters behaving differently.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Scribe Index → Excel Extraction Spec v2.2</dc:title>
  <dc:creator>Claude</dc:creator>
  <cp:lastModifiedBy>Un-named</cp:lastModifiedBy>
  <cp:revision>1</cp:revision>
  <dcterms:created xsi:type="dcterms:W3CDTF">2026-08-30T07:12:36.787Z</dcterms:created>
  <dcterms:modified xsi:type="dcterms:W3CDTF">2026-08-30T07:12:36.787Z</dcterms:modified>
</cp:coreProperties>
</file>

<file path=docProps/custom.xml><?xml version="1.0" encoding="utf-8"?>
<Properties xmlns="http://schemas.openxmlformats.org/officeDocument/2006/custom-properties" xmlns:vt="http://schemas.openxmlformats.org/officeDocument/2006/docPropsVTypes"/>
</file>