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9850E" w14:textId="610F4D7E" w:rsidR="00653CFC" w:rsidRPr="00B0364D" w:rsidRDefault="008A6873" w:rsidP="002B171E">
      <w:pPr>
        <w:jc w:val="center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Le  développement technique transforme-t-il les Hommes 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2B171E" w:rsidRPr="008A6873" w14:paraId="2CB91BBA" w14:textId="77777777" w:rsidTr="002B171E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54B25169" w14:textId="77777777" w:rsidR="002B171E" w:rsidRPr="008A6873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57EA157D" w14:textId="77777777" w:rsidR="002B171E" w:rsidRPr="008A6873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4A474F46" w14:textId="77777777" w:rsidR="002B171E" w:rsidRPr="008A6873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Siècle</w:t>
            </w:r>
          </w:p>
        </w:tc>
      </w:tr>
      <w:tr w:rsidR="008A6873" w:rsidRPr="008A6873" w14:paraId="020B7916" w14:textId="77777777" w:rsidTr="008A6873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54698C9B" w14:textId="051F0A3A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Kant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7043EE92" w14:textId="30B3A44C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 xml:space="preserve">Idée d’une histoire universelle au point de vue cosmopolitique 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79245630" w14:textId="6C65DCB4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XVIII</w:t>
            </w:r>
            <w:r w:rsidRPr="008A6873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A6873" w:rsidRPr="008A6873" w14:paraId="4984E1B7" w14:textId="77777777" w:rsidTr="008A6873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5BEA9037" w14:textId="5792FCAB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 xml:space="preserve">Platon 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50AB6F63" w14:textId="38410B32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Protagoras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5BDD07E6" w14:textId="5CDF65BD" w:rsidR="008A6873" w:rsidRPr="008A6873" w:rsidRDefault="008A6873" w:rsidP="008A6873">
            <w:pPr>
              <w:pStyle w:val="NormalWeb"/>
              <w:rPr>
                <w:rFonts w:asciiTheme="minorHAnsi" w:hAnsiTheme="minorHAnsi" w:cstheme="minorHAnsi"/>
              </w:rPr>
            </w:pPr>
            <w:r w:rsidRPr="008A6873">
              <w:rPr>
                <w:rFonts w:asciiTheme="minorHAnsi" w:hAnsiTheme="minorHAnsi" w:cstheme="minorHAnsi"/>
              </w:rPr>
              <w:t>-</w:t>
            </w:r>
            <w:r w:rsidRPr="008A6873">
              <w:rPr>
                <w:rFonts w:asciiTheme="minorHAnsi" w:hAnsiTheme="minorHAnsi" w:cstheme="minorHAnsi"/>
              </w:rPr>
              <w:t>IV</w:t>
            </w:r>
            <w:r w:rsidRPr="008A6873">
              <w:rPr>
                <w:rFonts w:asciiTheme="minorHAnsi" w:hAnsiTheme="minorHAnsi" w:cstheme="minorHAnsi"/>
                <w:vertAlign w:val="superscript"/>
              </w:rPr>
              <w:t>ème</w:t>
            </w:r>
          </w:p>
        </w:tc>
      </w:tr>
      <w:tr w:rsidR="008A6873" w:rsidRPr="008A6873" w14:paraId="13EB61EE" w14:textId="77777777" w:rsidTr="008A6873">
        <w:trPr>
          <w:trHeight w:val="397"/>
        </w:trPr>
        <w:tc>
          <w:tcPr>
            <w:tcW w:w="1696" w:type="dxa"/>
            <w:tcBorders>
              <w:top w:val="single" w:sz="4" w:space="0" w:color="auto"/>
            </w:tcBorders>
          </w:tcPr>
          <w:p w14:paraId="1BFE81EB" w14:textId="6D271747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Aristote</w:t>
            </w:r>
          </w:p>
        </w:tc>
        <w:tc>
          <w:tcPr>
            <w:tcW w:w="5670" w:type="dxa"/>
            <w:tcBorders>
              <w:top w:val="single" w:sz="4" w:space="0" w:color="auto"/>
            </w:tcBorders>
          </w:tcPr>
          <w:p w14:paraId="0DCACCDF" w14:textId="54AF7C98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Les parties des animaux</w:t>
            </w: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382238D7" w14:textId="5ADFD770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-</w:t>
            </w:r>
            <w:r w:rsidRPr="008A6873">
              <w:rPr>
                <w:rFonts w:cstheme="minorHAnsi"/>
                <w:sz w:val="24"/>
                <w:szCs w:val="24"/>
              </w:rPr>
              <w:t>IV</w:t>
            </w:r>
            <w:r w:rsidRPr="008A6873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A6873" w:rsidRPr="008A6873" w14:paraId="6A4CF430" w14:textId="77777777" w:rsidTr="008A6873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734ED22E" w14:textId="544B4251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Bergson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31E22C5E" w14:textId="06F75E0D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Évolution Créatrice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4CCCDD27" w14:textId="21625048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X</w:t>
            </w:r>
            <w:r>
              <w:rPr>
                <w:rFonts w:cstheme="minorHAnsi"/>
                <w:sz w:val="24"/>
                <w:szCs w:val="24"/>
              </w:rPr>
              <w:t>IX</w:t>
            </w:r>
            <w:r w:rsidRPr="008A6873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A6873" w:rsidRPr="008A6873" w14:paraId="4DD87473" w14:textId="77777777" w:rsidTr="008A6873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307DDE2F" w14:textId="3BC5F39A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André Leroi-Gourhan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67C17675" w14:textId="61C1587B" w:rsidR="008A6873" w:rsidRPr="008A6873" w:rsidRDefault="008A6873" w:rsidP="008A6873">
            <w:pPr>
              <w:tabs>
                <w:tab w:val="left" w:pos="930"/>
              </w:tabs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Le geste et la parole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6DFF94D5" w14:textId="00E815DB" w:rsid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X</w:t>
            </w:r>
            <w:r>
              <w:rPr>
                <w:rFonts w:cstheme="minorHAnsi"/>
                <w:sz w:val="24"/>
                <w:szCs w:val="24"/>
              </w:rPr>
              <w:t>X</w:t>
            </w:r>
            <w:r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  <w:p w14:paraId="03EA47FD" w14:textId="11CF8CF9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8A6873" w:rsidRPr="008A6873" w14:paraId="733DA18B" w14:textId="77777777" w:rsidTr="008A6873">
        <w:trPr>
          <w:trHeight w:val="397"/>
        </w:trPr>
        <w:tc>
          <w:tcPr>
            <w:tcW w:w="1696" w:type="dxa"/>
            <w:tcBorders>
              <w:top w:val="single" w:sz="4" w:space="0" w:color="auto"/>
              <w:bottom w:val="single" w:sz="4" w:space="0" w:color="auto"/>
            </w:tcBorders>
          </w:tcPr>
          <w:p w14:paraId="46CF4DD7" w14:textId="6FB73771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Descartes</w:t>
            </w:r>
          </w:p>
        </w:tc>
        <w:tc>
          <w:tcPr>
            <w:tcW w:w="5670" w:type="dxa"/>
            <w:tcBorders>
              <w:top w:val="single" w:sz="4" w:space="0" w:color="auto"/>
              <w:bottom w:val="single" w:sz="4" w:space="0" w:color="auto"/>
            </w:tcBorders>
          </w:tcPr>
          <w:p w14:paraId="19E9FCC9" w14:textId="48671852" w:rsidR="008A6873" w:rsidRPr="008A6873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3366CA">
              <w:rPr>
                <w:rFonts w:cstheme="minorHAnsi"/>
                <w:sz w:val="24"/>
                <w:szCs w:val="24"/>
              </w:rPr>
              <w:t>Discours de la méthode</w:t>
            </w:r>
          </w:p>
        </w:tc>
        <w:tc>
          <w:tcPr>
            <w:tcW w:w="1696" w:type="dxa"/>
            <w:tcBorders>
              <w:top w:val="single" w:sz="4" w:space="0" w:color="auto"/>
              <w:bottom w:val="single" w:sz="4" w:space="0" w:color="auto"/>
            </w:tcBorders>
          </w:tcPr>
          <w:p w14:paraId="40937007" w14:textId="39108D56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X</w:t>
            </w:r>
            <w:r>
              <w:rPr>
                <w:rFonts w:cstheme="minorHAnsi"/>
                <w:sz w:val="24"/>
                <w:szCs w:val="24"/>
              </w:rPr>
              <w:t>VII</w:t>
            </w:r>
            <w:r w:rsidRPr="008A6873">
              <w:rPr>
                <w:rFonts w:cstheme="minorHAnsi"/>
                <w:sz w:val="24"/>
                <w:szCs w:val="24"/>
              </w:rPr>
              <w:t>ème</w:t>
            </w:r>
          </w:p>
        </w:tc>
      </w:tr>
      <w:tr w:rsidR="008A6873" w:rsidRPr="008A6873" w14:paraId="0EC0D2C2" w14:textId="77777777" w:rsidTr="00DA61A8">
        <w:trPr>
          <w:trHeight w:val="397"/>
        </w:trPr>
        <w:tc>
          <w:tcPr>
            <w:tcW w:w="1696" w:type="dxa"/>
            <w:tcBorders>
              <w:top w:val="single" w:sz="4" w:space="0" w:color="auto"/>
              <w:bottom w:val="single" w:sz="4" w:space="0" w:color="auto"/>
            </w:tcBorders>
          </w:tcPr>
          <w:p w14:paraId="700C7853" w14:textId="5D440EDA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Heidegger</w:t>
            </w:r>
          </w:p>
        </w:tc>
        <w:tc>
          <w:tcPr>
            <w:tcW w:w="5670" w:type="dxa"/>
            <w:tcBorders>
              <w:top w:val="single" w:sz="4" w:space="0" w:color="auto"/>
              <w:bottom w:val="single" w:sz="4" w:space="0" w:color="auto"/>
            </w:tcBorders>
          </w:tcPr>
          <w:p w14:paraId="297108A8" w14:textId="236E351A" w:rsidR="008A6873" w:rsidRPr="008A6873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3366CA">
              <w:rPr>
                <w:rFonts w:cstheme="minorHAnsi"/>
                <w:sz w:val="24"/>
                <w:szCs w:val="24"/>
              </w:rPr>
              <w:t>La question de la technique</w:t>
            </w:r>
          </w:p>
        </w:tc>
        <w:tc>
          <w:tcPr>
            <w:tcW w:w="1696" w:type="dxa"/>
            <w:tcBorders>
              <w:top w:val="single" w:sz="4" w:space="0" w:color="auto"/>
              <w:bottom w:val="single" w:sz="4" w:space="0" w:color="auto"/>
            </w:tcBorders>
          </w:tcPr>
          <w:p w14:paraId="7065DC49" w14:textId="500269A0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XXème</w:t>
            </w:r>
          </w:p>
        </w:tc>
      </w:tr>
      <w:tr w:rsidR="008A6873" w:rsidRPr="008A6873" w14:paraId="0F9350B4" w14:textId="77777777" w:rsidTr="00DA61A8">
        <w:trPr>
          <w:trHeight w:val="397"/>
        </w:trPr>
        <w:tc>
          <w:tcPr>
            <w:tcW w:w="1696" w:type="dxa"/>
            <w:tcBorders>
              <w:top w:val="single" w:sz="4" w:space="0" w:color="auto"/>
            </w:tcBorders>
          </w:tcPr>
          <w:p w14:paraId="181EB550" w14:textId="58E62F3C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Hölderlin</w:t>
            </w:r>
          </w:p>
        </w:tc>
        <w:tc>
          <w:tcPr>
            <w:tcW w:w="5670" w:type="dxa"/>
            <w:tcBorders>
              <w:top w:val="single" w:sz="4" w:space="0" w:color="auto"/>
            </w:tcBorders>
          </w:tcPr>
          <w:p w14:paraId="6D1E7C2D" w14:textId="6AA5ED28" w:rsidR="008A6873" w:rsidRPr="008A6873" w:rsidRDefault="003366CA" w:rsidP="003366CA">
            <w:pPr>
              <w:rPr>
                <w:rFonts w:cstheme="minorHAnsi"/>
                <w:sz w:val="24"/>
                <w:szCs w:val="24"/>
              </w:rPr>
            </w:pPr>
            <w:r w:rsidRPr="003366CA">
              <w:rPr>
                <w:rFonts w:cstheme="minorHAnsi"/>
                <w:sz w:val="24"/>
                <w:szCs w:val="24"/>
              </w:rPr>
              <w:t xml:space="preserve">Le Contrat social </w:t>
            </w:r>
            <w:r>
              <w:rPr>
                <w:rFonts w:cstheme="minorHAnsi"/>
                <w:sz w:val="24"/>
                <w:szCs w:val="24"/>
              </w:rPr>
              <w:t xml:space="preserve">et </w:t>
            </w:r>
            <w:r w:rsidRPr="003366CA">
              <w:rPr>
                <w:rFonts w:cstheme="minorHAnsi"/>
                <w:sz w:val="24"/>
                <w:szCs w:val="24"/>
              </w:rPr>
              <w:t>Discours sur l’origine et les fondements de l’inégalité parmi les hommes</w:t>
            </w: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458EBA71" w14:textId="61A939CE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X</w:t>
            </w:r>
            <w:r>
              <w:rPr>
                <w:rFonts w:cstheme="minorHAnsi"/>
                <w:sz w:val="24"/>
                <w:szCs w:val="24"/>
              </w:rPr>
              <w:t>VIII</w:t>
            </w:r>
            <w:r w:rsidRPr="008A6873">
              <w:rPr>
                <w:rFonts w:cstheme="minorHAnsi"/>
                <w:sz w:val="24"/>
                <w:szCs w:val="24"/>
              </w:rPr>
              <w:t>ème</w:t>
            </w:r>
          </w:p>
        </w:tc>
      </w:tr>
      <w:tr w:rsidR="008A6873" w:rsidRPr="008A6873" w14:paraId="206D7ED7" w14:textId="77777777" w:rsidTr="008A6873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4D034519" w14:textId="411ECE58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 xml:space="preserve">Hannah </w:t>
            </w:r>
            <w:r>
              <w:rPr>
                <w:rFonts w:cstheme="minorHAnsi"/>
                <w:sz w:val="24"/>
                <w:szCs w:val="24"/>
              </w:rPr>
              <w:t>A</w:t>
            </w:r>
            <w:r w:rsidRPr="008A6873">
              <w:rPr>
                <w:rFonts w:cstheme="minorHAnsi"/>
                <w:sz w:val="24"/>
                <w:szCs w:val="24"/>
              </w:rPr>
              <w:t>rendt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117EA08F" w14:textId="27F52A22" w:rsidR="008A6873" w:rsidRPr="008A6873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3366CA">
              <w:rPr>
                <w:rFonts w:cstheme="minorHAnsi"/>
                <w:sz w:val="24"/>
                <w:szCs w:val="24"/>
              </w:rPr>
              <w:t>La Condition de l’homme moderne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41E24492" w14:textId="4C04FBCC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XXème</w:t>
            </w:r>
          </w:p>
        </w:tc>
      </w:tr>
      <w:tr w:rsidR="008A6873" w:rsidRPr="008A6873" w14:paraId="01076C99" w14:textId="77777777" w:rsidTr="008A6873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2324EE18" w14:textId="5002FF89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Karl Marx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5ACED0F4" w14:textId="615A721B" w:rsidR="008A6873" w:rsidRPr="008A6873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3366CA">
              <w:rPr>
                <w:rFonts w:cstheme="minorHAnsi"/>
                <w:sz w:val="24"/>
                <w:szCs w:val="24"/>
              </w:rPr>
              <w:t>Le Capital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4B33105C" w14:textId="6EC16862" w:rsidR="008A6873" w:rsidRPr="008A6873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X</w:t>
            </w:r>
            <w:r>
              <w:rPr>
                <w:rFonts w:cstheme="minorHAnsi"/>
                <w:sz w:val="24"/>
                <w:szCs w:val="24"/>
              </w:rPr>
              <w:t>IX</w:t>
            </w:r>
            <w:r w:rsidRPr="008A6873">
              <w:rPr>
                <w:rFonts w:cstheme="minorHAnsi"/>
                <w:sz w:val="24"/>
                <w:szCs w:val="24"/>
              </w:rPr>
              <w:t>ème</w:t>
            </w:r>
          </w:p>
        </w:tc>
      </w:tr>
      <w:tr w:rsidR="008A6873" w:rsidRPr="008A6873" w14:paraId="67DF5F60" w14:textId="77777777" w:rsidTr="008A6873">
        <w:trPr>
          <w:trHeight w:val="397"/>
        </w:trPr>
        <w:tc>
          <w:tcPr>
            <w:tcW w:w="1696" w:type="dxa"/>
            <w:tcBorders>
              <w:top w:val="single" w:sz="4" w:space="0" w:color="auto"/>
            </w:tcBorders>
          </w:tcPr>
          <w:p w14:paraId="06CBFE2C" w14:textId="377521BF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ascii="Calibri (MS)" w:eastAsia="Calibri (MS)" w:hAnsi="Calibri (MS)" w:cs="Calibri (MS)"/>
                <w:color w:val="000000"/>
                <w:sz w:val="24"/>
                <w:szCs w:val="24"/>
              </w:rPr>
              <w:t>Habermas</w:t>
            </w:r>
          </w:p>
        </w:tc>
        <w:tc>
          <w:tcPr>
            <w:tcW w:w="5670" w:type="dxa"/>
            <w:tcBorders>
              <w:top w:val="single" w:sz="4" w:space="0" w:color="auto"/>
            </w:tcBorders>
          </w:tcPr>
          <w:p w14:paraId="5AE28B64" w14:textId="5A4AD52B" w:rsidR="008A6873" w:rsidRPr="008A6873" w:rsidRDefault="003366CA" w:rsidP="003366CA">
            <w:pPr>
              <w:rPr>
                <w:rFonts w:cstheme="minorHAnsi"/>
                <w:sz w:val="24"/>
                <w:szCs w:val="24"/>
              </w:rPr>
            </w:pPr>
            <w:r w:rsidRPr="003366CA">
              <w:rPr>
                <w:rFonts w:cstheme="minorHAnsi"/>
                <w:sz w:val="24"/>
                <w:szCs w:val="24"/>
              </w:rPr>
              <w:t>La Technique et la Science comme idéologie</w:t>
            </w: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400A5804" w14:textId="278FAF64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XXème</w:t>
            </w:r>
          </w:p>
        </w:tc>
      </w:tr>
      <w:tr w:rsidR="008A6873" w:rsidRPr="008A6873" w14:paraId="68656785" w14:textId="77777777" w:rsidTr="002B171E">
        <w:trPr>
          <w:trHeight w:val="397"/>
        </w:trPr>
        <w:tc>
          <w:tcPr>
            <w:tcW w:w="1696" w:type="dxa"/>
          </w:tcPr>
          <w:p w14:paraId="4AE61000" w14:textId="0450A732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ascii="Calibri (MS)" w:eastAsia="Calibri (MS)" w:hAnsi="Calibri (MS)" w:cs="Calibri (MS)"/>
                <w:color w:val="000000"/>
                <w:sz w:val="24"/>
                <w:szCs w:val="24"/>
              </w:rPr>
              <w:t>Jonas</w:t>
            </w:r>
          </w:p>
        </w:tc>
        <w:tc>
          <w:tcPr>
            <w:tcW w:w="5670" w:type="dxa"/>
          </w:tcPr>
          <w:p w14:paraId="7700A318" w14:textId="2522FEB8" w:rsidR="008A6873" w:rsidRPr="008A6873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3366CA">
              <w:rPr>
                <w:rFonts w:cstheme="minorHAnsi"/>
                <w:sz w:val="24"/>
                <w:szCs w:val="24"/>
              </w:rPr>
              <w:t>Le Principe responsabilité</w:t>
            </w:r>
          </w:p>
        </w:tc>
        <w:tc>
          <w:tcPr>
            <w:tcW w:w="1696" w:type="dxa"/>
          </w:tcPr>
          <w:p w14:paraId="6E7DBA6A" w14:textId="601F2A59" w:rsidR="008A6873" w:rsidRPr="008A6873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8A6873">
              <w:rPr>
                <w:rFonts w:cstheme="minorHAnsi"/>
                <w:sz w:val="24"/>
                <w:szCs w:val="24"/>
              </w:rPr>
              <w:t>XXème</w:t>
            </w:r>
          </w:p>
        </w:tc>
      </w:tr>
    </w:tbl>
    <w:p w14:paraId="068A60A7" w14:textId="7EBFB165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Durkheim XXème</w:t>
      </w:r>
    </w:p>
    <w:p w14:paraId="05AAA576" w14:textId="77777777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Arguments : </w:t>
      </w:r>
    </w:p>
    <w:p w14:paraId="7E9A5B95" w14:textId="77777777" w:rsidR="001E66DA" w:rsidRPr="001E66DA" w:rsidRDefault="001E66DA" w:rsidP="001E66DA">
      <w:pPr>
        <w:pStyle w:val="Paragraphedeliste"/>
        <w:numPr>
          <w:ilvl w:val="0"/>
          <w:numId w:val="32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 sacré est défini par ce qui est mis à part et séparé du reste du monde.</w:t>
      </w:r>
    </w:p>
    <w:p w14:paraId="02B85A6B" w14:textId="77777777" w:rsidR="001E66DA" w:rsidRPr="001E66DA" w:rsidRDefault="001E66DA" w:rsidP="001E66DA">
      <w:pPr>
        <w:pStyle w:val="Paragraphedeliste"/>
        <w:numPr>
          <w:ilvl w:val="0"/>
          <w:numId w:val="32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Les lieux de culte (temples) sont construits pour abriter la divinité et exigent une attention spéciale.</w:t>
      </w:r>
    </w:p>
    <w:p w14:paraId="757174F0" w14:textId="77777777" w:rsidR="001E66DA" w:rsidRPr="001E66DA" w:rsidRDefault="001E66DA" w:rsidP="001E66DA">
      <w:pPr>
        <w:pStyle w:val="Paragraphedeliste"/>
        <w:numPr>
          <w:ilvl w:val="0"/>
          <w:numId w:val="32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Il existe une rupture nette avec le « profane », qui reste à l'extérieur car il est considéré comme souillé.</w:t>
      </w:r>
    </w:p>
    <w:p w14:paraId="1CA012A1" w14:textId="77777777" w:rsidR="001E66DA" w:rsidRPr="001E66DA" w:rsidRDefault="001E66DA" w:rsidP="001E66DA">
      <w:pPr>
        <w:pStyle w:val="Paragraphedeliste"/>
        <w:numPr>
          <w:ilvl w:val="0"/>
          <w:numId w:val="32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Les règles alimentaires (Casher, Halal) renforcent cette séparation entre pur et impur.</w:t>
      </w:r>
    </w:p>
    <w:p w14:paraId="43F76336" w14:textId="77777777" w:rsidR="001E66DA" w:rsidRPr="00D2568C" w:rsidRDefault="001E66DA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La religion permet de rassembler les croyants.</w:t>
      </w:r>
    </w:p>
    <w:p w14:paraId="38FD26B8" w14:textId="3B578DDE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Kant XVIIIème</w:t>
      </w:r>
    </w:p>
    <w:p w14:paraId="62C33716" w14:textId="77777777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Arguments : </w:t>
      </w:r>
    </w:p>
    <w:p w14:paraId="76252373" w14:textId="77777777" w:rsidR="001E66DA" w:rsidRPr="001E66DA" w:rsidRDefault="001E66DA" w:rsidP="001E66DA">
      <w:pPr>
        <w:pStyle w:val="Paragraphedeliste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Il faut distinguer la religion « intéressée » (où l'on croit par égoïsme pour son propre bonheur) de la religion « morale » (fondée sur une bonne conduite).</w:t>
      </w:r>
    </w:p>
    <w:p w14:paraId="09CDF887" w14:textId="77777777" w:rsidR="001E66DA" w:rsidRPr="001E66DA" w:rsidRDefault="001E66DA" w:rsidP="001E66DA">
      <w:pPr>
        <w:pStyle w:val="Paragraphedeliste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religion intéressée est source de discorde.</w:t>
      </w:r>
    </w:p>
    <w:p w14:paraId="3DC40F5C" w14:textId="77777777" w:rsidR="001E66DA" w:rsidRPr="001E66DA" w:rsidRDefault="001E66DA" w:rsidP="001E66DA">
      <w:pPr>
        <w:pStyle w:val="Paragraphedeliste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religion morale permet de créer une unité entre les hommes.</w:t>
      </w:r>
    </w:p>
    <w:p w14:paraId="258E1EBB" w14:textId="77777777" w:rsidR="001E66DA" w:rsidRPr="001E66DA" w:rsidRDefault="001E66DA" w:rsidP="001E66DA">
      <w:pPr>
        <w:pStyle w:val="Paragraphedeliste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croyance n'est pas basée sur des preuves, mais sur des dogmes présentés comme des affirmations absolues.</w:t>
      </w:r>
    </w:p>
    <w:p w14:paraId="583DAB66" w14:textId="7FA87A8C" w:rsidR="001E66DA" w:rsidRPr="00D2568C" w:rsidRDefault="001E66DA" w:rsidP="001E66DA">
      <w:pPr>
        <w:pBdr>
          <w:bottom w:val="single" w:sz="2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La religion permet d’unir tous les êtres humains.</w:t>
      </w:r>
    </w:p>
    <w:p w14:paraId="29425CE7" w14:textId="77777777" w:rsidR="001E66DA" w:rsidRDefault="001E66DA" w:rsidP="00D2568C">
      <w:pPr>
        <w:rPr>
          <w:rFonts w:cstheme="minorHAnsi"/>
          <w:b/>
          <w:bCs/>
          <w:sz w:val="24"/>
          <w:szCs w:val="24"/>
        </w:rPr>
      </w:pPr>
    </w:p>
    <w:p w14:paraId="7A3CAC37" w14:textId="3EC6E3A1" w:rsidR="00D2568C" w:rsidRPr="00D2568C" w:rsidRDefault="00D2568C" w:rsidP="00D2568C">
      <w:pPr>
        <w:rPr>
          <w:rFonts w:cstheme="minorHAnsi"/>
          <w:b/>
          <w:bCs/>
          <w:sz w:val="24"/>
          <w:szCs w:val="24"/>
        </w:rPr>
      </w:pPr>
      <w:r w:rsidRPr="00D2568C">
        <w:rPr>
          <w:rFonts w:cstheme="minorHAnsi"/>
          <w:b/>
          <w:bCs/>
          <w:sz w:val="24"/>
          <w:szCs w:val="24"/>
        </w:rPr>
        <w:t>Augustin IVème</w:t>
      </w:r>
    </w:p>
    <w:p w14:paraId="30E3974E" w14:textId="77777777" w:rsidR="00D2568C" w:rsidRPr="00D2568C" w:rsidRDefault="00D2568C" w:rsidP="00D2568C">
      <w:pPr>
        <w:rPr>
          <w:rFonts w:cstheme="minorHAnsi"/>
          <w:sz w:val="24"/>
          <w:szCs w:val="24"/>
        </w:rPr>
      </w:pPr>
      <w:r w:rsidRPr="00D2568C">
        <w:rPr>
          <w:rFonts w:cstheme="minorHAnsi"/>
          <w:b/>
          <w:bCs/>
          <w:sz w:val="24"/>
          <w:szCs w:val="24"/>
        </w:rPr>
        <w:t>Citation :</w:t>
      </w:r>
      <w:r w:rsidRPr="00D2568C">
        <w:rPr>
          <w:rFonts w:cstheme="minorHAnsi"/>
          <w:sz w:val="24"/>
          <w:szCs w:val="24"/>
        </w:rPr>
        <w:t xml:space="preserve"> « Credo ut intelligas, intelligo ut credam » (« Crois pour comprendre, comprends pour croire »).</w:t>
      </w:r>
    </w:p>
    <w:p w14:paraId="10D118AA" w14:textId="77777777" w:rsidR="00D2568C" w:rsidRDefault="00D2568C" w:rsidP="00D2568C">
      <w:pPr>
        <w:rPr>
          <w:rFonts w:cstheme="minorHAnsi"/>
          <w:sz w:val="24"/>
          <w:szCs w:val="24"/>
        </w:rPr>
      </w:pPr>
      <w:r w:rsidRPr="00D2568C">
        <w:rPr>
          <w:rFonts w:cstheme="minorHAnsi"/>
          <w:b/>
          <w:bCs/>
          <w:sz w:val="24"/>
          <w:szCs w:val="24"/>
        </w:rPr>
        <w:t>Arguments</w:t>
      </w:r>
      <w:r w:rsidRPr="00D2568C">
        <w:rPr>
          <w:rFonts w:cstheme="minorHAnsi"/>
          <w:sz w:val="24"/>
          <w:szCs w:val="24"/>
        </w:rPr>
        <w:t xml:space="preserve"> : </w:t>
      </w:r>
    </w:p>
    <w:p w14:paraId="26304BA0" w14:textId="1F186E5E" w:rsidR="00D2568C" w:rsidRPr="00D2568C" w:rsidRDefault="00D2568C" w:rsidP="00D2568C">
      <w:pPr>
        <w:pStyle w:val="Paragraphedeliste"/>
        <w:numPr>
          <w:ilvl w:val="0"/>
          <w:numId w:val="24"/>
        </w:numP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>La religion repose essentiellement sur la croyance et la foi.</w:t>
      </w:r>
    </w:p>
    <w:p w14:paraId="064E297E" w14:textId="17918CE7" w:rsidR="00D2568C" w:rsidRPr="00D2568C" w:rsidRDefault="00D2568C" w:rsidP="00D2568C">
      <w:pPr>
        <w:pStyle w:val="Paragraphedeliste"/>
        <w:numPr>
          <w:ilvl w:val="0"/>
          <w:numId w:val="24"/>
        </w:numP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>Le croyant accepte l'existence de Dieu sans exiger de preuves rationnelles.</w:t>
      </w:r>
    </w:p>
    <w:p w14:paraId="666D229B" w14:textId="6F868B0E" w:rsidR="00D2568C" w:rsidRPr="00D2568C" w:rsidRDefault="00D2568C" w:rsidP="00D2568C">
      <w:pPr>
        <w:pStyle w:val="Paragraphedeliste"/>
        <w:numPr>
          <w:ilvl w:val="0"/>
          <w:numId w:val="24"/>
        </w:numP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>La foi est considérée comme une « lumière surnaturelle », tandis que la raison est une « lumière naturelle ».</w:t>
      </w:r>
    </w:p>
    <w:p w14:paraId="11F6B860" w14:textId="77777777" w:rsidR="00D2568C" w:rsidRPr="00D2568C" w:rsidRDefault="00D2568C" w:rsidP="00D2568C">
      <w:pPr>
        <w:pStyle w:val="Paragraphedeliste"/>
        <w:numPr>
          <w:ilvl w:val="0"/>
          <w:numId w:val="24"/>
        </w:numP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>Le doute peut subsister, même chez celui qui possède la foi.</w:t>
      </w:r>
    </w:p>
    <w:p w14:paraId="174CDA1A" w14:textId="79DEA19C" w:rsidR="00D2568C" w:rsidRDefault="00D2568C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Le croyant n’a pas besoin de preuves pour continuer de croire en Dieu.</w:t>
      </w:r>
    </w:p>
    <w:sectPr w:rsidR="00D2568C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4B91D5" w14:textId="77777777" w:rsidR="0024740B" w:rsidRDefault="0024740B" w:rsidP="00BC0895">
      <w:pPr>
        <w:spacing w:after="0" w:line="240" w:lineRule="auto"/>
      </w:pPr>
      <w:r>
        <w:separator/>
      </w:r>
    </w:p>
  </w:endnote>
  <w:endnote w:type="continuationSeparator" w:id="0">
    <w:p w14:paraId="181EAC61" w14:textId="77777777" w:rsidR="0024740B" w:rsidRDefault="0024740B" w:rsidP="00BC0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(MS)">
    <w:altName w:val="Calibri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CBB69" w14:textId="0F9D20C7" w:rsidR="00BC0895" w:rsidRDefault="00BC0895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 w:rsidR="00FE2FF1">
      <w:rPr>
        <w:caps/>
        <w:noProof/>
        <w:color w:val="5B9BD5" w:themeColor="accent1"/>
      </w:rPr>
      <w:t>5</w:t>
    </w:r>
    <w:r>
      <w:rPr>
        <w:caps/>
        <w:color w:val="5B9BD5" w:themeColor="accent1"/>
      </w:rPr>
      <w:fldChar w:fldCharType="end"/>
    </w:r>
  </w:p>
  <w:p w14:paraId="1486A81F" w14:textId="77777777" w:rsidR="00BC0895" w:rsidRDefault="00BC089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B97492" w14:textId="77777777" w:rsidR="0024740B" w:rsidRDefault="0024740B" w:rsidP="00BC0895">
      <w:pPr>
        <w:spacing w:after="0" w:line="240" w:lineRule="auto"/>
      </w:pPr>
      <w:r>
        <w:separator/>
      </w:r>
    </w:p>
  </w:footnote>
  <w:footnote w:type="continuationSeparator" w:id="0">
    <w:p w14:paraId="7A6F6009" w14:textId="77777777" w:rsidR="0024740B" w:rsidRDefault="0024740B" w:rsidP="00BC0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33D7"/>
    <w:multiLevelType w:val="hybridMultilevel"/>
    <w:tmpl w:val="F55C4B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B663B"/>
    <w:multiLevelType w:val="hybridMultilevel"/>
    <w:tmpl w:val="4262F4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B255F"/>
    <w:multiLevelType w:val="hybridMultilevel"/>
    <w:tmpl w:val="A7DE9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EA1F32"/>
    <w:multiLevelType w:val="hybridMultilevel"/>
    <w:tmpl w:val="D65C2B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521997"/>
    <w:multiLevelType w:val="hybridMultilevel"/>
    <w:tmpl w:val="F634B55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D49E4"/>
    <w:multiLevelType w:val="hybridMultilevel"/>
    <w:tmpl w:val="C8AE40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211171"/>
    <w:multiLevelType w:val="hybridMultilevel"/>
    <w:tmpl w:val="91EA49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FB6B17"/>
    <w:multiLevelType w:val="hybridMultilevel"/>
    <w:tmpl w:val="5D6676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C7271C"/>
    <w:multiLevelType w:val="hybridMultilevel"/>
    <w:tmpl w:val="1B10AD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0A2F43"/>
    <w:multiLevelType w:val="hybridMultilevel"/>
    <w:tmpl w:val="A03001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224362"/>
    <w:multiLevelType w:val="hybridMultilevel"/>
    <w:tmpl w:val="720CD3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8194C"/>
    <w:multiLevelType w:val="hybridMultilevel"/>
    <w:tmpl w:val="470E34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8853E8"/>
    <w:multiLevelType w:val="hybridMultilevel"/>
    <w:tmpl w:val="455092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043178"/>
    <w:multiLevelType w:val="hybridMultilevel"/>
    <w:tmpl w:val="0F2A30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83596"/>
    <w:multiLevelType w:val="hybridMultilevel"/>
    <w:tmpl w:val="DC2AC3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390F15"/>
    <w:multiLevelType w:val="hybridMultilevel"/>
    <w:tmpl w:val="9AE6D97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952738"/>
    <w:multiLevelType w:val="hybridMultilevel"/>
    <w:tmpl w:val="71961B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234294"/>
    <w:multiLevelType w:val="hybridMultilevel"/>
    <w:tmpl w:val="BC3CBB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E84364"/>
    <w:multiLevelType w:val="hybridMultilevel"/>
    <w:tmpl w:val="42EA84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B58BC"/>
    <w:multiLevelType w:val="hybridMultilevel"/>
    <w:tmpl w:val="D4C077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D22B24"/>
    <w:multiLevelType w:val="hybridMultilevel"/>
    <w:tmpl w:val="6DF24D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AF5E5A"/>
    <w:multiLevelType w:val="hybridMultilevel"/>
    <w:tmpl w:val="BE2064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BD7F1B"/>
    <w:multiLevelType w:val="hybridMultilevel"/>
    <w:tmpl w:val="11460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187067"/>
    <w:multiLevelType w:val="hybridMultilevel"/>
    <w:tmpl w:val="0044A8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571671"/>
    <w:multiLevelType w:val="hybridMultilevel"/>
    <w:tmpl w:val="298A16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D173BF"/>
    <w:multiLevelType w:val="hybridMultilevel"/>
    <w:tmpl w:val="8836EB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506154"/>
    <w:multiLevelType w:val="hybridMultilevel"/>
    <w:tmpl w:val="5532E4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C70CAE"/>
    <w:multiLevelType w:val="hybridMultilevel"/>
    <w:tmpl w:val="5024D0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E04DCE"/>
    <w:multiLevelType w:val="hybridMultilevel"/>
    <w:tmpl w:val="5E5A3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0E2180"/>
    <w:multiLevelType w:val="hybridMultilevel"/>
    <w:tmpl w:val="A72020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131B27"/>
    <w:multiLevelType w:val="hybridMultilevel"/>
    <w:tmpl w:val="A42008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760682"/>
    <w:multiLevelType w:val="hybridMultilevel"/>
    <w:tmpl w:val="C91A99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9558A0"/>
    <w:multiLevelType w:val="hybridMultilevel"/>
    <w:tmpl w:val="7D78DF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C24D28"/>
    <w:multiLevelType w:val="hybridMultilevel"/>
    <w:tmpl w:val="7B0CD7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604111"/>
    <w:multiLevelType w:val="hybridMultilevel"/>
    <w:tmpl w:val="C1F8BA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3B4AB7"/>
    <w:multiLevelType w:val="hybridMultilevel"/>
    <w:tmpl w:val="37F415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7E634C"/>
    <w:multiLevelType w:val="hybridMultilevel"/>
    <w:tmpl w:val="316692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2"/>
  </w:num>
  <w:num w:numId="3">
    <w:abstractNumId w:val="3"/>
  </w:num>
  <w:num w:numId="4">
    <w:abstractNumId w:val="14"/>
  </w:num>
  <w:num w:numId="5">
    <w:abstractNumId w:val="9"/>
  </w:num>
  <w:num w:numId="6">
    <w:abstractNumId w:val="28"/>
  </w:num>
  <w:num w:numId="7">
    <w:abstractNumId w:val="19"/>
  </w:num>
  <w:num w:numId="8">
    <w:abstractNumId w:val="23"/>
  </w:num>
  <w:num w:numId="9">
    <w:abstractNumId w:val="8"/>
  </w:num>
  <w:num w:numId="10">
    <w:abstractNumId w:val="12"/>
  </w:num>
  <w:num w:numId="11">
    <w:abstractNumId w:val="15"/>
  </w:num>
  <w:num w:numId="12">
    <w:abstractNumId w:val="5"/>
  </w:num>
  <w:num w:numId="13">
    <w:abstractNumId w:val="33"/>
  </w:num>
  <w:num w:numId="14">
    <w:abstractNumId w:val="22"/>
  </w:num>
  <w:num w:numId="15">
    <w:abstractNumId w:val="4"/>
  </w:num>
  <w:num w:numId="16">
    <w:abstractNumId w:val="35"/>
  </w:num>
  <w:num w:numId="17">
    <w:abstractNumId w:val="25"/>
  </w:num>
  <w:num w:numId="18">
    <w:abstractNumId w:val="37"/>
  </w:num>
  <w:num w:numId="19">
    <w:abstractNumId w:val="30"/>
  </w:num>
  <w:num w:numId="20">
    <w:abstractNumId w:val="26"/>
  </w:num>
  <w:num w:numId="21">
    <w:abstractNumId w:val="34"/>
  </w:num>
  <w:num w:numId="22">
    <w:abstractNumId w:val="11"/>
  </w:num>
  <w:num w:numId="23">
    <w:abstractNumId w:val="10"/>
  </w:num>
  <w:num w:numId="24">
    <w:abstractNumId w:val="1"/>
  </w:num>
  <w:num w:numId="25">
    <w:abstractNumId w:val="29"/>
  </w:num>
  <w:num w:numId="26">
    <w:abstractNumId w:val="31"/>
  </w:num>
  <w:num w:numId="27">
    <w:abstractNumId w:val="36"/>
  </w:num>
  <w:num w:numId="28">
    <w:abstractNumId w:val="20"/>
  </w:num>
  <w:num w:numId="29">
    <w:abstractNumId w:val="21"/>
  </w:num>
  <w:num w:numId="30">
    <w:abstractNumId w:val="27"/>
  </w:num>
  <w:num w:numId="31">
    <w:abstractNumId w:val="18"/>
  </w:num>
  <w:num w:numId="32">
    <w:abstractNumId w:val="2"/>
  </w:num>
  <w:num w:numId="33">
    <w:abstractNumId w:val="0"/>
  </w:num>
  <w:num w:numId="34">
    <w:abstractNumId w:val="13"/>
  </w:num>
  <w:num w:numId="35">
    <w:abstractNumId w:val="7"/>
  </w:num>
  <w:num w:numId="36">
    <w:abstractNumId w:val="24"/>
  </w:num>
  <w:num w:numId="37">
    <w:abstractNumId w:val="17"/>
  </w:num>
  <w:num w:numId="3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01014C"/>
    <w:rsid w:val="00174106"/>
    <w:rsid w:val="001E54C5"/>
    <w:rsid w:val="001E66DA"/>
    <w:rsid w:val="001F151A"/>
    <w:rsid w:val="002066FD"/>
    <w:rsid w:val="0024740B"/>
    <w:rsid w:val="002A2A91"/>
    <w:rsid w:val="002B171E"/>
    <w:rsid w:val="002F2F97"/>
    <w:rsid w:val="003114EC"/>
    <w:rsid w:val="003366CA"/>
    <w:rsid w:val="00380A89"/>
    <w:rsid w:val="003D7C66"/>
    <w:rsid w:val="00416ECF"/>
    <w:rsid w:val="00473519"/>
    <w:rsid w:val="005F68DA"/>
    <w:rsid w:val="00653CFC"/>
    <w:rsid w:val="00664847"/>
    <w:rsid w:val="00742CC5"/>
    <w:rsid w:val="00785A83"/>
    <w:rsid w:val="007A1BF6"/>
    <w:rsid w:val="00850A65"/>
    <w:rsid w:val="00863B50"/>
    <w:rsid w:val="008A4C96"/>
    <w:rsid w:val="008A6873"/>
    <w:rsid w:val="008B3B2D"/>
    <w:rsid w:val="008C4522"/>
    <w:rsid w:val="009B478A"/>
    <w:rsid w:val="009B5A7B"/>
    <w:rsid w:val="00A36FBB"/>
    <w:rsid w:val="00B0364D"/>
    <w:rsid w:val="00BC0895"/>
    <w:rsid w:val="00C01066"/>
    <w:rsid w:val="00CA283D"/>
    <w:rsid w:val="00D11057"/>
    <w:rsid w:val="00D2568C"/>
    <w:rsid w:val="00DA1D7F"/>
    <w:rsid w:val="00DA61A8"/>
    <w:rsid w:val="00E50E95"/>
    <w:rsid w:val="00E97CEB"/>
    <w:rsid w:val="00EC56C1"/>
    <w:rsid w:val="00EF56B7"/>
    <w:rsid w:val="00F27BE1"/>
    <w:rsid w:val="00F370A5"/>
    <w:rsid w:val="00FE2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106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A2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C0895"/>
  </w:style>
  <w:style w:type="paragraph" w:styleId="Pieddepage">
    <w:name w:val="footer"/>
    <w:basedOn w:val="Normal"/>
    <w:link w:val="Pieddepag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C0895"/>
  </w:style>
  <w:style w:type="character" w:styleId="lev">
    <w:name w:val="Strong"/>
    <w:basedOn w:val="Policepardfaut"/>
    <w:uiPriority w:val="22"/>
    <w:qFormat/>
    <w:rsid w:val="003114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84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0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8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6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3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0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4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6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9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2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0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2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2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0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1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7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35EFAB-8633-459E-A173-17AE3A870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</Pages>
  <Words>326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21</cp:revision>
  <dcterms:created xsi:type="dcterms:W3CDTF">2025-12-03T17:05:00Z</dcterms:created>
  <dcterms:modified xsi:type="dcterms:W3CDTF">2026-03-19T14:59:00Z</dcterms:modified>
</cp:coreProperties>
</file>