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919B7" w14:textId="6A9DEE71" w:rsidR="00DB7A50" w:rsidRDefault="00DB7A50" w:rsidP="00DB7A50">
      <w:pPr>
        <w:spacing w:before="120" w:after="120"/>
      </w:pPr>
      <w:r>
        <w:t xml:space="preserve">                                                                                                                           Giulia Tedesco n. 77120A</w:t>
      </w:r>
    </w:p>
    <w:p w14:paraId="6DFB33F0" w14:textId="77777777" w:rsidR="00DB7A50" w:rsidRDefault="00DB7A50" w:rsidP="00DB7A50">
      <w:pPr>
        <w:spacing w:before="120" w:after="120"/>
        <w:jc w:val="both"/>
      </w:pPr>
    </w:p>
    <w:p w14:paraId="24DF5989" w14:textId="14B45CAE" w:rsidR="00DB7A50" w:rsidRPr="00DB7A50" w:rsidRDefault="00DB7A50" w:rsidP="00DB7A50">
      <w:pPr>
        <w:spacing w:before="120" w:after="120"/>
        <w:jc w:val="both"/>
      </w:pPr>
      <w:r>
        <w:t xml:space="preserve">              </w:t>
      </w:r>
    </w:p>
    <w:p w14:paraId="222B9C81" w14:textId="7FF6F9F8" w:rsidR="007C2C26" w:rsidRPr="00DB7A50" w:rsidRDefault="00451415" w:rsidP="00DB7A50">
      <w:pPr>
        <w:spacing w:before="120" w:after="120"/>
        <w:jc w:val="both"/>
        <w:rPr>
          <w:b/>
          <w:bCs/>
          <w:sz w:val="32"/>
          <w:szCs w:val="32"/>
        </w:rPr>
      </w:pPr>
      <w:r w:rsidRPr="00DB7A50">
        <w:rPr>
          <w:b/>
          <w:bCs/>
          <w:sz w:val="32"/>
          <w:szCs w:val="32"/>
        </w:rPr>
        <w:t>Normalising Sustainability: Denmark, the Circular Economy, and the Limits of Consumer Culture</w:t>
      </w:r>
    </w:p>
    <w:p w14:paraId="65C6095A" w14:textId="77777777" w:rsidR="00451415" w:rsidRPr="00451415" w:rsidRDefault="00451415" w:rsidP="00DB7A50">
      <w:pPr>
        <w:spacing w:before="120" w:after="120"/>
        <w:jc w:val="both"/>
        <w:rPr>
          <w:sz w:val="28"/>
          <w:szCs w:val="28"/>
        </w:rPr>
      </w:pPr>
    </w:p>
    <w:p w14:paraId="7E1FC4E5" w14:textId="2ECF0EF4" w:rsidR="007C2C26" w:rsidRPr="00451415" w:rsidRDefault="00000000" w:rsidP="00DB7A50">
      <w:pPr>
        <w:spacing w:before="120" w:after="120" w:line="360" w:lineRule="auto"/>
        <w:jc w:val="both"/>
      </w:pPr>
      <w:r w:rsidRPr="00451415">
        <w:t xml:space="preserve">While Denmark is frequently presented as a European frontrunner in sustainability and the circular economy, its case also exposes the limits of pursuing sustainability through consumer culture. This tension motivates two guiding questions: first, can consumer culture ever become genuinely sustainable within a capitalist political economy </w:t>
      </w:r>
      <w:r w:rsidR="00451415" w:rsidRPr="00451415">
        <w:t>organised</w:t>
      </w:r>
      <w:r w:rsidRPr="00451415">
        <w:t xml:space="preserve"> around continuous consumption and economic growth? Second, does the circular economy constitute a structural </w:t>
      </w:r>
      <w:r w:rsidR="00451415" w:rsidRPr="00451415">
        <w:t>reorganisation</w:t>
      </w:r>
      <w:r w:rsidRPr="00451415">
        <w:t xml:space="preserve"> of consumption, or does it primarily revise existing practices without challenging their underlying logic? I contend that Denmark is a prime example of the </w:t>
      </w:r>
      <w:r w:rsidR="00451415" w:rsidRPr="00451415">
        <w:t>institutionalisation</w:t>
      </w:r>
      <w:r w:rsidRPr="00451415">
        <w:t xml:space="preserve"> of sustainable consumption, yet it also illustrates how consumer culture remains rooted in high material throughput and social norms that </w:t>
      </w:r>
      <w:r w:rsidR="00451415" w:rsidRPr="00451415">
        <w:t>prioritise</w:t>
      </w:r>
      <w:r w:rsidRPr="00451415">
        <w:t xml:space="preserve"> convenience and comfort. </w:t>
      </w:r>
    </w:p>
    <w:p w14:paraId="23D182B3" w14:textId="77777777" w:rsidR="007C2C26" w:rsidRDefault="00000000" w:rsidP="00DB7A50">
      <w:pPr>
        <w:spacing w:before="120" w:after="120" w:line="360" w:lineRule="auto"/>
        <w:jc w:val="both"/>
      </w:pPr>
      <w:r w:rsidRPr="00451415">
        <w:t xml:space="preserve">The Danish scenario shows that sustainability is not solely accomplished through significant consumption reductions, but also through normalisation and moral regulation. It redefines what is considered legitimate or proper consumption while leaving the overall volume marginally affected. </w:t>
      </w:r>
    </w:p>
    <w:p w14:paraId="462C2C23" w14:textId="77777777" w:rsidR="00DB7A50" w:rsidRPr="00451415" w:rsidRDefault="00DB7A50" w:rsidP="00DB7A50">
      <w:pPr>
        <w:spacing w:before="120" w:after="120" w:line="360" w:lineRule="auto"/>
        <w:jc w:val="both"/>
      </w:pPr>
    </w:p>
    <w:p w14:paraId="378FCA18" w14:textId="568AB696" w:rsidR="007C2C26" w:rsidRPr="00451415" w:rsidRDefault="00000000" w:rsidP="00DB7A50">
      <w:pPr>
        <w:spacing w:before="120" w:after="120" w:line="360" w:lineRule="auto"/>
        <w:jc w:val="both"/>
      </w:pPr>
      <w:r w:rsidRPr="00451415">
        <w:t>Consumption is not simply a matter of individual preference; it is determined by social norms, shared understandings, and implicit expectations about appropriate behaviour (</w:t>
      </w:r>
      <w:proofErr w:type="spellStart"/>
      <w:r w:rsidRPr="00451415">
        <w:fldChar w:fldCharType="begin"/>
      </w:r>
      <w:r w:rsidRPr="00451415">
        <w:instrText>HYPERLINK "https://www.researchgate.net/publication/267922933_Consumer_Culture_History_Theory_and_Politics"</w:instrText>
      </w:r>
      <w:r w:rsidRPr="00451415">
        <w:fldChar w:fldCharType="separate"/>
      </w:r>
      <w:r w:rsidRPr="00451415">
        <w:rPr>
          <w:color w:val="0000EE"/>
          <w:u w:val="single" w:color="0000EE"/>
        </w:rPr>
        <w:t>Sassatelli</w:t>
      </w:r>
      <w:proofErr w:type="spellEnd"/>
      <w:r w:rsidRPr="00451415">
        <w:rPr>
          <w:color w:val="0000EE"/>
          <w:u w:val="single" w:color="0000EE"/>
        </w:rPr>
        <w:t>, 2007</w:t>
      </w:r>
      <w:r w:rsidRPr="00451415">
        <w:fldChar w:fldCharType="end"/>
      </w:r>
      <w:r w:rsidRPr="00451415">
        <w:t xml:space="preserve">). Consequently, consumer culture is characterised by functional and moral norms that organise routines and provide schemes for assessing and justifying consumption. This perspective helps explain how everyday sustainability can play a role in consumer culture without displacing consumption’s centrality. </w:t>
      </w:r>
      <w:proofErr w:type="spellStart"/>
      <w:r w:rsidRPr="00451415">
        <w:t>Sassatelli</w:t>
      </w:r>
      <w:proofErr w:type="spellEnd"/>
      <w:r w:rsidRPr="00451415">
        <w:t xml:space="preserve"> (2007) describes the moralisation and </w:t>
      </w:r>
      <w:proofErr w:type="spellStart"/>
      <w:r w:rsidRPr="00451415">
        <w:t>responsibilisation</w:t>
      </w:r>
      <w:proofErr w:type="spellEnd"/>
      <w:r w:rsidRPr="00451415">
        <w:t xml:space="preserve"> of consumption, in which collective problems are translated into obligations acted through everyday routines, rendering the consumer a morally responsible figure. This initiates the mechanism of normalising certain activities that become taken for granted and part of the ordinary. Bourdieu’s account (198</w:t>
      </w:r>
      <w:r w:rsidR="00155097">
        <w:t>4</w:t>
      </w:r>
      <w:r w:rsidRPr="00451415">
        <w:t xml:space="preserve">) of distinction suggests that sustainability can function as a form of distinction, clustering tastes and practices into socially recognised signs of “good” consumption that are unequally distributed and rewarded. Sustainability may thus operate through visible </w:t>
      </w:r>
      <w:r w:rsidRPr="00451415">
        <w:lastRenderedPageBreak/>
        <w:t>practices that become legible markers of moral worth, whereas higher-impact behaviours are more frequently sidestepped.</w:t>
      </w:r>
    </w:p>
    <w:p w14:paraId="2248D5FC" w14:textId="313D8DEB" w:rsidR="007C2C26" w:rsidRPr="00451415" w:rsidRDefault="00000000" w:rsidP="00DB7A50">
      <w:pPr>
        <w:spacing w:before="120" w:after="120" w:line="360" w:lineRule="auto"/>
        <w:jc w:val="both"/>
      </w:pPr>
      <w:r w:rsidRPr="00451415">
        <w:t xml:space="preserve">The circular economy matters here because it is one of the main ways sustainability is institutionalised as consumer practice. Concrete initiatives, such as the nationwide deposit-refund system for bottles and cans, called Dansk </w:t>
      </w:r>
      <w:proofErr w:type="spellStart"/>
      <w:r w:rsidRPr="00451415">
        <w:t>Retursystem</w:t>
      </w:r>
      <w:proofErr w:type="spellEnd"/>
      <w:r w:rsidRPr="00451415">
        <w:t xml:space="preserve">, and clothing-sharing platforms such as Vigga and </w:t>
      </w:r>
      <w:proofErr w:type="spellStart"/>
      <w:r w:rsidRPr="00451415">
        <w:t>Trendsales</w:t>
      </w:r>
      <w:proofErr w:type="spellEnd"/>
      <w:r w:rsidRPr="00451415">
        <w:t xml:space="preserve">, have aimed to support reuse and repair. These market devices script and standardise responsible consumption, making sustainability practical through everyday purchasing and returning. For example, </w:t>
      </w:r>
      <w:hyperlink r:id="rId6" w:history="1">
        <w:r w:rsidR="007C2C26" w:rsidRPr="00451415">
          <w:rPr>
            <w:color w:val="0000EE"/>
            <w:u w:val="single" w:color="0000EE"/>
          </w:rPr>
          <w:t xml:space="preserve">Dansk </w:t>
        </w:r>
        <w:proofErr w:type="spellStart"/>
        <w:r w:rsidR="007C2C26" w:rsidRPr="00451415">
          <w:rPr>
            <w:color w:val="0000EE"/>
            <w:u w:val="single" w:color="0000EE"/>
          </w:rPr>
          <w:t>Retursystem</w:t>
        </w:r>
        <w:proofErr w:type="spellEnd"/>
      </w:hyperlink>
      <w:r w:rsidRPr="00451415">
        <w:rPr>
          <w:i/>
          <w:iCs/>
        </w:rPr>
        <w:t xml:space="preserve"> </w:t>
      </w:r>
      <w:r w:rsidRPr="00451415">
        <w:t>is frequently reported to achieve a return rate above 90% for bottles and cans, indicating high participation. Promotions of reuse and repair aim to extend product lifespans and redesign the circulation of goods (</w:t>
      </w:r>
      <w:hyperlink r:id="rId7" w:history="1">
        <w:r w:rsidR="007C2C26" w:rsidRPr="00451415">
          <w:rPr>
            <w:color w:val="0000EE"/>
            <w:u w:val="single" w:color="0000EE"/>
          </w:rPr>
          <w:t>Stahel, 2016</w:t>
        </w:r>
      </w:hyperlink>
      <w:r w:rsidRPr="00451415">
        <w:t xml:space="preserve">). However, the circular economy’s ultimate success is uncertain in a growth-oriented country like Denmark. </w:t>
      </w:r>
    </w:p>
    <w:p w14:paraId="5F45E12A" w14:textId="77777777" w:rsidR="007C2C26" w:rsidRPr="00451415" w:rsidRDefault="00000000" w:rsidP="00DB7A50">
      <w:pPr>
        <w:spacing w:before="120" w:after="120" w:line="360" w:lineRule="auto"/>
        <w:jc w:val="both"/>
      </w:pPr>
      <w:r w:rsidRPr="00451415">
        <w:t xml:space="preserve">A key feature of the Danish case is the extent to which sustainability has been institutionalised through policy and infrastructure. The Danish government has been addressing sustainable transport, accommodation, and household consumption for decades. These long-standing implementations demonstrate that sustainability has become part of the Danish cultural background expectation rather than just an individual purpose. In other words, practices present themselves as given and self-evident once institutionalised (Berger &amp; </w:t>
      </w:r>
      <w:proofErr w:type="spellStart"/>
      <w:r w:rsidRPr="00451415">
        <w:t>Luckmann</w:t>
      </w:r>
      <w:proofErr w:type="spellEnd"/>
      <w:r w:rsidRPr="00451415">
        <w:t xml:space="preserve">, 1966). </w:t>
      </w:r>
    </w:p>
    <w:p w14:paraId="16DBE014" w14:textId="1BF32667" w:rsidR="007C2C26" w:rsidRPr="00FA7D1B" w:rsidRDefault="00000000" w:rsidP="00DB7A50">
      <w:pPr>
        <w:spacing w:before="120" w:after="120" w:line="360" w:lineRule="auto"/>
        <w:jc w:val="both"/>
      </w:pPr>
      <w:r w:rsidRPr="00451415">
        <w:t xml:space="preserve">Social patterns can reinforce the idea of normalisation by defining what counts as accepted behaviour. For example, the deeply rooted cultural norm called </w:t>
      </w:r>
      <w:proofErr w:type="spellStart"/>
      <w:r w:rsidRPr="00451415">
        <w:rPr>
          <w:i/>
          <w:iCs/>
        </w:rPr>
        <w:t>Janteloven</w:t>
      </w:r>
      <w:proofErr w:type="spellEnd"/>
      <w:r w:rsidRPr="00451415">
        <w:t xml:space="preserve">—often referred to as an informal code of egalitarian modesty in Norway and Denmark— discourages overt distinction and conspicuous self-presentation. From a consumer culture perspective, this makes responsible routines socially expected and quietly enforced, while culturally constraining forms of moral and lifestyle distinction. Another worthwhile Danish concept is the well-known </w:t>
      </w:r>
      <w:r w:rsidRPr="00451415">
        <w:rPr>
          <w:i/>
          <w:iCs/>
        </w:rPr>
        <w:t>hygge</w:t>
      </w:r>
      <w:r w:rsidRPr="00451415">
        <w:t>, which matters here not just as a lifestyle aesthetic but as a normative ideal of how everyday life should feel: comfortable and protected as an “inner space” from external factors (</w:t>
      </w:r>
      <w:hyperlink r:id="rId8" w:history="1">
        <w:r w:rsidR="007C2C26" w:rsidRPr="00451415">
          <w:rPr>
            <w:color w:val="0000EE"/>
            <w:u w:val="single" w:color="0000EE"/>
          </w:rPr>
          <w:t>Linnet, 2011</w:t>
        </w:r>
      </w:hyperlink>
      <w:r w:rsidRPr="00451415">
        <w:t>). Such a picture is connected to sustainability</w:t>
      </w:r>
      <w:r w:rsidR="00451415">
        <w:t xml:space="preserve"> </w:t>
      </w:r>
      <w:r w:rsidRPr="00451415">
        <w:t xml:space="preserve">because responsibility within “eco” practices can be folded into ordinary routines that sustain comfort and a sense of everyday control. Sustainable conduct is therefore easier to adopt when it is experienced as a way of doing things properly, rather than as moral heroism or sacrifice. In this way, sustainability is stabilised also through affective attachments: “doing the right thing” is experienced as </w:t>
      </w:r>
      <w:r w:rsidRPr="00451415">
        <w:rPr>
          <w:i/>
          <w:iCs/>
        </w:rPr>
        <w:t>feeling right</w:t>
      </w:r>
      <w:r w:rsidRPr="00451415">
        <w:t>, which makes responsible consumption compatible with, rather than disruptive of, everyday consumer culture (Illouz, 2009</w:t>
      </w:r>
      <w:r w:rsidR="00E424F3">
        <w:t xml:space="preserve">, </w:t>
      </w:r>
      <w:r w:rsidRPr="00451415">
        <w:t>pp.</w:t>
      </w:r>
      <w:r w:rsidR="00FA7D1B">
        <w:t xml:space="preserve"> </w:t>
      </w:r>
      <w:r w:rsidRPr="00451415">
        <w:t>386</w:t>
      </w:r>
      <w:r w:rsidR="00FA7D1B" w:rsidRPr="00FA7D1B">
        <w:t>–</w:t>
      </w:r>
      <w:r w:rsidRPr="00451415">
        <w:t xml:space="preserve">387). </w:t>
      </w:r>
    </w:p>
    <w:p w14:paraId="29DF7837" w14:textId="77777777" w:rsidR="00DB7A50" w:rsidRPr="00451415" w:rsidRDefault="00DB7A50" w:rsidP="00DB7A50">
      <w:pPr>
        <w:spacing w:before="120" w:after="120" w:line="360" w:lineRule="auto"/>
        <w:jc w:val="both"/>
      </w:pPr>
    </w:p>
    <w:p w14:paraId="0C300E40" w14:textId="0D778087" w:rsidR="007C2C26" w:rsidRPr="00451415" w:rsidRDefault="00000000" w:rsidP="00DB7A50">
      <w:pPr>
        <w:spacing w:before="120" w:after="120" w:line="360" w:lineRule="auto"/>
        <w:jc w:val="both"/>
      </w:pPr>
      <w:r w:rsidRPr="00451415">
        <w:t xml:space="preserve">However, the idea that consumer culture can become entirely sustainable shows substantial limits in the Danish case. Empirical </w:t>
      </w:r>
      <w:r w:rsidR="00451415">
        <w:t>evidence shows that green practices do not lead</w:t>
      </w:r>
      <w:r w:rsidRPr="00451415">
        <w:t xml:space="preserve"> to a drop in overall consumption. Denmark continues to exhibit very high levels of material consumption per capita: the average use of virgin materials is estimated at 24.5 tonnes per person per year, far above levels typically considered environmentally sustainable (</w:t>
      </w:r>
      <w:hyperlink r:id="rId9" w:history="1">
        <w:r w:rsidR="007C2C26" w:rsidRPr="00451415">
          <w:rPr>
            <w:color w:val="0000EE"/>
            <w:u w:val="single" w:color="0000EE"/>
          </w:rPr>
          <w:t>DTU Circularity, 2024</w:t>
        </w:r>
      </w:hyperlink>
      <w:r w:rsidRPr="00451415">
        <w:t xml:space="preserve">). This pattern is typical of prosperous societies with increased expectations for comfort and convenience. In other words, the ability to pay tends to raise the standard of living rather than reduce demand, because consumption secures status and respectability (Veblen, 1899, </w:t>
      </w:r>
      <w:proofErr w:type="spellStart"/>
      <w:r w:rsidR="00730AA0">
        <w:t>c</w:t>
      </w:r>
      <w:r w:rsidR="00451415" w:rsidRPr="00451415">
        <w:t>h.</w:t>
      </w:r>
      <w:proofErr w:type="spellEnd"/>
      <w:r w:rsidRPr="00451415">
        <w:t xml:space="preserve"> V). Environmental initiatives may therefore succeed in improving the “quality” of consumption, without undermining the social and material throughput that stabilise high demand. </w:t>
      </w:r>
    </w:p>
    <w:p w14:paraId="2A9F5C75" w14:textId="2E849E95" w:rsidR="007C2C26" w:rsidRPr="00451415" w:rsidRDefault="00000000" w:rsidP="00DB7A50">
      <w:pPr>
        <w:spacing w:before="120" w:after="120" w:line="360" w:lineRule="auto"/>
        <w:jc w:val="both"/>
      </w:pPr>
      <w:r w:rsidRPr="00451415">
        <w:t xml:space="preserve">The same dynamic is particularly evident in clothing trends, where circular practices can coexist with rapid turnover. Although second-hand consumption is very popular among young consumers, it is not yet taken for granted, since the </w:t>
      </w:r>
      <w:r w:rsidRPr="00451415">
        <w:rPr>
          <w:i/>
          <w:iCs/>
        </w:rPr>
        <w:t xml:space="preserve">green </w:t>
      </w:r>
      <w:r w:rsidRPr="00451415">
        <w:t xml:space="preserve">meaning often remains secondary to convenience and social perception. A study among Danish respondents discovered that only a minority considered it important to buy </w:t>
      </w:r>
      <w:r w:rsidR="00E424F3">
        <w:t xml:space="preserve">sustainable </w:t>
      </w:r>
      <w:r w:rsidRPr="00451415">
        <w:t>clothing, suggesting that sustainability is weakly anchored in fashion consumption (</w:t>
      </w:r>
      <w:hyperlink r:id="rId10" w:history="1">
        <w:r w:rsidR="007C2C26" w:rsidRPr="00451415">
          <w:rPr>
            <w:color w:val="0000EE"/>
            <w:u w:val="single" w:color="0000EE"/>
          </w:rPr>
          <w:t>Rønholt &amp; Overgaard, 2022</w:t>
        </w:r>
      </w:hyperlink>
      <w:r w:rsidRPr="00451415">
        <w:t>). Seen through Bourdieu’s framework (198</w:t>
      </w:r>
      <w:r w:rsidR="00155097">
        <w:t>4</w:t>
      </w:r>
      <w:r w:rsidRPr="00451415">
        <w:t xml:space="preserve">), the value of an object is contingent upon its social classification and recognition, rather than its inherent value. In this sense, </w:t>
      </w:r>
      <w:r w:rsidR="00FA7D1B">
        <w:t>“</w:t>
      </w:r>
      <w:r w:rsidRPr="00FA7D1B">
        <w:t>vintage</w:t>
      </w:r>
      <w:r w:rsidR="00FA7D1B">
        <w:t>”</w:t>
      </w:r>
      <w:r w:rsidRPr="00451415">
        <w:rPr>
          <w:i/>
          <w:iCs/>
        </w:rPr>
        <w:t xml:space="preserve"> </w:t>
      </w:r>
      <w:r w:rsidRPr="00451415">
        <w:t xml:space="preserve">can operate as symbolic capital, whereas </w:t>
      </w:r>
      <w:r w:rsidR="00FA7D1B">
        <w:t>“</w:t>
      </w:r>
      <w:r w:rsidRPr="00FA7D1B">
        <w:t>used</w:t>
      </w:r>
      <w:r w:rsidR="00FA7D1B">
        <w:t>”</w:t>
      </w:r>
      <w:r w:rsidRPr="00451415">
        <w:rPr>
          <w:i/>
          <w:iCs/>
        </w:rPr>
        <w:t xml:space="preserve"> </w:t>
      </w:r>
      <w:r w:rsidRPr="00451415">
        <w:t xml:space="preserve">may still carry stigma. Circular fashion reshapes consumption dynamics, but its restricted adoption prompts questions about how strongly identity and self-representation continue to shape consumer practices. </w:t>
      </w:r>
    </w:p>
    <w:p w14:paraId="3EAAB89D" w14:textId="3B8052C0" w:rsidR="007C2C26" w:rsidRPr="00451415" w:rsidRDefault="00000000" w:rsidP="00DB7A50">
      <w:pPr>
        <w:spacing w:before="120" w:after="120" w:line="360" w:lineRule="auto"/>
        <w:jc w:val="both"/>
      </w:pPr>
      <w:r w:rsidRPr="00451415">
        <w:t xml:space="preserve">Another sensitive issue regards food consumption, although circular initiatives are widely shared in the country. The internationally known app Too Good </w:t>
      </w:r>
      <w:proofErr w:type="gramStart"/>
      <w:r w:rsidRPr="00451415">
        <w:t>To</w:t>
      </w:r>
      <w:proofErr w:type="gramEnd"/>
      <w:r w:rsidRPr="00451415">
        <w:t xml:space="preserve"> Go illustrates this sentiment and was </w:t>
      </w:r>
      <w:r w:rsidR="00451415" w:rsidRPr="00451415">
        <w:t>born</w:t>
      </w:r>
      <w:r w:rsidRPr="00451415">
        <w:t xml:space="preserve"> in Denmark. However, this Nordic country's behaviour takes a different direction, with approximately 1.5 million tonnes of food being thrown away between households and retail (</w:t>
      </w:r>
      <w:hyperlink r:id="rId11" w:history="1">
        <w:r w:rsidR="007C2C26" w:rsidRPr="00451415">
          <w:rPr>
            <w:color w:val="0000EE"/>
            <w:u w:val="single" w:color="0000EE"/>
          </w:rPr>
          <w:t>Eurostat, 2023</w:t>
        </w:r>
      </w:hyperlink>
      <w:r w:rsidRPr="00451415">
        <w:t xml:space="preserve">). Again, routines of abundance, typical of consumer societies, reveal how they can reproduce excess even when sustainability is widely accepted as a norm. </w:t>
      </w:r>
    </w:p>
    <w:p w14:paraId="36793D25" w14:textId="654D1581" w:rsidR="007C2C26" w:rsidRPr="00E424F3" w:rsidRDefault="00000000" w:rsidP="00DB7A50">
      <w:pPr>
        <w:spacing w:before="120" w:after="120" w:line="360" w:lineRule="auto"/>
        <w:jc w:val="both"/>
      </w:pPr>
      <w:r w:rsidRPr="00451415">
        <w:t>Green behaviours can become markers of taste, competence, and moral respectability when they are visible in everyday life (</w:t>
      </w:r>
      <w:proofErr w:type="spellStart"/>
      <w:r w:rsidRPr="00451415">
        <w:fldChar w:fldCharType="begin"/>
      </w:r>
      <w:r w:rsidRPr="00451415">
        <w:instrText>HYPERLINK "https://www.researchgate.net/publication/392148620_Green_Against_Greed_Negating_Economic_Capital_Through_Ecological_Distinction"</w:instrText>
      </w:r>
      <w:r w:rsidRPr="00451415">
        <w:fldChar w:fldCharType="separate"/>
      </w:r>
      <w:r w:rsidRPr="00451415">
        <w:rPr>
          <w:color w:val="0000EE"/>
          <w:u w:val="single" w:color="0000EE"/>
        </w:rPr>
        <w:t>Flemmen</w:t>
      </w:r>
      <w:proofErr w:type="spellEnd"/>
      <w:r w:rsidRPr="00451415">
        <w:rPr>
          <w:color w:val="0000EE"/>
          <w:u w:val="single" w:color="0000EE"/>
        </w:rPr>
        <w:t>, 2025</w:t>
      </w:r>
      <w:r w:rsidRPr="00451415">
        <w:fldChar w:fldCharType="end"/>
      </w:r>
      <w:r w:rsidRPr="00451415">
        <w:t>), creating an uneven distinction between practices. In fact, high-impact practices tend to receive less critical attention. Research on Danish long-distance travel indicates that flying accounts for a major share of transport-related emissions (</w:t>
      </w:r>
      <w:hyperlink r:id="rId12" w:history="1">
        <w:r w:rsidR="007C2C26" w:rsidRPr="00451415">
          <w:rPr>
            <w:color w:val="0000EE"/>
            <w:u w:val="single" w:color="0000EE"/>
          </w:rPr>
          <w:t>Christensen, 2017</w:t>
        </w:r>
      </w:hyperlink>
      <w:r w:rsidR="00155097">
        <w:t xml:space="preserve">; </w:t>
      </w:r>
      <w:hyperlink r:id="rId13" w:history="1">
        <w:r w:rsidR="00155097" w:rsidRPr="00155097">
          <w:rPr>
            <w:rStyle w:val="Collegamentoipertestuale"/>
          </w:rPr>
          <w:t>Knudsen, 2015</w:t>
        </w:r>
      </w:hyperlink>
      <w:r w:rsidRPr="00451415">
        <w:t xml:space="preserve">). </w:t>
      </w:r>
      <w:r w:rsidRPr="00451415">
        <w:lastRenderedPageBreak/>
        <w:t xml:space="preserve">Nonetheless, flying is commonly legitimised as a deserved form of leisure, which contributes to its relative cultural immunity. </w:t>
      </w:r>
    </w:p>
    <w:p w14:paraId="642B93AC" w14:textId="77777777" w:rsidR="007C2C26" w:rsidRDefault="00000000" w:rsidP="00DB7A50">
      <w:pPr>
        <w:spacing w:before="120" w:after="120" w:line="360" w:lineRule="auto"/>
        <w:jc w:val="both"/>
      </w:pPr>
      <w:r w:rsidRPr="00451415">
        <w:t xml:space="preserve">Previous discrepancies between </w:t>
      </w:r>
      <w:r w:rsidRPr="00451415">
        <w:rPr>
          <w:i/>
          <w:iCs/>
        </w:rPr>
        <w:t xml:space="preserve">responsible </w:t>
      </w:r>
      <w:r w:rsidRPr="00451415">
        <w:t>conduct and material footprint occur in circular-economy research. Recent estimates indicate that only about 4% of the Danish economy is circular (</w:t>
      </w:r>
      <w:hyperlink r:id="rId14" w:history="1">
        <w:r w:rsidR="007C2C26" w:rsidRPr="00451415">
          <w:rPr>
            <w:color w:val="0000EE"/>
            <w:u w:val="single" w:color="0000EE"/>
          </w:rPr>
          <w:t>Circularity Gap Report, 2023</w:t>
        </w:r>
      </w:hyperlink>
      <w:r w:rsidRPr="00451415">
        <w:t>). This data is crucial because it highlights a structural condition: circularity can be widely promoted as policy and consumer practice while remaining marginal within the dominant, growth-oriented capitalist system.</w:t>
      </w:r>
    </w:p>
    <w:p w14:paraId="7624CA47" w14:textId="77777777" w:rsidR="00DB7A50" w:rsidRPr="00451415" w:rsidRDefault="00DB7A50" w:rsidP="00DB7A50">
      <w:pPr>
        <w:spacing w:before="120" w:after="120" w:line="360" w:lineRule="auto"/>
        <w:jc w:val="both"/>
      </w:pPr>
    </w:p>
    <w:p w14:paraId="76CD2883" w14:textId="77777777" w:rsidR="007C2C26" w:rsidRDefault="00000000" w:rsidP="00DB7A50">
      <w:pPr>
        <w:spacing w:before="120" w:after="120" w:line="360" w:lineRule="auto"/>
        <w:jc w:val="both"/>
      </w:pPr>
      <w:r w:rsidRPr="00451415">
        <w:t>Although circular initiatives involve repair, reuse, and improved material circulation (</w:t>
      </w:r>
      <w:hyperlink r:id="rId15" w:history="1">
        <w:r w:rsidR="007C2C26" w:rsidRPr="00451415">
          <w:rPr>
            <w:color w:val="0000EE"/>
            <w:u w:val="single" w:color="0000EE"/>
          </w:rPr>
          <w:t>Stahel, 2016</w:t>
        </w:r>
      </w:hyperlink>
      <w:r w:rsidRPr="00451415">
        <w:t>), this does not guarantee an absolute decline in throughput. As seen above, the system can incorporate such gains, but it is not just a matter of routinisation, since it is strictly connected to the scale of consumption in capitalist societies. Under this interpretation, better circulation goes hand in hand with greater production and purchasing, risking functioning as a legitimating layer of consumer capitalism. The appeal and the limits of consumer-oriented reforms therefore coexist: everyday routines are moralised and “greened” even as the expansionary logic of growth continues to structure the system (</w:t>
      </w:r>
      <w:hyperlink r:id="rId16" w:history="1">
        <w:r w:rsidR="007C2C26" w:rsidRPr="00451415">
          <w:rPr>
            <w:color w:val="0000EE"/>
            <w:u w:val="single" w:color="0000EE"/>
          </w:rPr>
          <w:t>Monbiot, 2021</w:t>
        </w:r>
      </w:hyperlink>
      <w:r w:rsidRPr="00451415">
        <w:t xml:space="preserve">). </w:t>
      </w:r>
    </w:p>
    <w:p w14:paraId="175055C4" w14:textId="77777777" w:rsidR="00DB7A50" w:rsidRPr="00451415" w:rsidRDefault="00DB7A50" w:rsidP="00DB7A50">
      <w:pPr>
        <w:spacing w:before="120" w:after="120" w:line="360" w:lineRule="auto"/>
        <w:jc w:val="both"/>
      </w:pPr>
    </w:p>
    <w:p w14:paraId="58D94EB6" w14:textId="6E26A9C1" w:rsidR="007C2C26" w:rsidRDefault="00000000" w:rsidP="00C6519E">
      <w:pPr>
        <w:spacing w:before="120" w:after="120" w:line="360" w:lineRule="auto"/>
        <w:jc w:val="both"/>
      </w:pPr>
      <w:r w:rsidRPr="00451415">
        <w:t xml:space="preserve">Overall, the Danish case demonstrates how sustainability is culturally effective through normalisation, showing how policies, infrastructures, and shared expectations turn </w:t>
      </w:r>
      <w:r w:rsidRPr="00451415">
        <w:rPr>
          <w:i/>
          <w:iCs/>
        </w:rPr>
        <w:t xml:space="preserve">responsible </w:t>
      </w:r>
      <w:r w:rsidRPr="00451415">
        <w:t>routines into ordinary requirements of everyday competence, determining how consumption is performed and justified (</w:t>
      </w:r>
      <w:proofErr w:type="spellStart"/>
      <w:r w:rsidRPr="00451415">
        <w:fldChar w:fldCharType="begin"/>
      </w:r>
      <w:r w:rsidRPr="00451415">
        <w:instrText>HYPERLINK "https://www.researchgate.net/publication/267922933_Consumer_Culture_History_Theory_and_Politics"</w:instrText>
      </w:r>
      <w:r w:rsidRPr="00451415">
        <w:fldChar w:fldCharType="separate"/>
      </w:r>
      <w:r w:rsidRPr="00451415">
        <w:rPr>
          <w:color w:val="0000EE"/>
          <w:u w:val="single" w:color="0000EE"/>
        </w:rPr>
        <w:t>Sassatelli</w:t>
      </w:r>
      <w:proofErr w:type="spellEnd"/>
      <w:r w:rsidRPr="00451415">
        <w:rPr>
          <w:color w:val="0000EE"/>
          <w:u w:val="single" w:color="0000EE"/>
        </w:rPr>
        <w:t>, 2007</w:t>
      </w:r>
      <w:r w:rsidRPr="00451415">
        <w:fldChar w:fldCharType="end"/>
      </w:r>
      <w:r w:rsidRPr="00451415">
        <w:t xml:space="preserve">). Moreover, Denmark reflects the limits set by the essay’s two research questions. Consumer culture is unlikely to become fully sustainable as long as high-demand lifestyles stay anchored in expectations of comfort, mobility, and convenience within a growth-oriented capitalist economy. Likewise, the circular economy can reorganise repair, reuse, and resale activities without necessarily changing the underlying logic that sustains high volumes of production and consumption. Sustainability practices tend to improve the </w:t>
      </w:r>
      <w:r w:rsidRPr="00451415">
        <w:rPr>
          <w:i/>
          <w:iCs/>
        </w:rPr>
        <w:t>form</w:t>
      </w:r>
      <w:r w:rsidRPr="00451415">
        <w:t xml:space="preserve"> of consumption more than its </w:t>
      </w:r>
      <w:r w:rsidRPr="00451415">
        <w:rPr>
          <w:i/>
          <w:iCs/>
        </w:rPr>
        <w:t>scale;</w:t>
      </w:r>
      <w:r w:rsidRPr="00451415">
        <w:t xml:space="preserve"> moral regulation is not evenly applied: routine practices become sites of visible responsibility, while high-impact activities remain culturally protected. The aim, then, is not to depict sustainable practices as ineffective within capitalist societies, but rather to offer an alternative interpretation that not only highlights their positive traits but also their limits. </w:t>
      </w:r>
    </w:p>
    <w:p w14:paraId="618D5E62" w14:textId="116ED3C9" w:rsidR="00C96E18" w:rsidRDefault="00C96E18" w:rsidP="00C96E18">
      <w:pPr>
        <w:spacing w:before="120" w:after="120" w:line="360" w:lineRule="auto"/>
        <w:jc w:val="both"/>
      </w:pPr>
      <w:r>
        <w:lastRenderedPageBreak/>
        <w:t>Notes:</w:t>
      </w:r>
    </w:p>
    <w:p w14:paraId="290DC106" w14:textId="02127DF2" w:rsidR="00C96E18" w:rsidRDefault="00C96E18" w:rsidP="00C96E18">
      <w:pPr>
        <w:spacing w:before="120" w:after="120" w:line="360" w:lineRule="auto"/>
        <w:jc w:val="both"/>
      </w:pPr>
      <w:r>
        <w:t xml:space="preserve">Chat GPT was used as an aid for sourcing, paraphrasing and coherence. </w:t>
      </w:r>
      <w:r w:rsidRPr="00C96E18">
        <w:t>The author independently evaluated all suggested materials and verified all claims and references. All arguments and interpretations are the author’s own, and the author assumes full responsibility for the final content.</w:t>
      </w:r>
    </w:p>
    <w:sectPr w:rsidR="00C96E18">
      <w:pgSz w:w="12240" w:h="15840"/>
      <w:pgMar w:top="1417"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6F348D"/>
    <w:multiLevelType w:val="multilevel"/>
    <w:tmpl w:val="9082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961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C26"/>
    <w:rsid w:val="00155097"/>
    <w:rsid w:val="00396858"/>
    <w:rsid w:val="00451415"/>
    <w:rsid w:val="00730AA0"/>
    <w:rsid w:val="007C2C26"/>
    <w:rsid w:val="008841BA"/>
    <w:rsid w:val="0095637B"/>
    <w:rsid w:val="00C6519E"/>
    <w:rsid w:val="00C96E18"/>
    <w:rsid w:val="00D06E4E"/>
    <w:rsid w:val="00DB7A50"/>
    <w:rsid w:val="00E424F3"/>
    <w:rsid w:val="00FA7D1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76B04"/>
  <w15:docId w15:val="{7F7D33AB-8AC4-413E-9635-0EEE3A3FD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05BCE"/>
    <w:rPr>
      <w:sz w:val="24"/>
      <w:szCs w:val="24"/>
      <w:lang w:val="en-GB"/>
    </w:rPr>
  </w:style>
  <w:style w:type="paragraph" w:styleId="Titolo1">
    <w:name w:val="heading 1"/>
    <w:basedOn w:val="Normale"/>
    <w:next w:val="Normale"/>
    <w:link w:val="Titolo1Carattere"/>
    <w:uiPriority w:val="9"/>
    <w:qFormat/>
    <w:rsid w:val="00506D7A"/>
    <w:pPr>
      <w:keepNext/>
      <w:keepLines/>
      <w:spacing w:before="240"/>
      <w:outlineLvl w:val="0"/>
    </w:pPr>
    <w:rPr>
      <w:b/>
      <w:bCs/>
      <w:color w:val="2F5496"/>
      <w:kern w:val="36"/>
      <w:sz w:val="48"/>
      <w:szCs w:val="48"/>
    </w:rPr>
  </w:style>
  <w:style w:type="paragraph" w:styleId="Titolo2">
    <w:name w:val="heading 2"/>
    <w:basedOn w:val="Normale"/>
    <w:next w:val="Normale"/>
    <w:link w:val="Titolo2Carattere"/>
    <w:uiPriority w:val="9"/>
    <w:qFormat/>
    <w:rsid w:val="00506D7A"/>
    <w:pPr>
      <w:keepNext/>
      <w:keepLines/>
      <w:spacing w:before="40"/>
      <w:outlineLvl w:val="1"/>
    </w:pPr>
    <w:rPr>
      <w:b/>
      <w:bCs/>
      <w:color w:val="2F5496"/>
      <w:sz w:val="36"/>
      <w:szCs w:val="36"/>
    </w:rPr>
  </w:style>
  <w:style w:type="paragraph" w:styleId="Titolo3">
    <w:name w:val="heading 3"/>
    <w:basedOn w:val="Normale"/>
    <w:next w:val="Normale"/>
    <w:link w:val="Titolo3Carattere"/>
    <w:uiPriority w:val="9"/>
    <w:qFormat/>
    <w:rsid w:val="00506D7A"/>
    <w:pPr>
      <w:keepNext/>
      <w:keepLines/>
      <w:spacing w:before="40"/>
      <w:outlineLvl w:val="2"/>
    </w:pPr>
    <w:rPr>
      <w:b/>
      <w:bCs/>
      <w:color w:val="1F3763"/>
      <w:sz w:val="28"/>
      <w:szCs w:val="28"/>
    </w:rPr>
  </w:style>
  <w:style w:type="paragraph" w:styleId="Titolo4">
    <w:name w:val="heading 4"/>
    <w:basedOn w:val="Normale"/>
    <w:next w:val="Normale"/>
    <w:link w:val="Titolo4Carattere"/>
    <w:uiPriority w:val="9"/>
    <w:qFormat/>
    <w:rsid w:val="00506D7A"/>
    <w:pPr>
      <w:keepNext/>
      <w:keepLines/>
      <w:spacing w:before="40"/>
      <w:outlineLvl w:val="3"/>
    </w:pPr>
    <w:rPr>
      <w:b/>
      <w:bCs/>
      <w:iCs/>
      <w:color w:val="2F5496"/>
    </w:rPr>
  </w:style>
  <w:style w:type="paragraph" w:styleId="Titolo5">
    <w:name w:val="heading 5"/>
    <w:basedOn w:val="Normale"/>
    <w:next w:val="Normale"/>
    <w:link w:val="Titolo5Carattere"/>
    <w:uiPriority w:val="9"/>
    <w:qFormat/>
    <w:rsid w:val="00506D7A"/>
    <w:pPr>
      <w:keepNext/>
      <w:keepLines/>
      <w:spacing w:before="40"/>
      <w:outlineLvl w:val="4"/>
    </w:pPr>
    <w:rPr>
      <w:b/>
      <w:bCs/>
      <w:color w:val="2F5496"/>
      <w:sz w:val="20"/>
      <w:szCs w:val="20"/>
    </w:rPr>
  </w:style>
  <w:style w:type="paragraph" w:styleId="Titolo6">
    <w:name w:val="heading 6"/>
    <w:basedOn w:val="Normale"/>
    <w:next w:val="Normale"/>
    <w:link w:val="Titolo6Carattere"/>
    <w:uiPriority w:val="9"/>
    <w:qFormat/>
    <w:rsid w:val="00506D7A"/>
    <w:pPr>
      <w:keepNext/>
      <w:keepLines/>
      <w:spacing w:before="40"/>
      <w:outlineLvl w:val="5"/>
    </w:pPr>
    <w:rPr>
      <w:b/>
      <w:bCs/>
      <w:color w:val="1F3763"/>
      <w:sz w:val="16"/>
      <w:szCs w:val="1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06D7A"/>
    <w:rPr>
      <w:rFonts w:ascii="Calibri Light" w:eastAsia="Times New Roman" w:hAnsi="Calibri Light" w:cs="Times New Roman"/>
      <w:color w:val="2F5496"/>
      <w:sz w:val="32"/>
      <w:szCs w:val="32"/>
    </w:rPr>
  </w:style>
  <w:style w:type="character" w:customStyle="1" w:styleId="Titolo2Carattere">
    <w:name w:val="Titolo 2 Carattere"/>
    <w:basedOn w:val="Carpredefinitoparagrafo"/>
    <w:link w:val="Titolo2"/>
    <w:uiPriority w:val="9"/>
    <w:rsid w:val="00506D7A"/>
    <w:rPr>
      <w:rFonts w:ascii="Calibri Light" w:eastAsia="Times New Roman" w:hAnsi="Calibri Light" w:cs="Times New Roman"/>
      <w:color w:val="2F5496"/>
      <w:sz w:val="26"/>
      <w:szCs w:val="26"/>
    </w:rPr>
  </w:style>
  <w:style w:type="character" w:customStyle="1" w:styleId="Titolo3Carattere">
    <w:name w:val="Titolo 3 Carattere"/>
    <w:basedOn w:val="Carpredefinitoparagrafo"/>
    <w:link w:val="Titolo3"/>
    <w:uiPriority w:val="9"/>
    <w:rsid w:val="00506D7A"/>
    <w:rPr>
      <w:rFonts w:ascii="Calibri Light" w:eastAsia="Times New Roman" w:hAnsi="Calibri Light" w:cs="Times New Roman"/>
      <w:color w:val="1F3763"/>
      <w:sz w:val="24"/>
      <w:szCs w:val="24"/>
    </w:rPr>
  </w:style>
  <w:style w:type="character" w:customStyle="1" w:styleId="Titolo4Carattere">
    <w:name w:val="Titolo 4 Carattere"/>
    <w:basedOn w:val="Carpredefinitoparagrafo"/>
    <w:link w:val="Titolo4"/>
    <w:uiPriority w:val="9"/>
    <w:rsid w:val="00506D7A"/>
    <w:rPr>
      <w:rFonts w:ascii="Calibri Light" w:eastAsia="Times New Roman" w:hAnsi="Calibri Light" w:cs="Times New Roman"/>
      <w:i/>
      <w:iCs/>
      <w:color w:val="2F5496"/>
    </w:rPr>
  </w:style>
  <w:style w:type="character" w:customStyle="1" w:styleId="Titolo5Carattere">
    <w:name w:val="Titolo 5 Carattere"/>
    <w:basedOn w:val="Carpredefinitoparagrafo"/>
    <w:link w:val="Titolo5"/>
    <w:uiPriority w:val="9"/>
    <w:rsid w:val="00506D7A"/>
    <w:rPr>
      <w:rFonts w:ascii="Calibri Light" w:eastAsia="Times New Roman" w:hAnsi="Calibri Light" w:cs="Times New Roman"/>
      <w:color w:val="2F5496"/>
    </w:rPr>
  </w:style>
  <w:style w:type="character" w:customStyle="1" w:styleId="Titolo6Carattere">
    <w:name w:val="Titolo 6 Carattere"/>
    <w:basedOn w:val="Carpredefinitoparagrafo"/>
    <w:link w:val="Titolo6"/>
    <w:uiPriority w:val="9"/>
    <w:rsid w:val="00506D7A"/>
    <w:rPr>
      <w:rFonts w:ascii="Calibri Light" w:eastAsia="Times New Roman" w:hAnsi="Calibri Light" w:cs="Times New Roman"/>
      <w:color w:val="1F3763"/>
    </w:rPr>
  </w:style>
  <w:style w:type="character" w:styleId="Collegamentoipertestuale">
    <w:name w:val="Hyperlink"/>
    <w:basedOn w:val="Carpredefinitoparagrafo"/>
    <w:uiPriority w:val="99"/>
    <w:unhideWhenUsed/>
    <w:rsid w:val="00155097"/>
    <w:rPr>
      <w:color w:val="0000FF" w:themeColor="hyperlink"/>
      <w:u w:val="single"/>
    </w:rPr>
  </w:style>
  <w:style w:type="character" w:styleId="Menzionenonrisolta">
    <w:name w:val="Unresolved Mention"/>
    <w:basedOn w:val="Carpredefinitoparagrafo"/>
    <w:uiPriority w:val="99"/>
    <w:semiHidden/>
    <w:unhideWhenUsed/>
    <w:rsid w:val="00155097"/>
    <w:rPr>
      <w:color w:val="605E5C"/>
      <w:shd w:val="clear" w:color="auto" w:fill="E1DFDD"/>
    </w:rPr>
  </w:style>
  <w:style w:type="paragraph" w:styleId="NormaleWeb">
    <w:name w:val="Normal (Web)"/>
    <w:basedOn w:val="Normale"/>
    <w:uiPriority w:val="99"/>
    <w:semiHidden/>
    <w:unhideWhenUsed/>
    <w:rsid w:val="00FA7D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267922385_Towards_an_epistemology_of_consumer_culture_theory_Phenomenology_and_the_context_of_context" TargetMode="External"/><Relationship Id="rId13" Type="http://schemas.openxmlformats.org/officeDocument/2006/relationships/hyperlink" Target="https://orbit.dtu.dk/en/publications/danish-long-distance-travela-study-of-danish-travel-behaviour-and/"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nature.com/articles/531435a" TargetMode="External"/><Relationship Id="rId12" Type="http://schemas.openxmlformats.org/officeDocument/2006/relationships/hyperlink" Target="https://orbit.dtu.dk/en/publications/environmental-impact-of-long-distance-trave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heguardian.com/environment/2021/oct/30/capitalism-is-killing-the-planet-its-time-to-stop-buying-into-our-own-destruction" TargetMode="External"/><Relationship Id="rId1" Type="http://schemas.openxmlformats.org/officeDocument/2006/relationships/customXml" Target="../customXml/item1.xml"/><Relationship Id="rId6" Type="http://schemas.openxmlformats.org/officeDocument/2006/relationships/hyperlink" Target="https://danskretursystem.dk/en/sustainability/" TargetMode="External"/><Relationship Id="rId11" Type="http://schemas.openxmlformats.org/officeDocument/2006/relationships/hyperlink" Target="https://ec.europa.eu/eurostat/statistics-explained/SEPDF/cache/110448.pdf" TargetMode="External"/><Relationship Id="rId5" Type="http://schemas.openxmlformats.org/officeDocument/2006/relationships/webSettings" Target="webSettings.xml"/><Relationship Id="rId15" Type="http://schemas.openxmlformats.org/officeDocument/2006/relationships/hyperlink" Target="https://www.nature.com/articles/531435a" TargetMode="External"/><Relationship Id="rId10" Type="http://schemas.openxmlformats.org/officeDocument/2006/relationships/hyperlink" Target="https://www.researchgate.net/publication/362931709_The_Secondhand_Clothing_Conundrum_An_Exploratory_Study_of_Young_Danish_Consumers" TargetMode="External"/><Relationship Id="rId4" Type="http://schemas.openxmlformats.org/officeDocument/2006/relationships/settings" Target="settings.xml"/><Relationship Id="rId9" Type="http://schemas.openxmlformats.org/officeDocument/2006/relationships/hyperlink" Target="https://www.dtu.dk/english/newsarchive/2024/03/why-do-danes-use-more-of-the-planets-resources-than-most?utm_source=chatgpt.com" TargetMode="External"/><Relationship Id="rId14" Type="http://schemas.openxmlformats.org/officeDocument/2006/relationships/hyperlink" Target="https://www.circularity-gap.world/denma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08536-89DB-4582-8C17-0B053C497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Pages>
  <Words>1878</Words>
  <Characters>10709</Characters>
  <Application>Microsoft Office Word</Application>
  <DocSecurity>0</DocSecurity>
  <Lines>89</Lines>
  <Paragraphs>25</Paragraphs>
  <ScaleCrop>false</ScaleCrop>
  <Company/>
  <LinksUpToDate>false</LinksUpToDate>
  <CharactersWithSpaces>12562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Consumer Culture Essay 2</dc:title>
  <cp:lastModifiedBy>Giulia Tedesco</cp:lastModifiedBy>
  <cp:revision>9</cp:revision>
  <dcterms:created xsi:type="dcterms:W3CDTF">2026-02-12T15:19:00Z</dcterms:created>
  <dcterms:modified xsi:type="dcterms:W3CDTF">2026-02-12T16:44:00Z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751b252a-84f4-46fe-a458-3919b47c67ba</vt:lpwstr>
  </property>
</Properties>
</file>