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9BF9" w14:textId="77777777" w:rsidR="009E2DA1" w:rsidRDefault="009E2DA1" w:rsidP="009E2DA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FIAP – Faculdade de Informática e Administração Paulista</w:t>
      </w:r>
    </w:p>
    <w:p w14:paraId="55668309" w14:textId="77777777" w:rsidR="009E2DA1" w:rsidRDefault="009E2DA1" w:rsidP="009E2DA1">
      <w:pPr>
        <w:jc w:val="center"/>
        <w:rPr>
          <w:b/>
          <w:bCs/>
          <w:sz w:val="72"/>
          <w:szCs w:val="72"/>
        </w:rPr>
      </w:pPr>
    </w:p>
    <w:p w14:paraId="58BDD978" w14:textId="24D837F0" w:rsidR="009E2DA1" w:rsidRDefault="009E2DA1" w:rsidP="009E2DA1">
      <w:pPr>
        <w:jc w:val="center"/>
        <w:rPr>
          <w:sz w:val="40"/>
          <w:szCs w:val="40"/>
          <w:lang w:val="en-US"/>
        </w:rPr>
      </w:pPr>
      <w:r w:rsidRPr="000F5A56">
        <w:rPr>
          <w:sz w:val="40"/>
          <w:szCs w:val="40"/>
          <w:lang w:val="en-US"/>
        </w:rPr>
        <w:t xml:space="preserve">Pós Tech - Tech Challenge - Fase </w:t>
      </w:r>
      <w:r w:rsidR="0034089D">
        <w:rPr>
          <w:sz w:val="40"/>
          <w:szCs w:val="40"/>
          <w:lang w:val="en-US"/>
        </w:rPr>
        <w:t>2</w:t>
      </w:r>
      <w:r w:rsidRPr="000F5A56">
        <w:rPr>
          <w:sz w:val="40"/>
          <w:szCs w:val="40"/>
          <w:lang w:val="en-US"/>
        </w:rPr>
        <w:t xml:space="preserve"> – 9DAT</w:t>
      </w:r>
    </w:p>
    <w:p w14:paraId="064CAB56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4655B472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60F847B6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2FE40A34" w14:textId="1879DF5C" w:rsidR="009E2DA1" w:rsidRPr="000F5A56" w:rsidRDefault="009E2DA1" w:rsidP="009E2DA1">
      <w:pPr>
        <w:jc w:val="center"/>
        <w:rPr>
          <w:sz w:val="44"/>
          <w:szCs w:val="44"/>
        </w:rPr>
      </w:pPr>
      <w:r w:rsidRPr="000F5A56">
        <w:rPr>
          <w:sz w:val="24"/>
          <w:szCs w:val="24"/>
        </w:rPr>
        <w:t>"</w:t>
      </w:r>
      <w:r w:rsidR="00292276">
        <w:t>Utilização de Regressão Logística para prever o fechamento do Ibovespa</w:t>
      </w:r>
      <w:r w:rsidRPr="000F5A56">
        <w:rPr>
          <w:sz w:val="24"/>
          <w:szCs w:val="24"/>
        </w:rPr>
        <w:t>"</w:t>
      </w:r>
    </w:p>
    <w:p w14:paraId="5A6834BF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6ABC64A4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586DDEF0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0A0E8498" w14:textId="165488C4" w:rsidR="009E2DA1" w:rsidRPr="000F5A56" w:rsidRDefault="009E2DA1" w:rsidP="009E2DA1">
      <w:pPr>
        <w:jc w:val="center"/>
        <w:rPr>
          <w:sz w:val="24"/>
          <w:szCs w:val="24"/>
        </w:rPr>
      </w:pPr>
      <w:r w:rsidRPr="000F5A56">
        <w:rPr>
          <w:sz w:val="24"/>
          <w:szCs w:val="24"/>
        </w:rPr>
        <w:t xml:space="preserve">Aline </w:t>
      </w:r>
      <w:proofErr w:type="spellStart"/>
      <w:r w:rsidRPr="000F5A56">
        <w:rPr>
          <w:sz w:val="24"/>
          <w:szCs w:val="24"/>
        </w:rPr>
        <w:t>Korb</w:t>
      </w:r>
      <w:proofErr w:type="spellEnd"/>
      <w:r w:rsidRPr="000F5A56">
        <w:rPr>
          <w:sz w:val="24"/>
          <w:szCs w:val="24"/>
        </w:rPr>
        <w:t>, Gabriel Manzini, Gabriel Teles, Thi</w:t>
      </w:r>
      <w:r>
        <w:rPr>
          <w:sz w:val="24"/>
          <w:szCs w:val="24"/>
        </w:rPr>
        <w:t>a</w:t>
      </w:r>
      <w:r w:rsidRPr="000F5A56">
        <w:rPr>
          <w:sz w:val="24"/>
          <w:szCs w:val="24"/>
        </w:rPr>
        <w:t xml:space="preserve">go </w:t>
      </w:r>
      <w:proofErr w:type="spellStart"/>
      <w:r w:rsidRPr="000F5A56">
        <w:rPr>
          <w:sz w:val="24"/>
          <w:szCs w:val="24"/>
        </w:rPr>
        <w:t>Temporim</w:t>
      </w:r>
      <w:proofErr w:type="spellEnd"/>
    </w:p>
    <w:p w14:paraId="6A0161CE" w14:textId="77777777" w:rsidR="009E2DA1" w:rsidRPr="00525D6F" w:rsidRDefault="009E2DA1" w:rsidP="009E2DA1">
      <w:pPr>
        <w:jc w:val="center"/>
        <w:rPr>
          <w:sz w:val="40"/>
          <w:szCs w:val="40"/>
        </w:rPr>
      </w:pPr>
    </w:p>
    <w:p w14:paraId="52120A94" w14:textId="77777777" w:rsidR="009E2DA1" w:rsidRPr="00525D6F" w:rsidRDefault="009E2DA1" w:rsidP="009E2DA1">
      <w:pPr>
        <w:rPr>
          <w:sz w:val="40"/>
          <w:szCs w:val="40"/>
        </w:rPr>
      </w:pPr>
    </w:p>
    <w:p w14:paraId="192CBB71" w14:textId="77777777" w:rsidR="009E2DA1" w:rsidRPr="00525D6F" w:rsidRDefault="009E2DA1" w:rsidP="009E2DA1">
      <w:pPr>
        <w:jc w:val="center"/>
        <w:rPr>
          <w:sz w:val="40"/>
          <w:szCs w:val="40"/>
        </w:rPr>
      </w:pPr>
    </w:p>
    <w:p w14:paraId="641F9233" w14:textId="77777777" w:rsidR="009E2DA1" w:rsidRPr="00525D6F" w:rsidRDefault="009E2DA1" w:rsidP="009E2DA1">
      <w:pPr>
        <w:rPr>
          <w:sz w:val="28"/>
          <w:szCs w:val="28"/>
        </w:rPr>
      </w:pPr>
    </w:p>
    <w:p w14:paraId="2AAE3F14" w14:textId="4A3A820E" w:rsidR="009E2DA1" w:rsidRPr="009E2DA1" w:rsidRDefault="009E2DA1" w:rsidP="009E2DA1">
      <w:pPr>
        <w:jc w:val="center"/>
        <w:rPr>
          <w:b/>
          <w:bCs/>
          <w:sz w:val="60"/>
          <w:szCs w:val="60"/>
        </w:rPr>
      </w:pPr>
      <w:r w:rsidRPr="000F5A56">
        <w:rPr>
          <w:sz w:val="28"/>
          <w:szCs w:val="28"/>
        </w:rPr>
        <w:t>São Paulo, SP - 2025</w:t>
      </w:r>
    </w:p>
    <w:p w14:paraId="322772E4" w14:textId="77777777" w:rsidR="00D00A9A" w:rsidRDefault="00D00A9A">
      <w:pPr>
        <w:rPr>
          <w:b/>
          <w:bCs/>
        </w:rPr>
      </w:pPr>
    </w:p>
    <w:p w14:paraId="160DBC17" w14:textId="01F0B530" w:rsidR="009E2DA1" w:rsidRDefault="009E2DA1">
      <w:pPr>
        <w:rPr>
          <w:b/>
          <w:bCs/>
        </w:rPr>
      </w:pPr>
      <w:r>
        <w:rPr>
          <w:b/>
          <w:bCs/>
        </w:rPr>
        <w:br w:type="page"/>
      </w:r>
    </w:p>
    <w:p w14:paraId="2E6D5654" w14:textId="77777777" w:rsidR="009E2DA1" w:rsidRDefault="009E2DA1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05572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1E4CEC" w14:textId="6440ED7F" w:rsidR="003C01DE" w:rsidRDefault="003C01DE">
          <w:pPr>
            <w:pStyle w:val="CabealhodoSumrio"/>
          </w:pPr>
          <w:r>
            <w:t>Sumário</w:t>
          </w:r>
        </w:p>
        <w:p w14:paraId="6628A276" w14:textId="02F62683" w:rsidR="00034A1F" w:rsidRDefault="003C01D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15232" w:history="1">
            <w:r w:rsidR="00034A1F" w:rsidRPr="00990AF0">
              <w:rPr>
                <w:rStyle w:val="Hyperlink"/>
                <w:noProof/>
              </w:rPr>
              <w:t>2</w:t>
            </w:r>
            <w:r w:rsidR="00034A1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034A1F" w:rsidRPr="00990AF0">
              <w:rPr>
                <w:rStyle w:val="Hyperlink"/>
                <w:noProof/>
              </w:rPr>
              <w:t>Introdução</w:t>
            </w:r>
            <w:r w:rsidR="00034A1F">
              <w:rPr>
                <w:noProof/>
                <w:webHidden/>
              </w:rPr>
              <w:tab/>
            </w:r>
            <w:r w:rsidR="00034A1F">
              <w:rPr>
                <w:noProof/>
                <w:webHidden/>
              </w:rPr>
              <w:fldChar w:fldCharType="begin"/>
            </w:r>
            <w:r w:rsidR="00034A1F">
              <w:rPr>
                <w:noProof/>
                <w:webHidden/>
              </w:rPr>
              <w:instrText xml:space="preserve"> PAGEREF _Toc204715232 \h </w:instrText>
            </w:r>
            <w:r w:rsidR="00034A1F">
              <w:rPr>
                <w:noProof/>
                <w:webHidden/>
              </w:rPr>
            </w:r>
            <w:r w:rsidR="00034A1F">
              <w:rPr>
                <w:noProof/>
                <w:webHidden/>
              </w:rPr>
              <w:fldChar w:fldCharType="separate"/>
            </w:r>
            <w:r w:rsidR="00034A1F">
              <w:rPr>
                <w:noProof/>
                <w:webHidden/>
              </w:rPr>
              <w:t>3</w:t>
            </w:r>
            <w:r w:rsidR="00034A1F">
              <w:rPr>
                <w:noProof/>
                <w:webHidden/>
              </w:rPr>
              <w:fldChar w:fldCharType="end"/>
            </w:r>
          </w:hyperlink>
        </w:p>
        <w:p w14:paraId="3FED6D1F" w14:textId="299016EC" w:rsidR="00034A1F" w:rsidRDefault="00034A1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715233" w:history="1">
            <w:r w:rsidRPr="00990AF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990AF0">
              <w:rPr>
                <w:rStyle w:val="Hyperlink"/>
                <w:noProof/>
              </w:rPr>
              <w:t>Escolha do modelo, análise e 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1974" w14:textId="0C33A7FD" w:rsidR="00034A1F" w:rsidRDefault="00034A1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715234" w:history="1">
            <w:r w:rsidRPr="00990AF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990AF0">
              <w:rPr>
                <w:rStyle w:val="Hyperlink"/>
                <w:noProof/>
              </w:rPr>
              <w:t>Engenharia de atributos e preparação da base para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2CCA" w14:textId="505AE77D" w:rsidR="00034A1F" w:rsidRDefault="00034A1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715235" w:history="1">
            <w:r w:rsidRPr="00990AF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990AF0">
              <w:rPr>
                <w:rStyle w:val="Hyperlink"/>
                <w:noProof/>
              </w:rPr>
              <w:t>Resultados e análises das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1D52" w14:textId="33DCBA4F" w:rsidR="00034A1F" w:rsidRDefault="00034A1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715236" w:history="1">
            <w:r w:rsidRPr="00990AF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990AF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F85D" w14:textId="164DA7C3" w:rsidR="003C01DE" w:rsidRDefault="003C01DE">
          <w:r>
            <w:rPr>
              <w:b/>
              <w:bCs/>
            </w:rPr>
            <w:fldChar w:fldCharType="end"/>
          </w:r>
        </w:p>
      </w:sdtContent>
    </w:sdt>
    <w:p w14:paraId="6CB7DFDC" w14:textId="77777777" w:rsidR="009E2DA1" w:rsidRDefault="009E2DA1">
      <w:pPr>
        <w:rPr>
          <w:b/>
          <w:bCs/>
        </w:rPr>
      </w:pPr>
    </w:p>
    <w:p w14:paraId="494B3B2B" w14:textId="77777777" w:rsidR="009E2DA1" w:rsidRDefault="009E2DA1">
      <w:pPr>
        <w:rPr>
          <w:b/>
          <w:bCs/>
        </w:rPr>
      </w:pPr>
    </w:p>
    <w:p w14:paraId="6BDA1BE8" w14:textId="77777777" w:rsidR="009E2DA1" w:rsidRDefault="009E2DA1">
      <w:pPr>
        <w:rPr>
          <w:b/>
          <w:bCs/>
        </w:rPr>
      </w:pPr>
    </w:p>
    <w:p w14:paraId="6716E363" w14:textId="77777777" w:rsidR="009E2DA1" w:rsidRDefault="009E2DA1">
      <w:pPr>
        <w:rPr>
          <w:b/>
          <w:bCs/>
        </w:rPr>
      </w:pPr>
    </w:p>
    <w:p w14:paraId="4707F8E0" w14:textId="77777777" w:rsidR="009E2DA1" w:rsidRDefault="009E2DA1">
      <w:pPr>
        <w:rPr>
          <w:b/>
          <w:bCs/>
        </w:rPr>
      </w:pPr>
    </w:p>
    <w:p w14:paraId="0CA0F881" w14:textId="77777777" w:rsidR="009E2DA1" w:rsidRDefault="009E2DA1">
      <w:pPr>
        <w:rPr>
          <w:b/>
          <w:bCs/>
        </w:rPr>
      </w:pPr>
    </w:p>
    <w:p w14:paraId="7F5387B0" w14:textId="77777777" w:rsidR="009E2DA1" w:rsidRDefault="009E2DA1">
      <w:pPr>
        <w:rPr>
          <w:b/>
          <w:bCs/>
        </w:rPr>
      </w:pPr>
    </w:p>
    <w:p w14:paraId="6D25D826" w14:textId="5FD9B55F" w:rsidR="003C01DE" w:rsidRDefault="003C01DE">
      <w:pPr>
        <w:rPr>
          <w:b/>
          <w:bCs/>
        </w:rPr>
      </w:pPr>
      <w:r>
        <w:rPr>
          <w:b/>
          <w:bCs/>
        </w:rPr>
        <w:br w:type="page"/>
      </w:r>
    </w:p>
    <w:p w14:paraId="37A72A95" w14:textId="32B51D66" w:rsidR="003C01DE" w:rsidRDefault="00FD33A8" w:rsidP="003C01DE">
      <w:pPr>
        <w:pStyle w:val="Ttulo1"/>
      </w:pPr>
      <w:bookmarkStart w:id="0" w:name="_Toc204715232"/>
      <w:r w:rsidRPr="003C01DE">
        <w:lastRenderedPageBreak/>
        <w:t>Introdução</w:t>
      </w:r>
      <w:bookmarkEnd w:id="0"/>
    </w:p>
    <w:p w14:paraId="3E16BA2A" w14:textId="6D2CFF16" w:rsidR="0034089D" w:rsidRPr="0034089D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O </w:t>
      </w:r>
      <w:r w:rsidR="009C4D15">
        <w:rPr>
          <w:rStyle w:val="Forte"/>
          <w:rFonts w:asciiTheme="minorHAnsi" w:eastAsiaTheme="majorEastAsia" w:hAnsiTheme="minorHAnsi"/>
          <w:b w:val="0"/>
          <w:bCs w:val="0"/>
        </w:rPr>
        <w:t>Ibovespa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 xml:space="preserve"> (Índice Bovespa)</w:t>
      </w:r>
      <w:r w:rsidRPr="0034089D">
        <w:rPr>
          <w:rFonts w:asciiTheme="minorHAnsi" w:hAnsiTheme="minorHAnsi"/>
        </w:rPr>
        <w:t xml:space="preserve"> é o principal indicador de desempenho do mercado de ações brasileiro, refletindo a performance das ações mais negociadas na B3 (Bolsa de Valores do Brasil). Ele é amplamente utilizado por investidores, analistas e gestores de fundos como referência para o comportamento do mercado acionário nacional.</w:t>
      </w:r>
    </w:p>
    <w:p w14:paraId="08F0ADCF" w14:textId="6BD1375C" w:rsidR="0034089D" w:rsidRPr="0034089D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Neste </w:t>
      </w:r>
      <w:r w:rsidR="003D042B">
        <w:rPr>
          <w:rFonts w:asciiTheme="minorHAnsi" w:hAnsiTheme="minorHAnsi"/>
        </w:rPr>
        <w:t>relatório</w:t>
      </w:r>
      <w:r w:rsidRPr="0034089D">
        <w:rPr>
          <w:rFonts w:asciiTheme="minorHAnsi" w:hAnsiTheme="minorHAnsi"/>
        </w:rPr>
        <w:t xml:space="preserve">, desenvolvemos um modelo de 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>classificação binária</w:t>
      </w:r>
      <w:r w:rsidRPr="0034089D">
        <w:rPr>
          <w:rFonts w:asciiTheme="minorHAnsi" w:hAnsiTheme="minorHAnsi"/>
        </w:rPr>
        <w:t xml:space="preserve"> com base em 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>regressão logística</w:t>
      </w:r>
      <w:r w:rsidRPr="0034089D">
        <w:rPr>
          <w:rFonts w:asciiTheme="minorHAnsi" w:hAnsiTheme="minorHAnsi"/>
        </w:rPr>
        <w:t xml:space="preserve">, com o objetivo de prever se o </w:t>
      </w:r>
      <w:r w:rsidR="009C4D15">
        <w:rPr>
          <w:rFonts w:asciiTheme="minorHAnsi" w:hAnsiTheme="minorHAnsi"/>
        </w:rPr>
        <w:t>Ibovespa</w:t>
      </w:r>
      <w:r w:rsidRPr="0034089D">
        <w:rPr>
          <w:rFonts w:asciiTheme="minorHAnsi" w:hAnsiTheme="minorHAnsi"/>
        </w:rPr>
        <w:t xml:space="preserve"> fechará em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alta</w:t>
      </w:r>
      <w:r w:rsidRPr="0034089D">
        <w:rPr>
          <w:rFonts w:asciiTheme="minorHAnsi" w:hAnsiTheme="minorHAnsi"/>
        </w:rPr>
        <w:t xml:space="preserve"> ou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baixa</w:t>
      </w:r>
      <w:r w:rsidRPr="0034089D">
        <w:rPr>
          <w:rFonts w:asciiTheme="minorHAnsi" w:hAnsiTheme="minorHAnsi"/>
        </w:rPr>
        <w:t xml:space="preserve"> no dia seguinte. Essa previsão será feita com base em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dados históricos</w:t>
      </w:r>
      <w:r w:rsidRPr="0034089D">
        <w:rPr>
          <w:rStyle w:val="Forte"/>
          <w:rFonts w:asciiTheme="minorHAnsi" w:eastAsiaTheme="majorEastAsia" w:hAnsiTheme="minorHAnsi"/>
        </w:rPr>
        <w:t xml:space="preserve">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diários do próprio índice</w:t>
      </w:r>
      <w:r w:rsidRPr="0034089D">
        <w:rPr>
          <w:rFonts w:asciiTheme="minorHAnsi" w:hAnsiTheme="minorHAnsi"/>
        </w:rPr>
        <w:t>, considerando variações de preço e outras informações derivadas do comportamento passado.</w:t>
      </w:r>
    </w:p>
    <w:p w14:paraId="11DFA6C2" w14:textId="22DF5C27" w:rsidR="0034089D" w:rsidRPr="009C4D15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Para </w:t>
      </w:r>
      <w:r w:rsidR="009C4D15">
        <w:rPr>
          <w:rFonts w:asciiTheme="minorHAnsi" w:hAnsiTheme="minorHAnsi"/>
        </w:rPr>
        <w:t xml:space="preserve">realizar a previsão, </w:t>
      </w:r>
      <w:r w:rsidRPr="0034089D">
        <w:rPr>
          <w:rFonts w:asciiTheme="minorHAnsi" w:hAnsiTheme="minorHAnsi"/>
        </w:rPr>
        <w:t xml:space="preserve">foram coletados </w:t>
      </w:r>
      <w:r w:rsidR="003D042B">
        <w:rPr>
          <w:rFonts w:asciiTheme="minorHAnsi" w:hAnsiTheme="minorHAnsi"/>
        </w:rPr>
        <w:t>em torno</w:t>
      </w:r>
      <w:r w:rsidRPr="0034089D">
        <w:rPr>
          <w:rFonts w:asciiTheme="minorHAnsi" w:hAnsiTheme="minorHAnsi"/>
        </w:rPr>
        <w:t xml:space="preserve"> de </w:t>
      </w:r>
      <w:r w:rsidR="003D042B">
        <w:rPr>
          <w:rStyle w:val="Forte"/>
          <w:rFonts w:asciiTheme="minorHAnsi" w:eastAsiaTheme="majorEastAsia" w:hAnsiTheme="minorHAnsi"/>
          <w:b w:val="0"/>
          <w:bCs w:val="0"/>
        </w:rPr>
        <w:t>quatro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 xml:space="preserve"> anos de dados</w:t>
      </w:r>
      <w:r w:rsidRPr="0034089D">
        <w:rPr>
          <w:rStyle w:val="Forte"/>
          <w:rFonts w:asciiTheme="minorHAnsi" w:eastAsiaTheme="majorEastAsia" w:hAnsiTheme="minorHAnsi"/>
        </w:rPr>
        <w:t xml:space="preserve">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históricos</w:t>
      </w:r>
      <w:r w:rsidRPr="009C4D15">
        <w:rPr>
          <w:rFonts w:asciiTheme="minorHAnsi" w:hAnsiTheme="minorHAnsi"/>
          <w:b/>
          <w:bCs/>
        </w:rPr>
        <w:t xml:space="preserve"> </w:t>
      </w:r>
      <w:r w:rsidRPr="0034089D">
        <w:rPr>
          <w:rFonts w:asciiTheme="minorHAnsi" w:hAnsiTheme="minorHAnsi"/>
        </w:rPr>
        <w:t xml:space="preserve">do </w:t>
      </w:r>
      <w:r w:rsidR="009C4D15">
        <w:rPr>
          <w:rFonts w:asciiTheme="minorHAnsi" w:hAnsiTheme="minorHAnsi"/>
        </w:rPr>
        <w:t>Ibovespa</w:t>
      </w:r>
      <w:r w:rsidRPr="0034089D">
        <w:rPr>
          <w:rFonts w:asciiTheme="minorHAnsi" w:hAnsiTheme="minorHAnsi"/>
        </w:rPr>
        <w:t xml:space="preserve">, disponibilizados publicamente no portal Investing.com, seguidos por um processo de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limpeza, transformação e análise exploratória</w:t>
      </w:r>
      <w:r w:rsidRPr="0034089D">
        <w:rPr>
          <w:rFonts w:asciiTheme="minorHAnsi" w:hAnsiTheme="minorHAnsi"/>
        </w:rPr>
        <w:t xml:space="preserve"> antes da modelagem preditiva.</w:t>
      </w:r>
    </w:p>
    <w:p w14:paraId="41FC54CA" w14:textId="27F0050F" w:rsidR="001B79FD" w:rsidRDefault="00574BA9" w:rsidP="003C01DE">
      <w:pPr>
        <w:pStyle w:val="Ttulo1"/>
      </w:pPr>
      <w:bookmarkStart w:id="1" w:name="_Toc204715233"/>
      <w:r>
        <w:t>Escolha do modelo, a</w:t>
      </w:r>
      <w:r w:rsidR="0034089D">
        <w:t>nálise e exploração dos dados</w:t>
      </w:r>
      <w:bookmarkEnd w:id="1"/>
    </w:p>
    <w:p w14:paraId="593668F4" w14:textId="39396A40" w:rsidR="00574BA9" w:rsidRPr="00574BA9" w:rsidRDefault="00574BA9" w:rsidP="00574BA9">
      <w:pPr>
        <w:jc w:val="both"/>
      </w:pPr>
      <w:r w:rsidRPr="00574BA9">
        <w:t>Escolhemos a regressão logística porque ela nos permite medir a probabilidade de alta ou baixa do Ibovespa, em vez de prever valores absolutos. É um modelo robusto, rápido, interpretável e eficiente para capturar a influência de variáveis econômicas sobre a tendência do índice, dando mais confiança na tomada de decisão.</w:t>
      </w:r>
    </w:p>
    <w:p w14:paraId="18AF68AF" w14:textId="2C0172B1" w:rsidR="009A5F8A" w:rsidRPr="007D1811" w:rsidRDefault="0034089D" w:rsidP="007D1811">
      <w:pPr>
        <w:pStyle w:val="Ttulo1"/>
        <w:rPr>
          <w:b w:val="0"/>
          <w:bCs/>
        </w:rPr>
      </w:pPr>
      <w:bookmarkStart w:id="2" w:name="_Toc204715234"/>
      <w:r>
        <w:t>Engenharia de atributos</w:t>
      </w:r>
      <w:r w:rsidR="007D1811">
        <w:t xml:space="preserve"> e preparação da base para previsão</w:t>
      </w:r>
      <w:bookmarkEnd w:id="2"/>
    </w:p>
    <w:p w14:paraId="0D8D1448" w14:textId="77777777" w:rsidR="00EC7D74" w:rsidRPr="00EC7D74" w:rsidRDefault="00EC7D74" w:rsidP="00EC7D74">
      <w:pPr>
        <w:jc w:val="both"/>
      </w:pPr>
      <w:r w:rsidRPr="00EC7D74">
        <w:t xml:space="preserve">Para o desenvolvimento deste modelo, foram </w:t>
      </w:r>
      <w:proofErr w:type="gramStart"/>
      <w:r w:rsidRPr="00EC7D74">
        <w:t>criadas novas</w:t>
      </w:r>
      <w:proofErr w:type="gramEnd"/>
      <w:r w:rsidRPr="00EC7D74">
        <w:t xml:space="preserve"> colunas no </w:t>
      </w:r>
      <w:proofErr w:type="spellStart"/>
      <w:r w:rsidRPr="00EC7D74">
        <w:t>DataFrame</w:t>
      </w:r>
      <w:proofErr w:type="spellEnd"/>
      <w:r w:rsidRPr="00EC7D74">
        <w:t xml:space="preserve"> com o objetivo de enriquecer a análise da série temporal. Esses indicadores técnicos são amplamente utilizados no mercado financeiro para captar tendências, níveis de volatilidade e possíveis reversões de movimento do índice.</w:t>
      </w:r>
    </w:p>
    <w:p w14:paraId="2AB1AC38" w14:textId="47CF0F8F" w:rsidR="00522050" w:rsidRDefault="00522050" w:rsidP="00EC7D74">
      <w:pPr>
        <w:jc w:val="both"/>
      </w:pPr>
      <w:r w:rsidRPr="00522050">
        <w:t>As colunas de Média Móvel de 5 e 10 dias representam, respectivamente, a média dos preços de fechamento do Ibovespa nos últimos 5 e 10 pregões. Elas ajudam a identificar a direção predominante do mercado no curto prazo: uma média móvel crescente pode indicar uma tendência de alta, enquanto uma média decrescente pode sinalizar uma tendência de baixa. Complementando essa análise, o indicador MACD (</w:t>
      </w:r>
      <w:r w:rsidRPr="00522050">
        <w:rPr>
          <w:i/>
          <w:iCs/>
        </w:rPr>
        <w:t xml:space="preserve">Moving </w:t>
      </w:r>
      <w:proofErr w:type="spellStart"/>
      <w:r w:rsidRPr="00522050">
        <w:rPr>
          <w:i/>
          <w:iCs/>
        </w:rPr>
        <w:t>Average</w:t>
      </w:r>
      <w:proofErr w:type="spellEnd"/>
      <w:r w:rsidRPr="00522050">
        <w:rPr>
          <w:i/>
          <w:iCs/>
        </w:rPr>
        <w:t xml:space="preserve"> </w:t>
      </w:r>
      <w:proofErr w:type="spellStart"/>
      <w:r w:rsidRPr="00522050">
        <w:rPr>
          <w:i/>
          <w:iCs/>
        </w:rPr>
        <w:t>Convergence</w:t>
      </w:r>
      <w:proofErr w:type="spellEnd"/>
      <w:r w:rsidRPr="00522050">
        <w:rPr>
          <w:i/>
          <w:iCs/>
        </w:rPr>
        <w:t xml:space="preserve"> </w:t>
      </w:r>
      <w:proofErr w:type="spellStart"/>
      <w:r w:rsidRPr="00522050">
        <w:rPr>
          <w:i/>
          <w:iCs/>
        </w:rPr>
        <w:t>Divergence</w:t>
      </w:r>
      <w:proofErr w:type="spellEnd"/>
      <w:r w:rsidRPr="00522050">
        <w:t xml:space="preserve">) representa a diferença entre duas médias móveis exponenciais e serve para captar mudanças de tendência. Sua linha de sinal, chamada MACD </w:t>
      </w:r>
      <w:proofErr w:type="spellStart"/>
      <w:r w:rsidRPr="00522050">
        <w:rPr>
          <w:i/>
          <w:iCs/>
        </w:rPr>
        <w:t>Signal</w:t>
      </w:r>
      <w:proofErr w:type="spellEnd"/>
      <w:r w:rsidRPr="00522050">
        <w:t>, é uma média do próprio MACD e funciona como um gatilho para identificar possíveis momentos de compra ou venda, especialmente quando há cruzamento entre essas duas curvas.</w:t>
      </w:r>
    </w:p>
    <w:p w14:paraId="2AAA3094" w14:textId="3E6B0528" w:rsidR="00EC7D74" w:rsidRDefault="00EC7D74" w:rsidP="00EC7D74">
      <w:pPr>
        <w:jc w:val="both"/>
      </w:pPr>
      <w:r>
        <w:t>A coluna RSI foi criada para usar o</w:t>
      </w:r>
      <w:r w:rsidRPr="00EC7D74">
        <w:t xml:space="preserve"> indicador de </w:t>
      </w:r>
      <w:r w:rsidRPr="00EC7D74">
        <w:rPr>
          <w:i/>
          <w:iCs/>
        </w:rPr>
        <w:t>momentum</w:t>
      </w:r>
      <w:r w:rsidRPr="00EC7D74">
        <w:t xml:space="preserve"> </w:t>
      </w:r>
      <w:r>
        <w:t>de mesmo nome (</w:t>
      </w:r>
      <w:proofErr w:type="spellStart"/>
      <w:r w:rsidR="00522050" w:rsidRPr="00522050">
        <w:rPr>
          <w:i/>
          <w:iCs/>
        </w:rPr>
        <w:t>Relative</w:t>
      </w:r>
      <w:proofErr w:type="spellEnd"/>
      <w:r w:rsidR="00522050" w:rsidRPr="00522050">
        <w:rPr>
          <w:i/>
          <w:iCs/>
        </w:rPr>
        <w:t xml:space="preserve"> </w:t>
      </w:r>
      <w:proofErr w:type="spellStart"/>
      <w:r w:rsidR="00522050" w:rsidRPr="00522050">
        <w:rPr>
          <w:i/>
          <w:iCs/>
        </w:rPr>
        <w:t>Strength</w:t>
      </w:r>
      <w:proofErr w:type="spellEnd"/>
      <w:r w:rsidR="00522050" w:rsidRPr="00522050">
        <w:rPr>
          <w:i/>
          <w:iCs/>
        </w:rPr>
        <w:t xml:space="preserve"> Index</w:t>
      </w:r>
      <w:r>
        <w:t xml:space="preserve">) </w:t>
      </w:r>
      <w:r w:rsidRPr="00EC7D74">
        <w:t xml:space="preserve">que mede a velocidade e a mudança dos movimentos de preço. O RSI varia de 0 a 100 e é usado para identificar condições de </w:t>
      </w:r>
      <w:proofErr w:type="spellStart"/>
      <w:r w:rsidRPr="00EC7D74">
        <w:t>sobrecompra</w:t>
      </w:r>
      <w:proofErr w:type="spellEnd"/>
      <w:r w:rsidRPr="00EC7D74">
        <w:t xml:space="preserve"> (acima de 70) ou </w:t>
      </w:r>
      <w:proofErr w:type="spellStart"/>
      <w:r w:rsidRPr="00EC7D74">
        <w:t>sobrevenda</w:t>
      </w:r>
      <w:proofErr w:type="spellEnd"/>
      <w:r w:rsidRPr="00EC7D74">
        <w:t xml:space="preserve"> (abaixo de 30), o que pode sugerir uma possível reversão de tendência.</w:t>
      </w:r>
    </w:p>
    <w:p w14:paraId="0298AA3D" w14:textId="60F39084" w:rsidR="00522050" w:rsidRPr="00EC7D74" w:rsidRDefault="00522050" w:rsidP="00EC7D74">
      <w:pPr>
        <w:jc w:val="both"/>
      </w:pPr>
      <w:r>
        <w:lastRenderedPageBreak/>
        <w:t xml:space="preserve">A coluna </w:t>
      </w:r>
      <w:proofErr w:type="spellStart"/>
      <w:r>
        <w:t>Vol</w:t>
      </w:r>
      <w:proofErr w:type="spellEnd"/>
      <w:r>
        <w:t xml:space="preserve"> 5 é a desvio padrão, e </w:t>
      </w:r>
      <w:r w:rsidRPr="00522050">
        <w:t>representa a volatilidade do mercado nos últimos 5 pregões. Um desvio padrão elevado indica maior oscilação nos preços, o que pode sugerir maior risco e incerteza no curto prazo.</w:t>
      </w:r>
    </w:p>
    <w:p w14:paraId="7C543F9A" w14:textId="50E514BC" w:rsidR="00D809EE" w:rsidRPr="00522050" w:rsidRDefault="00522050" w:rsidP="002F4B9C">
      <w:pPr>
        <w:jc w:val="both"/>
      </w:pPr>
      <w:r w:rsidRPr="00522050">
        <w:t>O</w:t>
      </w:r>
      <w:r>
        <w:t xml:space="preserve"> conjunto de dados selecionado possui 966 pregões (dias úteis onde tiveram negociação na bolsa de valores), onde 936 foram utilizados para treino e 30 para realizarmos os testes no modelo. Com isso, estipulamos que o nosso target é prever diariamente se o fechamento da cotação foi maior que o do dia anterior. </w:t>
      </w:r>
    </w:p>
    <w:p w14:paraId="50E14C54" w14:textId="1922D337" w:rsidR="0034089D" w:rsidRPr="003C01DE" w:rsidRDefault="009C4D15" w:rsidP="0034089D">
      <w:pPr>
        <w:pStyle w:val="Ttulo1"/>
      </w:pPr>
      <w:bookmarkStart w:id="3" w:name="_Toc204715235"/>
      <w:r>
        <w:t>Resultados</w:t>
      </w:r>
      <w:r w:rsidR="0034089D">
        <w:t xml:space="preserve"> e análises das métricas</w:t>
      </w:r>
      <w:bookmarkEnd w:id="3"/>
    </w:p>
    <w:p w14:paraId="1B6420EB" w14:textId="3E15F11F" w:rsidR="00840EAF" w:rsidRDefault="007D1811" w:rsidP="007D1811">
      <w:pPr>
        <w:jc w:val="both"/>
        <w:rPr>
          <w:noProof/>
        </w:rPr>
      </w:pPr>
      <w:r>
        <w:rPr>
          <w:noProof/>
        </w:rPr>
        <w:t xml:space="preserve">Com isso, obtivemos um resultado satisfatório de </w:t>
      </w:r>
      <w:r w:rsidR="00091819" w:rsidRPr="00091819">
        <w:rPr>
          <w:noProof/>
        </w:rPr>
        <w:t>86.67</w:t>
      </w:r>
      <w:r>
        <w:rPr>
          <w:noProof/>
        </w:rPr>
        <w:t>% de acurácia, abaixo, temos as métricas de avaliação do sklearn</w:t>
      </w:r>
      <w:r w:rsidR="002F4B9C">
        <w:rPr>
          <w:noProof/>
        </w:rPr>
        <w:t>:</w:t>
      </w:r>
    </w:p>
    <w:tbl>
      <w:tblPr>
        <w:tblW w:w="4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000"/>
        <w:gridCol w:w="715"/>
        <w:gridCol w:w="934"/>
        <w:gridCol w:w="860"/>
      </w:tblGrid>
      <w:tr w:rsidR="00091819" w:rsidRPr="00091819" w14:paraId="23E395AB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80A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45AE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DE8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Recall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F11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F1-Score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AA5D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Suporte</w:t>
            </w:r>
          </w:p>
        </w:tc>
      </w:tr>
      <w:tr w:rsidR="00091819" w:rsidRPr="00091819" w14:paraId="08C68FC6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7977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BADA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F0F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47A4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277D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</w:tr>
      <w:tr w:rsidR="00091819" w:rsidRPr="00091819" w14:paraId="41849474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5C99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1FDD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49A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B34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B7A8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</w:tr>
      <w:tr w:rsidR="00091819" w:rsidRPr="00091819" w14:paraId="243E0D7B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99D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Accuracy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7BCD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—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AF3E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—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B244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C540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091819" w:rsidRPr="00091819" w14:paraId="1925542D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A5E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Macro </w:t>
            </w: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0B51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DCF2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0470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BF8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091819" w:rsidRPr="00091819" w14:paraId="240F0329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F5F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Weighted</w:t>
            </w:r>
            <w:proofErr w:type="spellEnd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3111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2A53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8120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93B2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</w:tbl>
    <w:p w14:paraId="384820F5" w14:textId="77777777" w:rsidR="00840EAF" w:rsidRDefault="00840EAF" w:rsidP="002F4B9C">
      <w:pPr>
        <w:jc w:val="both"/>
        <w:rPr>
          <w:noProof/>
        </w:rPr>
      </w:pPr>
    </w:p>
    <w:p w14:paraId="57AB05A2" w14:textId="531F578E" w:rsidR="00091819" w:rsidRDefault="00091819" w:rsidP="00091819">
      <w:pPr>
        <w:jc w:val="both"/>
        <w:rPr>
          <w:noProof/>
        </w:rPr>
      </w:pPr>
      <w:r w:rsidRPr="00091819">
        <w:rPr>
          <w:noProof/>
        </w:rPr>
        <w:t>O desempenho foi equilibrado entre as duas classes (alta e baixa), com a classe 0 apresentando ligeiramente maior precisão</w:t>
      </w:r>
      <w:r w:rsidR="00A41197">
        <w:rPr>
          <w:noProof/>
        </w:rPr>
        <w:t xml:space="preserve">/recall </w:t>
      </w:r>
      <w:r w:rsidRPr="00091819">
        <w:rPr>
          <w:noProof/>
        </w:rPr>
        <w:t>(88%) e a classe 1 com precisão</w:t>
      </w:r>
      <w:r w:rsidR="00A41197">
        <w:rPr>
          <w:noProof/>
        </w:rPr>
        <w:t>/recall</w:t>
      </w:r>
      <w:r w:rsidRPr="00091819">
        <w:rPr>
          <w:noProof/>
        </w:rPr>
        <w:t xml:space="preserve"> de 86%. </w:t>
      </w:r>
      <w:r w:rsidR="00A41197">
        <w:rPr>
          <w:noProof/>
        </w:rPr>
        <w:t xml:space="preserve">O </w:t>
      </w:r>
      <w:r w:rsidRPr="00091819">
        <w:rPr>
          <w:i/>
          <w:iCs/>
          <w:noProof/>
        </w:rPr>
        <w:t>f1-score</w:t>
      </w:r>
      <w:r w:rsidRPr="00091819">
        <w:rPr>
          <w:noProof/>
        </w:rPr>
        <w:t xml:space="preserve"> ficou em 0.88 e 0.86, respectivamente. Esses valores indicam uma performance sólida e consistente do modelo. Para ilustrar melhor os resultados, utilizamos a matriz de confusão que apresenta os acertos e erros sobre a massa de testes:</w:t>
      </w:r>
    </w:p>
    <w:p w14:paraId="60ED4D8A" w14:textId="2AFA1958" w:rsidR="002F4B9C" w:rsidRDefault="002F4B9C" w:rsidP="00091819">
      <w:pPr>
        <w:jc w:val="center"/>
        <w:rPr>
          <w:noProof/>
        </w:rPr>
      </w:pPr>
      <w:r w:rsidRPr="002F4B9C">
        <w:rPr>
          <w:noProof/>
        </w:rPr>
        <w:drawing>
          <wp:inline distT="0" distB="0" distL="0" distR="0" wp14:anchorId="2A6A2F6D" wp14:editId="1D8B765E">
            <wp:extent cx="3935896" cy="3391729"/>
            <wp:effectExtent l="19050" t="19050" r="26670" b="18415"/>
            <wp:docPr id="1766624611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4611" name="Imagem 1" descr="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546" cy="3395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ACFC7" w14:textId="77777777" w:rsidR="00840EAF" w:rsidRDefault="00840EAF" w:rsidP="002F4B9C">
      <w:pPr>
        <w:jc w:val="center"/>
        <w:rPr>
          <w:noProof/>
        </w:rPr>
      </w:pPr>
    </w:p>
    <w:p w14:paraId="13C19483" w14:textId="5251CAD0" w:rsidR="002F4B9C" w:rsidRDefault="002F4B9C" w:rsidP="002F4B9C">
      <w:pPr>
        <w:jc w:val="both"/>
        <w:rPr>
          <w:noProof/>
        </w:rPr>
      </w:pPr>
      <w:r>
        <w:rPr>
          <w:noProof/>
        </w:rPr>
        <w:lastRenderedPageBreak/>
        <w:t>Para chegarmos nos resultados</w:t>
      </w:r>
      <w:r w:rsidR="00840EAF">
        <w:rPr>
          <w:noProof/>
        </w:rPr>
        <w:t xml:space="preserve"> finais</w:t>
      </w:r>
      <w:r>
        <w:rPr>
          <w:noProof/>
        </w:rPr>
        <w:t>, passamos por alguns desafios onde a preparação dos dados foi essencial para superamos essa etapa, u</w:t>
      </w:r>
      <w:r w:rsidRPr="002F4B9C">
        <w:rPr>
          <w:noProof/>
        </w:rPr>
        <w:t>samos médias móveis como forma de resumir o comportamento recente dos dados ao longo do tempo, transformando dependências temporais em variáveis numéricas que o modelo consegue entender</w:t>
      </w:r>
      <w:r w:rsidR="00292276">
        <w:rPr>
          <w:noProof/>
        </w:rPr>
        <w:t>.</w:t>
      </w:r>
    </w:p>
    <w:p w14:paraId="1B4BA814" w14:textId="6A5AA70A" w:rsidR="00091819" w:rsidRDefault="00091819" w:rsidP="00091819">
      <w:pPr>
        <w:jc w:val="both"/>
        <w:rPr>
          <w:noProof/>
        </w:rPr>
      </w:pPr>
      <w:r w:rsidRPr="00091819">
        <w:rPr>
          <w:noProof/>
        </w:rPr>
        <w:t>Durante a seleção do modelo de regressão logística, realizamos testes com diferentes tipos de regularização (L1 e L2) e valores do hiperparâmetro C, que controla o grau de penalização sobre os coeficientes do modelo. O melhor modelo foi com regularização L1 e C=1, atingindo: 89.36% de acurácia na validação 86.67% no teste final (</w:t>
      </w:r>
      <w:r>
        <w:rPr>
          <w:noProof/>
        </w:rPr>
        <w:t>últimos 30 dias</w:t>
      </w:r>
      <w:r w:rsidRPr="00091819">
        <w:rPr>
          <w:noProof/>
        </w:rPr>
        <w:t>)</w:t>
      </w:r>
      <w:r>
        <w:rPr>
          <w:noProof/>
        </w:rPr>
        <w:t>.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000"/>
        <w:gridCol w:w="1940"/>
        <w:gridCol w:w="2260"/>
      </w:tblGrid>
      <w:tr w:rsidR="00091819" w:rsidRPr="00091819" w14:paraId="561081DF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28D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Penalty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C15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A6A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Acurácia Treino (%)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883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Acurácia Validação (%)</w:t>
            </w:r>
          </w:p>
        </w:tc>
      </w:tr>
      <w:tr w:rsidR="00091819" w:rsidRPr="00091819" w14:paraId="1E0B9C34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2F90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823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C50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50.53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89F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50.00</w:t>
            </w:r>
          </w:p>
        </w:tc>
      </w:tr>
      <w:tr w:rsidR="00091819" w:rsidRPr="00091819" w14:paraId="40CC771F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37B4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D2CE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D73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85.83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5438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88.83</w:t>
            </w:r>
          </w:p>
        </w:tc>
      </w:tr>
      <w:tr w:rsidR="00091819" w:rsidRPr="00091819" w14:paraId="21FDD892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BB7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06C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4F5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AD1C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89.36</w:t>
            </w:r>
          </w:p>
        </w:tc>
      </w:tr>
      <w:tr w:rsidR="00091819" w:rsidRPr="00091819" w14:paraId="330503EE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0B65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D790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A02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E72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87.23</w:t>
            </w:r>
          </w:p>
        </w:tc>
      </w:tr>
      <w:tr w:rsidR="00091819" w:rsidRPr="00091819" w14:paraId="2A1FD600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8F9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3ED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CE6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69.52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8C7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71.28</w:t>
            </w:r>
          </w:p>
        </w:tc>
      </w:tr>
      <w:tr w:rsidR="00091819" w:rsidRPr="00091819" w14:paraId="75031E7A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81F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8A8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B79D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75.80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AF9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81.38</w:t>
            </w:r>
          </w:p>
        </w:tc>
      </w:tr>
      <w:tr w:rsidR="00091819" w:rsidRPr="00091819" w14:paraId="504D863E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51A5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5F4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7D3E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85.16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6174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88.83</w:t>
            </w:r>
          </w:p>
        </w:tc>
      </w:tr>
      <w:tr w:rsidR="00091819" w:rsidRPr="00091819" w14:paraId="1E3E6BB0" w14:textId="77777777" w:rsidTr="00091819">
        <w:trPr>
          <w:trHeight w:val="315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CFF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0F9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2465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90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87.77</w:t>
            </w:r>
          </w:p>
        </w:tc>
      </w:tr>
    </w:tbl>
    <w:p w14:paraId="1DC1B585" w14:textId="77777777" w:rsidR="00091819" w:rsidRDefault="00091819" w:rsidP="00091819">
      <w:pPr>
        <w:jc w:val="both"/>
        <w:rPr>
          <w:noProof/>
        </w:rPr>
      </w:pPr>
    </w:p>
    <w:p w14:paraId="27BC1ABD" w14:textId="326CBD30" w:rsidR="00C42042" w:rsidRDefault="00091819" w:rsidP="002F4B9C">
      <w:pPr>
        <w:jc w:val="both"/>
        <w:rPr>
          <w:noProof/>
        </w:rPr>
      </w:pPr>
      <w:r w:rsidRPr="00091819">
        <w:rPr>
          <w:noProof/>
        </w:rPr>
        <w:t>Essa pequena queda de desempenho indica que o modelo não sofreu overfitting relevante</w:t>
      </w:r>
      <w:r w:rsidR="00A41197">
        <w:rPr>
          <w:noProof/>
        </w:rPr>
        <w:t xml:space="preserve"> e ficou bem generalizado</w:t>
      </w:r>
      <w:r w:rsidRPr="00091819">
        <w:rPr>
          <w:noProof/>
        </w:rPr>
        <w:t>. A escolha da regularização L1 ajudou a reduzir a complexidade do modelo, focando apenas nas variáveis mais relevantes.</w:t>
      </w:r>
    </w:p>
    <w:p w14:paraId="0C405488" w14:textId="0351014F" w:rsidR="00C42042" w:rsidRDefault="00C42042" w:rsidP="00C30556">
      <w:pPr>
        <w:pStyle w:val="Ttulo1"/>
        <w:jc w:val="both"/>
      </w:pPr>
      <w:bookmarkStart w:id="4" w:name="_Toc204715236"/>
      <w:r>
        <w:t>Conclusão</w:t>
      </w:r>
      <w:bookmarkEnd w:id="4"/>
    </w:p>
    <w:p w14:paraId="2846560D" w14:textId="2570DB33" w:rsidR="00C42042" w:rsidRDefault="00C42042" w:rsidP="0089623D">
      <w:pPr>
        <w:jc w:val="both"/>
      </w:pPr>
      <w:r w:rsidRPr="00C42042">
        <w:t xml:space="preserve">O modelo desenvolvido demonstrou ser eficaz na </w:t>
      </w:r>
      <w:r w:rsidR="0089623D">
        <w:t>previsão</w:t>
      </w:r>
      <w:r w:rsidRPr="00C42042">
        <w:t xml:space="preserve"> </w:t>
      </w:r>
      <w:r w:rsidR="0089623D">
        <w:t>d</w:t>
      </w:r>
      <w:r w:rsidRPr="00C42042">
        <w:t>a direção do fechamento do Ibovesp</w:t>
      </w:r>
      <w:r w:rsidR="0089623D">
        <w:t>a</w:t>
      </w:r>
      <w:r w:rsidRPr="00C42042">
        <w:t xml:space="preserve">, alcançando uma acurácia final de 86,67% nos dados de teste. A escolha da regressão logística como método preditivo se mostrou apropriada </w:t>
      </w:r>
      <w:r w:rsidR="0089623D">
        <w:t>para o objetivo final</w:t>
      </w:r>
      <w:r w:rsidRPr="00C42042">
        <w:t xml:space="preserve">, </w:t>
      </w:r>
      <w:r w:rsidR="0089623D">
        <w:t>principalmente pela</w:t>
      </w:r>
      <w:r w:rsidRPr="00C42042">
        <w:t xml:space="preserve"> capacidade de lidar com variáveis financeiras derivadas de séries temporais. </w:t>
      </w:r>
    </w:p>
    <w:p w14:paraId="56B8FC8C" w14:textId="00DAFE79" w:rsidR="00C42042" w:rsidRDefault="0089623D" w:rsidP="0089623D">
      <w:pPr>
        <w:jc w:val="both"/>
      </w:pPr>
      <w:r w:rsidRPr="0089623D">
        <w:t>A construção do modelo envolveu um processo cuidadoso de coleta, limpeza e preparação dos dados, além da criação de variáveis derivadas</w:t>
      </w:r>
      <w:r>
        <w:t xml:space="preserve"> do mercado financeiro,</w:t>
      </w:r>
      <w:r w:rsidRPr="0089623D">
        <w:t xml:space="preserve"> como médias móveis, MACD, RSI e volatilidade</w:t>
      </w:r>
      <w:r>
        <w:t>,</w:t>
      </w:r>
      <w:r w:rsidRPr="0089623D">
        <w:t xml:space="preserve"> que enriqueceram a base e permitiram ao modelo capturar padrões relevantes no comportamento do mercado</w:t>
      </w:r>
      <w:r>
        <w:t xml:space="preserve">. </w:t>
      </w:r>
      <w:r w:rsidR="00C42042" w:rsidRPr="00C42042">
        <w:t xml:space="preserve">Além disso, a utilização da regularização L1 contribuiu para a seleção automática de variáveis mais informativas, promovendo simplicidade sem perda significativa de desempenho. </w:t>
      </w:r>
    </w:p>
    <w:p w14:paraId="2998202D" w14:textId="227FA321" w:rsidR="00C42042" w:rsidRDefault="00C42042" w:rsidP="0089623D">
      <w:pPr>
        <w:jc w:val="both"/>
      </w:pPr>
      <w:r w:rsidRPr="00C42042">
        <w:t xml:space="preserve">Apesar da queda leve entre a validação e o teste, os resultados foram consistentes e indicam boa capacidade de generalização. </w:t>
      </w:r>
      <w:r w:rsidR="0089623D">
        <w:t>A utilização d</w:t>
      </w:r>
      <w:r w:rsidR="0089623D" w:rsidRPr="00C42042">
        <w:t>esse</w:t>
      </w:r>
      <w:r w:rsidRPr="00C42042">
        <w:t xml:space="preserve"> modelo </w:t>
      </w:r>
      <w:r w:rsidR="0089623D">
        <w:t xml:space="preserve">é </w:t>
      </w:r>
      <w:proofErr w:type="gramStart"/>
      <w:r w:rsidR="0089623D">
        <w:t>indicado</w:t>
      </w:r>
      <w:proofErr w:type="gramEnd"/>
      <w:r w:rsidR="0089623D">
        <w:t xml:space="preserve"> para</w:t>
      </w:r>
      <w:r w:rsidRPr="00C42042">
        <w:t xml:space="preserve"> sistemas de apoio à decisão em investimentos, </w:t>
      </w:r>
      <w:r w:rsidR="00BC3A4F">
        <w:t>com potencial de aprimoramento</w:t>
      </w:r>
      <w:r w:rsidRPr="00C42042">
        <w:t xml:space="preserve"> com o uso de mais dados, variáveis macroeconômicas e teste de abordagens mais complexas, como modelos baseados em redes neurais. </w:t>
      </w:r>
    </w:p>
    <w:p w14:paraId="3DAB4837" w14:textId="11BD6353" w:rsidR="00C42042" w:rsidRPr="00C42042" w:rsidRDefault="00C42042" w:rsidP="0089623D">
      <w:pPr>
        <w:jc w:val="both"/>
      </w:pPr>
      <w:r w:rsidRPr="00C42042">
        <w:t>Por fim, este trabalho reforça o potencial do uso de modelos estatísticos e aprendizado de máquina na análise de mercados financeiros, desde que acompanhados de uma preparação cuidadosa dos dados e validações rigorosas.</w:t>
      </w:r>
    </w:p>
    <w:sectPr w:rsidR="00C42042" w:rsidRPr="00C42042" w:rsidSect="00476B7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5BB5E" w14:textId="77777777" w:rsidR="007E4F8A" w:rsidRDefault="007E4F8A" w:rsidP="00D329C8">
      <w:pPr>
        <w:spacing w:after="0" w:line="240" w:lineRule="auto"/>
      </w:pPr>
      <w:r>
        <w:separator/>
      </w:r>
    </w:p>
  </w:endnote>
  <w:endnote w:type="continuationSeparator" w:id="0">
    <w:p w14:paraId="13CCA5ED" w14:textId="77777777" w:rsidR="007E4F8A" w:rsidRDefault="007E4F8A" w:rsidP="00D3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4247981"/>
      <w:docPartObj>
        <w:docPartGallery w:val="Page Numbers (Bottom of Page)"/>
        <w:docPartUnique/>
      </w:docPartObj>
    </w:sdtPr>
    <w:sdtContent>
      <w:p w14:paraId="6FC33F7A" w14:textId="61C425D8" w:rsidR="00476B7B" w:rsidRDefault="00476B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DC02CC" w14:textId="77777777" w:rsidR="00476B7B" w:rsidRDefault="00476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84882" w14:textId="77777777" w:rsidR="007E4F8A" w:rsidRDefault="007E4F8A" w:rsidP="00D329C8">
      <w:pPr>
        <w:spacing w:after="0" w:line="240" w:lineRule="auto"/>
      </w:pPr>
      <w:r>
        <w:separator/>
      </w:r>
    </w:p>
  </w:footnote>
  <w:footnote w:type="continuationSeparator" w:id="0">
    <w:p w14:paraId="0DD7815D" w14:textId="77777777" w:rsidR="007E4F8A" w:rsidRDefault="007E4F8A" w:rsidP="00D3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4E17" w14:textId="77777777" w:rsidR="00476B7B" w:rsidRDefault="00476B7B" w:rsidP="00476B7B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AF88F2B" wp14:editId="7C990AAE">
          <wp:simplePos x="0" y="0"/>
          <wp:positionH relativeFrom="page">
            <wp:posOffset>2353476</wp:posOffset>
          </wp:positionH>
          <wp:positionV relativeFrom="paragraph">
            <wp:posOffset>-213995</wp:posOffset>
          </wp:positionV>
          <wp:extent cx="1115060" cy="299720"/>
          <wp:effectExtent l="0" t="0" r="8890" b="5080"/>
          <wp:wrapSquare wrapText="bothSides"/>
          <wp:docPr id="8" name="Imagem 5" descr="Vestibular 2025 - Ficha de Inscrição -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Vestibular 2025 - Ficha de Inscrição - FI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06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63BBFE8" wp14:editId="0D3DE327">
          <wp:simplePos x="0" y="0"/>
          <wp:positionH relativeFrom="page">
            <wp:posOffset>3810938</wp:posOffset>
          </wp:positionH>
          <wp:positionV relativeFrom="paragraph">
            <wp:posOffset>-210820</wp:posOffset>
          </wp:positionV>
          <wp:extent cx="2285365" cy="362585"/>
          <wp:effectExtent l="19050" t="19050" r="19685" b="18415"/>
          <wp:wrapTight wrapText="bothSides">
            <wp:wrapPolygon edited="0">
              <wp:start x="-180" y="-1135"/>
              <wp:lineTo x="-180" y="21562"/>
              <wp:lineTo x="21606" y="21562"/>
              <wp:lineTo x="21606" y="-1135"/>
              <wp:lineTo x="-180" y="-1135"/>
            </wp:wrapPolygon>
          </wp:wrapTight>
          <wp:docPr id="4" name="Imagem 2" descr="FIAP: Pós Tech – Pós-Graduações Tech Intensive nas áreas de Dev, Data 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AP: Pós Tech – Pós-Graduações Tech Intensive nas áreas de Dev, Data e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5365" cy="362585"/>
                  </a:xfrm>
                  <a:prstGeom prst="rect">
                    <a:avLst/>
                  </a:prstGeom>
                  <a:noFill/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D7CA0F" w14:textId="77777777" w:rsidR="00476B7B" w:rsidRDefault="00476B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D7D"/>
    <w:multiLevelType w:val="multilevel"/>
    <w:tmpl w:val="9B5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FCC"/>
    <w:multiLevelType w:val="hybridMultilevel"/>
    <w:tmpl w:val="0BDC3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A65"/>
    <w:multiLevelType w:val="hybridMultilevel"/>
    <w:tmpl w:val="AE66FA34"/>
    <w:lvl w:ilvl="0" w:tplc="D5CA5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A1ABC"/>
    <w:multiLevelType w:val="hybridMultilevel"/>
    <w:tmpl w:val="7F6A9EEA"/>
    <w:lvl w:ilvl="0" w:tplc="E9920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DF5"/>
    <w:multiLevelType w:val="multilevel"/>
    <w:tmpl w:val="2C6A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C03D9"/>
    <w:multiLevelType w:val="multilevel"/>
    <w:tmpl w:val="79C8805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9F5171"/>
    <w:multiLevelType w:val="multilevel"/>
    <w:tmpl w:val="3470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6B24"/>
    <w:multiLevelType w:val="multilevel"/>
    <w:tmpl w:val="FF76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F3816"/>
    <w:multiLevelType w:val="hybridMultilevel"/>
    <w:tmpl w:val="254C6260"/>
    <w:lvl w:ilvl="0" w:tplc="93C225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 w:themeColor="background1" w:themeShade="A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E261B"/>
    <w:multiLevelType w:val="hybridMultilevel"/>
    <w:tmpl w:val="F1806A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166151">
    <w:abstractNumId w:val="1"/>
  </w:num>
  <w:num w:numId="2" w16cid:durableId="2009747963">
    <w:abstractNumId w:val="4"/>
  </w:num>
  <w:num w:numId="3" w16cid:durableId="1060057554">
    <w:abstractNumId w:val="7"/>
  </w:num>
  <w:num w:numId="4" w16cid:durableId="811630025">
    <w:abstractNumId w:val="0"/>
  </w:num>
  <w:num w:numId="5" w16cid:durableId="1485658220">
    <w:abstractNumId w:val="8"/>
  </w:num>
  <w:num w:numId="6" w16cid:durableId="820804702">
    <w:abstractNumId w:val="2"/>
  </w:num>
  <w:num w:numId="7" w16cid:durableId="387612116">
    <w:abstractNumId w:val="9"/>
  </w:num>
  <w:num w:numId="8" w16cid:durableId="966737170">
    <w:abstractNumId w:val="3"/>
  </w:num>
  <w:num w:numId="9" w16cid:durableId="93520559">
    <w:abstractNumId w:val="5"/>
  </w:num>
  <w:num w:numId="10" w16cid:durableId="1856652344">
    <w:abstractNumId w:val="5"/>
  </w:num>
  <w:num w:numId="11" w16cid:durableId="5862399">
    <w:abstractNumId w:val="5"/>
  </w:num>
  <w:num w:numId="12" w16cid:durableId="2038921006">
    <w:abstractNumId w:val="5"/>
  </w:num>
  <w:num w:numId="13" w16cid:durableId="995646537">
    <w:abstractNumId w:val="5"/>
  </w:num>
  <w:num w:numId="14" w16cid:durableId="989217306">
    <w:abstractNumId w:val="5"/>
  </w:num>
  <w:num w:numId="15" w16cid:durableId="191380858">
    <w:abstractNumId w:val="5"/>
  </w:num>
  <w:num w:numId="16" w16cid:durableId="750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A8"/>
    <w:rsid w:val="000126DF"/>
    <w:rsid w:val="00020ABB"/>
    <w:rsid w:val="00021FF9"/>
    <w:rsid w:val="00025BB3"/>
    <w:rsid w:val="00034A1F"/>
    <w:rsid w:val="00047FFB"/>
    <w:rsid w:val="00056ECC"/>
    <w:rsid w:val="00074E3F"/>
    <w:rsid w:val="00091819"/>
    <w:rsid w:val="00093C9B"/>
    <w:rsid w:val="000B2407"/>
    <w:rsid w:val="00101005"/>
    <w:rsid w:val="001121BC"/>
    <w:rsid w:val="00176FE1"/>
    <w:rsid w:val="00195E9C"/>
    <w:rsid w:val="001B2E16"/>
    <w:rsid w:val="001B79FD"/>
    <w:rsid w:val="00212BA1"/>
    <w:rsid w:val="00225FB7"/>
    <w:rsid w:val="00226FF5"/>
    <w:rsid w:val="00246EC0"/>
    <w:rsid w:val="00250CA0"/>
    <w:rsid w:val="00263452"/>
    <w:rsid w:val="002760FB"/>
    <w:rsid w:val="00292276"/>
    <w:rsid w:val="002A58FD"/>
    <w:rsid w:val="002F4B9C"/>
    <w:rsid w:val="002F5775"/>
    <w:rsid w:val="0034089D"/>
    <w:rsid w:val="00342BBB"/>
    <w:rsid w:val="00382A74"/>
    <w:rsid w:val="003C01DE"/>
    <w:rsid w:val="003D042B"/>
    <w:rsid w:val="003F650A"/>
    <w:rsid w:val="004209E8"/>
    <w:rsid w:val="004423F0"/>
    <w:rsid w:val="00453D1D"/>
    <w:rsid w:val="00476B7B"/>
    <w:rsid w:val="004A4B85"/>
    <w:rsid w:val="004F0E45"/>
    <w:rsid w:val="00522050"/>
    <w:rsid w:val="00525D6F"/>
    <w:rsid w:val="00540EB6"/>
    <w:rsid w:val="00544CFA"/>
    <w:rsid w:val="00564BB1"/>
    <w:rsid w:val="005666DB"/>
    <w:rsid w:val="00574BA9"/>
    <w:rsid w:val="00580595"/>
    <w:rsid w:val="005C782A"/>
    <w:rsid w:val="006225CB"/>
    <w:rsid w:val="00636892"/>
    <w:rsid w:val="006447BA"/>
    <w:rsid w:val="00671E09"/>
    <w:rsid w:val="00704787"/>
    <w:rsid w:val="00763D10"/>
    <w:rsid w:val="00765B14"/>
    <w:rsid w:val="007A79F5"/>
    <w:rsid w:val="007C12F2"/>
    <w:rsid w:val="007C57F0"/>
    <w:rsid w:val="007D1811"/>
    <w:rsid w:val="007E1C22"/>
    <w:rsid w:val="007E4F8A"/>
    <w:rsid w:val="007F20D4"/>
    <w:rsid w:val="007F3CA8"/>
    <w:rsid w:val="00817DF7"/>
    <w:rsid w:val="00840EAF"/>
    <w:rsid w:val="00877BCA"/>
    <w:rsid w:val="0089623D"/>
    <w:rsid w:val="009318A3"/>
    <w:rsid w:val="00975634"/>
    <w:rsid w:val="00984024"/>
    <w:rsid w:val="009A5F8A"/>
    <w:rsid w:val="009A62DF"/>
    <w:rsid w:val="009C4D15"/>
    <w:rsid w:val="009C67D6"/>
    <w:rsid w:val="009D25B2"/>
    <w:rsid w:val="009E2DA1"/>
    <w:rsid w:val="00A03B54"/>
    <w:rsid w:val="00A41197"/>
    <w:rsid w:val="00A44777"/>
    <w:rsid w:val="00AC2386"/>
    <w:rsid w:val="00AF1486"/>
    <w:rsid w:val="00B44A94"/>
    <w:rsid w:val="00BB5255"/>
    <w:rsid w:val="00BB5F39"/>
    <w:rsid w:val="00BC3A4F"/>
    <w:rsid w:val="00BC7226"/>
    <w:rsid w:val="00C03E93"/>
    <w:rsid w:val="00C337C5"/>
    <w:rsid w:val="00C337E0"/>
    <w:rsid w:val="00C42042"/>
    <w:rsid w:val="00C63A3C"/>
    <w:rsid w:val="00CB7088"/>
    <w:rsid w:val="00CC344A"/>
    <w:rsid w:val="00D00A9A"/>
    <w:rsid w:val="00D329C8"/>
    <w:rsid w:val="00D33361"/>
    <w:rsid w:val="00D809EE"/>
    <w:rsid w:val="00DA7538"/>
    <w:rsid w:val="00DB3AFE"/>
    <w:rsid w:val="00DC6A5B"/>
    <w:rsid w:val="00E12E35"/>
    <w:rsid w:val="00E416B2"/>
    <w:rsid w:val="00E41A1E"/>
    <w:rsid w:val="00E432C8"/>
    <w:rsid w:val="00E6459F"/>
    <w:rsid w:val="00E73BFD"/>
    <w:rsid w:val="00EC7D74"/>
    <w:rsid w:val="00ED512C"/>
    <w:rsid w:val="00F239D1"/>
    <w:rsid w:val="00F33100"/>
    <w:rsid w:val="00F33A8D"/>
    <w:rsid w:val="00F64F90"/>
    <w:rsid w:val="00F876B2"/>
    <w:rsid w:val="00FD1CDF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813C"/>
  <w15:chartTrackingRefBased/>
  <w15:docId w15:val="{000B2415-4ABD-4590-9649-392CA70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1DE"/>
    <w:pPr>
      <w:keepNext/>
      <w:keepLines/>
      <w:numPr>
        <w:numId w:val="9"/>
      </w:numPr>
      <w:spacing w:before="360" w:after="80" w:line="360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3A8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3A8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3A8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3A8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3A8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3A8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3A8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3A8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1DE"/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3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31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1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B79F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9C8"/>
  </w:style>
  <w:style w:type="paragraph" w:styleId="Rodap">
    <w:name w:val="footer"/>
    <w:basedOn w:val="Normal"/>
    <w:link w:val="Rodap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9C8"/>
  </w:style>
  <w:style w:type="paragraph" w:styleId="CabealhodoSumrio">
    <w:name w:val="TOC Heading"/>
    <w:basedOn w:val="Ttulo1"/>
    <w:next w:val="Normal"/>
    <w:uiPriority w:val="39"/>
    <w:unhideWhenUsed/>
    <w:qFormat/>
    <w:rsid w:val="009E2DA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C01DE"/>
    <w:pPr>
      <w:spacing w:after="100"/>
    </w:pPr>
  </w:style>
  <w:style w:type="character" w:styleId="Forte">
    <w:name w:val="Strong"/>
    <w:basedOn w:val="Fontepargpadro"/>
    <w:uiPriority w:val="22"/>
    <w:qFormat/>
    <w:rsid w:val="00340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F985-57CA-4496-98F1-03C076F6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Teles</dc:creator>
  <cp:keywords/>
  <dc:description/>
  <cp:lastModifiedBy>Gabriel Teles</cp:lastModifiedBy>
  <cp:revision>6</cp:revision>
  <cp:lastPrinted>2025-07-29T23:59:00Z</cp:lastPrinted>
  <dcterms:created xsi:type="dcterms:W3CDTF">2025-07-22T02:01:00Z</dcterms:created>
  <dcterms:modified xsi:type="dcterms:W3CDTF">2025-07-30T00:00:00Z</dcterms:modified>
</cp:coreProperties>
</file>