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tabs>
          <w:tab w:val="left" w:pos="8609"/>
        </w:tabs>
        <w:spacing w:before="100" w:line="640" w:lineRule="exact"/>
        <w:ind w:leftChars="21" w:left="42" w:rightChars="196" w:right="392"/>
        <w:jc w:val="both"/>
        <w:textDirection w:val="lrTbV"/>
        <w:rPr>
          <w:rFonts w:eastAsia="標楷體"/>
          <w:b/>
          <w:spacing w:val="-24"/>
          <w:sz w:val="34"/>
          <w:szCs w:val="34"/>
        </w:rPr>
      </w:pPr>
    </w:p>
    <w:p w:rsidR="00C82C46" w:rsidRDefault="00C82C46" w:rsidP="00D052FE">
      <w:pPr>
        <w:spacing w:before="100" w:line="640" w:lineRule="exact"/>
        <w:ind w:leftChars="252" w:left="504" w:rightChars="231" w:right="462"/>
        <w:jc w:val="both"/>
        <w:textDirection w:val="lrTbV"/>
        <w:rPr>
          <w:rFonts w:eastAsia="標楷體"/>
          <w:b/>
          <w:spacing w:val="-24"/>
          <w:sz w:val="34"/>
          <w:szCs w:val="34"/>
        </w:rPr>
      </w:pPr>
    </w:p>
    <w:p w:rsidR="00C82C46" w:rsidRDefault="00C82C46" w:rsidP="00D052FE">
      <w:pPr>
        <w:pBdr>
          <w:top w:val="single" w:sz="48" w:space="1" w:color="auto"/>
          <w:bottom w:val="single" w:sz="48" w:space="1" w:color="auto"/>
        </w:pBdr>
        <w:spacing w:before="100" w:line="200" w:lineRule="exact"/>
        <w:ind w:leftChars="252" w:left="504" w:rightChars="231" w:right="462"/>
        <w:jc w:val="both"/>
        <w:textDirection w:val="lrTbV"/>
        <w:rPr>
          <w:rFonts w:eastAsia="標楷體"/>
          <w:b/>
          <w:sz w:val="64"/>
          <w:szCs w:val="64"/>
        </w:rPr>
      </w:pPr>
    </w:p>
    <w:p w:rsidR="00181D76" w:rsidRPr="007F6F77" w:rsidRDefault="00181D76" w:rsidP="00181D76">
      <w:pPr>
        <w:pBdr>
          <w:top w:val="single" w:sz="48" w:space="1" w:color="auto"/>
          <w:bottom w:val="single" w:sz="48" w:space="1" w:color="auto"/>
        </w:pBdr>
        <w:spacing w:before="100" w:line="840" w:lineRule="exact"/>
        <w:ind w:leftChars="252" w:left="504" w:rightChars="231" w:right="462"/>
        <w:jc w:val="center"/>
        <w:textDirection w:val="lrTbV"/>
        <w:rPr>
          <w:rFonts w:eastAsia="標楷體"/>
          <w:b/>
          <w:sz w:val="52"/>
          <w:szCs w:val="64"/>
        </w:rPr>
      </w:pPr>
      <w:r w:rsidRPr="007F6F77">
        <w:rPr>
          <w:rFonts w:eastAsia="標楷體"/>
          <w:b/>
          <w:sz w:val="52"/>
          <w:szCs w:val="64"/>
        </w:rPr>
        <w:t xml:space="preserve">Minutes of the </w:t>
      </w:r>
      <w:r w:rsidRPr="007F6F77">
        <w:rPr>
          <w:rFonts w:eastAsia="標楷體" w:hint="eastAsia"/>
          <w:b/>
          <w:sz w:val="52"/>
          <w:szCs w:val="64"/>
        </w:rPr>
        <w:t xml:space="preserve">Monetary Policy </w:t>
      </w:r>
      <w:r w:rsidRPr="007F6F77">
        <w:rPr>
          <w:rFonts w:eastAsia="標楷體"/>
          <w:b/>
          <w:sz w:val="52"/>
          <w:szCs w:val="64"/>
        </w:rPr>
        <w:t>Meeting</w:t>
      </w:r>
    </w:p>
    <w:p w:rsidR="00181D76" w:rsidRPr="007F6F77" w:rsidRDefault="00181D76" w:rsidP="00FA173A">
      <w:pPr>
        <w:pBdr>
          <w:top w:val="single" w:sz="48" w:space="1" w:color="auto"/>
          <w:bottom w:val="single" w:sz="48" w:space="1" w:color="auto"/>
        </w:pBdr>
        <w:spacing w:before="100" w:line="840" w:lineRule="exact"/>
        <w:ind w:leftChars="252" w:left="504" w:rightChars="231" w:right="462"/>
        <w:jc w:val="center"/>
        <w:textDirection w:val="lrTbV"/>
        <w:rPr>
          <w:rFonts w:eastAsia="標楷體"/>
          <w:b/>
          <w:sz w:val="52"/>
          <w:szCs w:val="64"/>
        </w:rPr>
      </w:pPr>
    </w:p>
    <w:p w:rsidR="00181D76" w:rsidRPr="007F6F77" w:rsidRDefault="001F7BDB" w:rsidP="00181D76">
      <w:pPr>
        <w:pBdr>
          <w:top w:val="single" w:sz="48" w:space="1" w:color="auto"/>
          <w:bottom w:val="single" w:sz="48" w:space="1" w:color="auto"/>
        </w:pBdr>
        <w:spacing w:before="240" w:line="640" w:lineRule="exact"/>
        <w:ind w:leftChars="252" w:left="504" w:rightChars="231" w:right="462"/>
        <w:jc w:val="center"/>
        <w:textDirection w:val="lrTbV"/>
        <w:rPr>
          <w:rFonts w:eastAsia="標楷體"/>
          <w:spacing w:val="-24"/>
          <w:sz w:val="40"/>
          <w:szCs w:val="48"/>
        </w:rPr>
      </w:pPr>
      <w:r w:rsidRPr="007F6F77">
        <w:rPr>
          <w:rFonts w:eastAsia="標楷體" w:hint="eastAsia"/>
          <w:spacing w:val="-24"/>
          <w:sz w:val="40"/>
          <w:szCs w:val="48"/>
        </w:rPr>
        <w:t>Dec</w:t>
      </w:r>
      <w:r w:rsidR="00181D76" w:rsidRPr="007F6F77">
        <w:rPr>
          <w:rFonts w:eastAsia="標楷體"/>
          <w:spacing w:val="-24"/>
          <w:sz w:val="40"/>
          <w:szCs w:val="48"/>
        </w:rPr>
        <w:t>ember</w:t>
      </w:r>
      <w:r w:rsidR="00181D76" w:rsidRPr="007F6F77">
        <w:rPr>
          <w:rFonts w:eastAsia="標楷體" w:hint="eastAsia"/>
          <w:spacing w:val="-24"/>
          <w:sz w:val="40"/>
          <w:szCs w:val="48"/>
        </w:rPr>
        <w:t xml:space="preserve"> </w:t>
      </w:r>
      <w:r w:rsidR="00336930">
        <w:rPr>
          <w:rFonts w:eastAsia="標楷體" w:hint="eastAsia"/>
          <w:spacing w:val="-24"/>
          <w:sz w:val="40"/>
          <w:szCs w:val="48"/>
        </w:rPr>
        <w:t>19</w:t>
      </w:r>
      <w:r w:rsidR="008C284D" w:rsidRPr="007F6F77">
        <w:rPr>
          <w:rFonts w:eastAsia="標楷體" w:hint="eastAsia"/>
          <w:spacing w:val="-24"/>
          <w:sz w:val="40"/>
          <w:szCs w:val="48"/>
        </w:rPr>
        <w:t>, 201</w:t>
      </w:r>
      <w:r w:rsidR="00336930">
        <w:rPr>
          <w:rFonts w:eastAsia="標楷體" w:hint="eastAsia"/>
          <w:spacing w:val="-24"/>
          <w:sz w:val="40"/>
          <w:szCs w:val="48"/>
        </w:rPr>
        <w:t>9</w:t>
      </w:r>
    </w:p>
    <w:p w:rsidR="00C82C46" w:rsidRPr="007F6F77" w:rsidRDefault="00C82C46" w:rsidP="00506CDC">
      <w:pPr>
        <w:pBdr>
          <w:top w:val="single" w:sz="48" w:space="1" w:color="auto"/>
          <w:bottom w:val="single" w:sz="48" w:space="1" w:color="auto"/>
        </w:pBdr>
        <w:spacing w:before="240" w:line="20" w:lineRule="exact"/>
        <w:ind w:leftChars="252" w:left="504" w:rightChars="231" w:right="462"/>
        <w:jc w:val="center"/>
        <w:textDirection w:val="lrTbV"/>
        <w:rPr>
          <w:rFonts w:eastAsia="標楷體"/>
          <w:sz w:val="48"/>
          <w:szCs w:val="48"/>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C82C46" w:rsidRPr="007F6F77" w:rsidRDefault="00C82C46" w:rsidP="00506CDC">
      <w:pPr>
        <w:spacing w:before="100" w:line="640" w:lineRule="exact"/>
        <w:ind w:leftChars="252" w:left="504" w:rightChars="231" w:right="462"/>
        <w:jc w:val="center"/>
        <w:textDirection w:val="lrTbV"/>
        <w:rPr>
          <w:rFonts w:eastAsia="標楷體"/>
          <w:b/>
          <w:spacing w:val="-24"/>
          <w:sz w:val="56"/>
          <w:szCs w:val="56"/>
        </w:rPr>
      </w:pPr>
    </w:p>
    <w:p w:rsidR="00181D76" w:rsidRPr="007F6F77" w:rsidRDefault="00181D76" w:rsidP="00181D76">
      <w:pPr>
        <w:spacing w:before="100" w:line="640" w:lineRule="exact"/>
        <w:ind w:leftChars="252" w:left="504" w:rightChars="231" w:right="462"/>
        <w:jc w:val="center"/>
        <w:textDirection w:val="lrTbV"/>
        <w:rPr>
          <w:rFonts w:eastAsia="標楷體"/>
          <w:b/>
          <w:spacing w:val="-24"/>
          <w:sz w:val="44"/>
          <w:szCs w:val="52"/>
        </w:rPr>
      </w:pPr>
      <w:r w:rsidRPr="007F6F77">
        <w:rPr>
          <w:rFonts w:eastAsia="標楷體" w:hint="eastAsia"/>
          <w:sz w:val="44"/>
          <w:szCs w:val="52"/>
        </w:rPr>
        <w:t>Central Bank of the R.O.C. (Taiwan)</w:t>
      </w:r>
    </w:p>
    <w:p w:rsidR="00C82C46" w:rsidRPr="007F6F77" w:rsidRDefault="00C82C46" w:rsidP="00D052FE">
      <w:pPr>
        <w:spacing w:before="100" w:line="640" w:lineRule="exact"/>
        <w:ind w:leftChars="252" w:left="504" w:rightChars="231" w:right="462"/>
        <w:jc w:val="both"/>
        <w:textDirection w:val="lrTbV"/>
        <w:rPr>
          <w:rFonts w:eastAsia="標楷體"/>
          <w:sz w:val="52"/>
          <w:szCs w:val="52"/>
        </w:rPr>
        <w:sectPr w:rsidR="00C82C46" w:rsidRPr="007F6F77" w:rsidSect="00F714F0">
          <w:headerReference w:type="even" r:id="rId9"/>
          <w:headerReference w:type="default" r:id="rId10"/>
          <w:footerReference w:type="even" r:id="rId11"/>
          <w:footerReference w:type="default" r:id="rId12"/>
          <w:headerReference w:type="first" r:id="rId13"/>
          <w:footerReference w:type="first" r:id="rId14"/>
          <w:pgSz w:w="11907" w:h="16840" w:code="9"/>
          <w:pgMar w:top="1134" w:right="1418" w:bottom="851" w:left="1418" w:header="0" w:footer="510" w:gutter="0"/>
          <w:paperSrc w:first="15" w:other="15"/>
          <w:pgNumType w:start="0"/>
          <w:cols w:space="425"/>
          <w:titlePg/>
          <w:docGrid w:linePitch="272"/>
        </w:sectPr>
      </w:pPr>
      <w:r w:rsidRPr="007F6F77">
        <w:rPr>
          <w:rFonts w:eastAsia="標楷體"/>
          <w:spacing w:val="-24"/>
          <w:sz w:val="44"/>
          <w:szCs w:val="44"/>
        </w:rPr>
        <w:br w:type="page"/>
      </w:r>
    </w:p>
    <w:p w:rsidR="00363599" w:rsidRPr="007F6F77" w:rsidRDefault="00363599" w:rsidP="00642463">
      <w:pPr>
        <w:spacing w:line="440" w:lineRule="exact"/>
        <w:jc w:val="center"/>
        <w:textDirection w:val="lrTbV"/>
        <w:rPr>
          <w:rFonts w:eastAsia="標楷體"/>
          <w:b/>
          <w:sz w:val="28"/>
          <w:szCs w:val="28"/>
        </w:rPr>
      </w:pPr>
      <w:r w:rsidRPr="007F6F77">
        <w:rPr>
          <w:rFonts w:eastAsia="標楷體"/>
          <w:b/>
          <w:sz w:val="28"/>
          <w:szCs w:val="28"/>
        </w:rPr>
        <w:lastRenderedPageBreak/>
        <w:t>Minutes</w:t>
      </w:r>
      <w:r w:rsidRPr="007F6F77">
        <w:rPr>
          <w:rStyle w:val="afe"/>
          <w:rFonts w:eastAsia="標楷體"/>
          <w:b/>
          <w:sz w:val="28"/>
          <w:szCs w:val="28"/>
        </w:rPr>
        <w:footnoteReference w:id="1"/>
      </w:r>
      <w:r w:rsidRPr="007F6F77">
        <w:rPr>
          <w:rFonts w:eastAsia="標楷體"/>
          <w:b/>
          <w:sz w:val="28"/>
          <w:szCs w:val="28"/>
        </w:rPr>
        <w:t xml:space="preserve"> of the Joint Meeting of the Board of Directors and </w:t>
      </w:r>
    </w:p>
    <w:p w:rsidR="00363599" w:rsidRPr="007F6F77" w:rsidRDefault="00363599" w:rsidP="00642463">
      <w:pPr>
        <w:spacing w:line="440" w:lineRule="exact"/>
        <w:jc w:val="center"/>
        <w:textDirection w:val="lrTbV"/>
        <w:rPr>
          <w:rFonts w:eastAsia="標楷體"/>
          <w:b/>
          <w:sz w:val="28"/>
          <w:szCs w:val="28"/>
        </w:rPr>
      </w:pPr>
      <w:proofErr w:type="gramStart"/>
      <w:r w:rsidRPr="007F6F77">
        <w:rPr>
          <w:rFonts w:eastAsia="標楷體"/>
          <w:b/>
          <w:sz w:val="28"/>
          <w:szCs w:val="28"/>
        </w:rPr>
        <w:t>the</w:t>
      </w:r>
      <w:proofErr w:type="gramEnd"/>
      <w:r w:rsidRPr="007F6F77">
        <w:rPr>
          <w:rFonts w:eastAsia="標楷體"/>
          <w:b/>
          <w:sz w:val="28"/>
          <w:szCs w:val="28"/>
        </w:rPr>
        <w:t xml:space="preserve"> Board of Supervisors on</w:t>
      </w:r>
      <w:r w:rsidR="00C41905" w:rsidRPr="007F6F77">
        <w:rPr>
          <w:rFonts w:eastAsia="標楷體" w:hint="eastAsia"/>
          <w:b/>
          <w:sz w:val="28"/>
          <w:szCs w:val="28"/>
        </w:rPr>
        <w:t xml:space="preserve"> </w:t>
      </w:r>
      <w:r w:rsidR="001F7BDB" w:rsidRPr="007F6F77">
        <w:rPr>
          <w:rFonts w:eastAsia="標楷體" w:hint="eastAsia"/>
          <w:b/>
          <w:sz w:val="28"/>
          <w:szCs w:val="28"/>
        </w:rPr>
        <w:t>Dec</w:t>
      </w:r>
      <w:r w:rsidR="008C284D" w:rsidRPr="007F6F77">
        <w:rPr>
          <w:rFonts w:eastAsia="標楷體" w:hint="eastAsia"/>
          <w:b/>
          <w:sz w:val="28"/>
          <w:szCs w:val="28"/>
        </w:rPr>
        <w:t>e</w:t>
      </w:r>
      <w:r w:rsidRPr="007F6F77">
        <w:rPr>
          <w:rFonts w:eastAsia="標楷體"/>
          <w:b/>
          <w:sz w:val="28"/>
          <w:szCs w:val="28"/>
        </w:rPr>
        <w:t>mber</w:t>
      </w:r>
      <w:r w:rsidR="00336930">
        <w:rPr>
          <w:rFonts w:eastAsia="標楷體" w:hint="eastAsia"/>
          <w:b/>
          <w:sz w:val="28"/>
          <w:szCs w:val="28"/>
        </w:rPr>
        <w:t xml:space="preserve"> 19</w:t>
      </w:r>
      <w:r w:rsidR="008C284D" w:rsidRPr="007F6F77">
        <w:rPr>
          <w:rFonts w:eastAsia="標楷體"/>
          <w:b/>
          <w:sz w:val="28"/>
          <w:szCs w:val="28"/>
        </w:rPr>
        <w:t>, 201</w:t>
      </w:r>
      <w:r w:rsidR="00336930">
        <w:rPr>
          <w:rFonts w:eastAsia="標楷體" w:hint="eastAsia"/>
          <w:b/>
          <w:sz w:val="28"/>
          <w:szCs w:val="28"/>
        </w:rPr>
        <w:t>9</w:t>
      </w:r>
    </w:p>
    <w:p w:rsidR="00363599" w:rsidRPr="007F6F77" w:rsidRDefault="00363599" w:rsidP="00642463">
      <w:pPr>
        <w:spacing w:line="440" w:lineRule="exact"/>
        <w:jc w:val="both"/>
        <w:textDirection w:val="lrTbV"/>
        <w:rPr>
          <w:rFonts w:eastAsia="標楷體"/>
          <w:sz w:val="24"/>
          <w:szCs w:val="24"/>
        </w:rPr>
      </w:pPr>
      <w:r w:rsidRPr="007F6F77">
        <w:rPr>
          <w:rFonts w:eastAsia="標楷體" w:hint="eastAsia"/>
          <w:b/>
          <w:sz w:val="24"/>
          <w:szCs w:val="24"/>
        </w:rPr>
        <w:t>Date and Time</w:t>
      </w:r>
      <w:r w:rsidRPr="007F6F77">
        <w:rPr>
          <w:rFonts w:eastAsia="標楷體" w:hint="eastAsia"/>
          <w:sz w:val="24"/>
          <w:szCs w:val="24"/>
        </w:rPr>
        <w:t xml:space="preserve">: </w:t>
      </w:r>
      <w:r w:rsidR="001F7BDB" w:rsidRPr="007F6F77">
        <w:rPr>
          <w:rFonts w:eastAsia="標楷體" w:hint="eastAsia"/>
          <w:sz w:val="24"/>
          <w:szCs w:val="24"/>
        </w:rPr>
        <w:t>Dec</w:t>
      </w:r>
      <w:r w:rsidRPr="007F6F77">
        <w:rPr>
          <w:rFonts w:eastAsia="標楷體"/>
          <w:sz w:val="24"/>
          <w:szCs w:val="24"/>
        </w:rPr>
        <w:t>ember</w:t>
      </w:r>
      <w:r w:rsidRPr="007F6F77">
        <w:rPr>
          <w:rFonts w:eastAsia="標楷體" w:hint="eastAsia"/>
          <w:sz w:val="24"/>
          <w:szCs w:val="24"/>
        </w:rPr>
        <w:t xml:space="preserve"> </w:t>
      </w:r>
      <w:r w:rsidR="00656F52">
        <w:rPr>
          <w:rFonts w:eastAsia="標楷體" w:hint="eastAsia"/>
          <w:sz w:val="24"/>
          <w:szCs w:val="24"/>
        </w:rPr>
        <w:t>19</w:t>
      </w:r>
      <w:r w:rsidRPr="007F6F77">
        <w:rPr>
          <w:rFonts w:eastAsia="標楷體" w:hint="eastAsia"/>
          <w:sz w:val="24"/>
          <w:szCs w:val="24"/>
        </w:rPr>
        <w:t>, 201</w:t>
      </w:r>
      <w:r w:rsidR="00656F52">
        <w:rPr>
          <w:rFonts w:eastAsia="標楷體" w:hint="eastAsia"/>
          <w:sz w:val="24"/>
          <w:szCs w:val="24"/>
        </w:rPr>
        <w:t>9</w:t>
      </w:r>
      <w:r w:rsidRPr="007F6F77">
        <w:rPr>
          <w:rFonts w:eastAsia="標楷體" w:hint="eastAsia"/>
          <w:sz w:val="24"/>
          <w:szCs w:val="24"/>
        </w:rPr>
        <w:t xml:space="preserve">, at </w:t>
      </w:r>
      <w:r w:rsidR="008C284D" w:rsidRPr="007F6F77">
        <w:rPr>
          <w:rFonts w:eastAsia="標楷體" w:hint="eastAsia"/>
          <w:sz w:val="24"/>
          <w:szCs w:val="24"/>
        </w:rPr>
        <w:t>2</w:t>
      </w:r>
      <w:r w:rsidR="001F7BDB" w:rsidRPr="007F6F77">
        <w:rPr>
          <w:rFonts w:eastAsia="標楷體" w:hint="eastAsia"/>
          <w:sz w:val="24"/>
          <w:szCs w:val="24"/>
        </w:rPr>
        <w:t>:</w:t>
      </w:r>
      <w:r w:rsidR="008C284D" w:rsidRPr="007F6F77">
        <w:rPr>
          <w:rFonts w:eastAsia="標楷體" w:hint="eastAsia"/>
          <w:sz w:val="24"/>
          <w:szCs w:val="24"/>
        </w:rPr>
        <w:t>0</w:t>
      </w:r>
      <w:r w:rsidR="001F7BDB" w:rsidRPr="007F6F77">
        <w:rPr>
          <w:rFonts w:eastAsia="標楷體" w:hint="eastAsia"/>
          <w:sz w:val="24"/>
          <w:szCs w:val="24"/>
        </w:rPr>
        <w:t>0</w:t>
      </w:r>
      <w:r w:rsidRPr="007F6F77">
        <w:rPr>
          <w:rFonts w:eastAsia="標楷體" w:hint="eastAsia"/>
          <w:sz w:val="24"/>
          <w:szCs w:val="24"/>
        </w:rPr>
        <w:t xml:space="preserve"> p.m.</w:t>
      </w:r>
    </w:p>
    <w:p w:rsidR="00363599" w:rsidRPr="007F6F77" w:rsidRDefault="00363599" w:rsidP="00642463">
      <w:pPr>
        <w:spacing w:line="440" w:lineRule="exact"/>
        <w:ind w:left="745" w:hangingChars="310" w:hanging="745"/>
        <w:jc w:val="both"/>
        <w:textDirection w:val="lrTbV"/>
        <w:rPr>
          <w:rFonts w:eastAsia="標楷體"/>
          <w:sz w:val="24"/>
          <w:szCs w:val="24"/>
        </w:rPr>
      </w:pPr>
      <w:r w:rsidRPr="007F6F77">
        <w:rPr>
          <w:rFonts w:eastAsia="標楷體" w:hint="eastAsia"/>
          <w:b/>
          <w:sz w:val="24"/>
          <w:szCs w:val="24"/>
        </w:rPr>
        <w:t>Location:</w:t>
      </w:r>
      <w:r w:rsidRPr="007F6F77">
        <w:rPr>
          <w:rFonts w:eastAsia="標楷體" w:hint="eastAsia"/>
          <w:sz w:val="24"/>
          <w:szCs w:val="24"/>
        </w:rPr>
        <w:t xml:space="preserve"> Room A606, Main Building, </w:t>
      </w:r>
      <w:r w:rsidRPr="007F6F77">
        <w:rPr>
          <w:rFonts w:eastAsia="標楷體"/>
          <w:sz w:val="24"/>
          <w:szCs w:val="24"/>
        </w:rPr>
        <w:t>Central Bank of the R.O.C. (Taiwan)</w:t>
      </w:r>
    </w:p>
    <w:p w:rsidR="00363599" w:rsidRPr="007F6F77" w:rsidRDefault="00363599" w:rsidP="00642463">
      <w:pPr>
        <w:pStyle w:val="31"/>
        <w:spacing w:line="440" w:lineRule="exact"/>
        <w:textDirection w:val="lrTbV"/>
        <w:rPr>
          <w:rFonts w:eastAsia="標楷體"/>
          <w:sz w:val="24"/>
          <w:szCs w:val="24"/>
        </w:rPr>
      </w:pPr>
      <w:r w:rsidRPr="007F6F77">
        <w:rPr>
          <w:rFonts w:eastAsia="標楷體" w:hint="eastAsia"/>
          <w:b/>
          <w:sz w:val="24"/>
          <w:szCs w:val="24"/>
        </w:rPr>
        <w:t>Members Present:</w:t>
      </w:r>
      <w:r w:rsidRPr="007F6F77">
        <w:rPr>
          <w:rFonts w:eastAsia="標楷體" w:hint="eastAsia"/>
          <w:sz w:val="24"/>
          <w:szCs w:val="24"/>
        </w:rPr>
        <w:t xml:space="preserve"> </w:t>
      </w:r>
    </w:p>
    <w:p w:rsidR="00363599" w:rsidRPr="007F6F77" w:rsidRDefault="00363599" w:rsidP="00642463">
      <w:pPr>
        <w:pStyle w:val="31"/>
        <w:spacing w:line="440" w:lineRule="exact"/>
        <w:ind w:leftChars="200" w:left="400"/>
        <w:textDirection w:val="lrTbV"/>
        <w:rPr>
          <w:rFonts w:eastAsia="標楷體"/>
          <w:sz w:val="24"/>
          <w:szCs w:val="24"/>
        </w:rPr>
      </w:pPr>
      <w:r w:rsidRPr="007F6F77">
        <w:rPr>
          <w:rFonts w:eastAsia="標楷體" w:hint="eastAsia"/>
          <w:b/>
          <w:sz w:val="24"/>
          <w:szCs w:val="24"/>
        </w:rPr>
        <w:t>Chairman, Board of Directors</w:t>
      </w:r>
      <w:r w:rsidRPr="007F6F77">
        <w:rPr>
          <w:rFonts w:eastAsia="標楷體" w:hint="eastAsia"/>
          <w:sz w:val="24"/>
          <w:szCs w:val="24"/>
        </w:rPr>
        <w:t xml:space="preserve">: </w:t>
      </w:r>
      <w:r w:rsidR="008C284D" w:rsidRPr="007F6F77">
        <w:rPr>
          <w:rFonts w:eastAsia="標楷體"/>
          <w:sz w:val="24"/>
          <w:szCs w:val="24"/>
        </w:rPr>
        <w:t>Chin-long Yang</w:t>
      </w:r>
    </w:p>
    <w:p w:rsidR="008C284D" w:rsidRPr="004823B0" w:rsidRDefault="008C284D" w:rsidP="00642463">
      <w:pPr>
        <w:pStyle w:val="31"/>
        <w:spacing w:line="440" w:lineRule="exact"/>
        <w:ind w:leftChars="200" w:left="400"/>
        <w:textDirection w:val="lrTbV"/>
        <w:rPr>
          <w:rFonts w:eastAsia="標楷體"/>
          <w:sz w:val="24"/>
          <w:szCs w:val="24"/>
        </w:rPr>
      </w:pPr>
      <w:r w:rsidRPr="004823B0">
        <w:rPr>
          <w:rFonts w:eastAsia="標楷體" w:hint="eastAsia"/>
          <w:b/>
          <w:sz w:val="24"/>
          <w:szCs w:val="24"/>
        </w:rPr>
        <w:t>Executive Directors</w:t>
      </w:r>
      <w:r w:rsidRPr="004823B0">
        <w:rPr>
          <w:rFonts w:eastAsia="標楷體" w:hint="eastAsia"/>
          <w:sz w:val="24"/>
          <w:szCs w:val="24"/>
        </w:rPr>
        <w:t xml:space="preserve">: </w:t>
      </w:r>
    </w:p>
    <w:p w:rsidR="008C284D" w:rsidRPr="004823B0" w:rsidRDefault="008C284D" w:rsidP="00642463">
      <w:pPr>
        <w:pStyle w:val="31"/>
        <w:spacing w:line="440" w:lineRule="exact"/>
        <w:ind w:leftChars="200" w:left="400"/>
        <w:textDirection w:val="lrTbV"/>
        <w:rPr>
          <w:rFonts w:eastAsia="標楷體"/>
          <w:sz w:val="24"/>
          <w:szCs w:val="24"/>
        </w:rPr>
      </w:pPr>
      <w:r w:rsidRPr="004823B0">
        <w:rPr>
          <w:rFonts w:eastAsia="標楷體"/>
          <w:sz w:val="24"/>
          <w:szCs w:val="24"/>
        </w:rPr>
        <w:t>Jain-</w:t>
      </w:r>
      <w:proofErr w:type="spellStart"/>
      <w:r w:rsidRPr="004823B0">
        <w:rPr>
          <w:rFonts w:eastAsia="標楷體"/>
          <w:sz w:val="24"/>
          <w:szCs w:val="24"/>
        </w:rPr>
        <w:t>Rong</w:t>
      </w:r>
      <w:proofErr w:type="spellEnd"/>
      <w:r w:rsidRPr="004823B0">
        <w:rPr>
          <w:rFonts w:eastAsia="標楷體"/>
          <w:sz w:val="24"/>
          <w:szCs w:val="24"/>
        </w:rPr>
        <w:t xml:space="preserve"> Su,</w:t>
      </w:r>
      <w:r w:rsidRPr="004823B0">
        <w:rPr>
          <w:rFonts w:eastAsia="標楷體" w:hint="eastAsia"/>
          <w:sz w:val="24"/>
          <w:szCs w:val="24"/>
        </w:rPr>
        <w:t xml:space="preserve"> </w:t>
      </w:r>
      <w:r w:rsidRPr="004823B0">
        <w:rPr>
          <w:rFonts w:eastAsia="標楷體"/>
          <w:sz w:val="24"/>
          <w:szCs w:val="24"/>
        </w:rPr>
        <w:t>Jong-</w:t>
      </w:r>
      <w:r w:rsidRPr="004823B0">
        <w:rPr>
          <w:rFonts w:eastAsia="標楷體" w:hint="eastAsia"/>
          <w:sz w:val="24"/>
          <w:szCs w:val="24"/>
        </w:rPr>
        <w:t>c</w:t>
      </w:r>
      <w:r w:rsidRPr="004823B0">
        <w:rPr>
          <w:rFonts w:eastAsia="標楷體"/>
          <w:sz w:val="24"/>
          <w:szCs w:val="24"/>
        </w:rPr>
        <w:t>hin Shen</w:t>
      </w:r>
      <w:r w:rsidRPr="004823B0">
        <w:rPr>
          <w:rFonts w:eastAsia="標楷體" w:hint="eastAsia"/>
          <w:sz w:val="24"/>
          <w:szCs w:val="24"/>
        </w:rPr>
        <w:t xml:space="preserve">, </w:t>
      </w:r>
      <w:proofErr w:type="spellStart"/>
      <w:r w:rsidRPr="004823B0">
        <w:rPr>
          <w:rFonts w:eastAsia="標楷體" w:hint="eastAsia"/>
          <w:sz w:val="24"/>
          <w:szCs w:val="24"/>
        </w:rPr>
        <w:t>Tzung</w:t>
      </w:r>
      <w:proofErr w:type="spellEnd"/>
      <w:r w:rsidRPr="004823B0">
        <w:rPr>
          <w:rFonts w:eastAsia="標楷體" w:hint="eastAsia"/>
          <w:sz w:val="24"/>
          <w:szCs w:val="24"/>
        </w:rPr>
        <w:t>-ta Yen, Nan-</w:t>
      </w:r>
      <w:proofErr w:type="spellStart"/>
      <w:r w:rsidRPr="004823B0">
        <w:rPr>
          <w:rFonts w:eastAsia="標楷體" w:hint="eastAsia"/>
          <w:sz w:val="24"/>
          <w:szCs w:val="24"/>
        </w:rPr>
        <w:t>kuang</w:t>
      </w:r>
      <w:proofErr w:type="spellEnd"/>
      <w:r w:rsidRPr="004823B0">
        <w:rPr>
          <w:rFonts w:eastAsia="標楷體" w:hint="eastAsia"/>
          <w:sz w:val="24"/>
          <w:szCs w:val="24"/>
        </w:rPr>
        <w:t xml:space="preserve"> Chen, Ming-</w:t>
      </w:r>
      <w:proofErr w:type="spellStart"/>
      <w:r w:rsidRPr="004823B0">
        <w:rPr>
          <w:rFonts w:eastAsia="標楷體" w:hint="eastAsia"/>
          <w:sz w:val="24"/>
          <w:szCs w:val="24"/>
        </w:rPr>
        <w:t>yih</w:t>
      </w:r>
      <w:proofErr w:type="spellEnd"/>
      <w:r w:rsidRPr="004823B0">
        <w:rPr>
          <w:rFonts w:eastAsia="標楷體" w:hint="eastAsia"/>
          <w:sz w:val="24"/>
          <w:szCs w:val="24"/>
        </w:rPr>
        <w:t xml:space="preserve"> Liang </w:t>
      </w:r>
    </w:p>
    <w:p w:rsidR="008C284D" w:rsidRPr="004823B0" w:rsidRDefault="008C284D" w:rsidP="00642463">
      <w:pPr>
        <w:spacing w:line="440" w:lineRule="exact"/>
        <w:ind w:leftChars="200" w:left="400" w:rightChars="5" w:right="10"/>
        <w:textDirection w:val="lrTbV"/>
        <w:rPr>
          <w:rFonts w:eastAsia="標楷體"/>
          <w:sz w:val="24"/>
          <w:szCs w:val="24"/>
        </w:rPr>
      </w:pPr>
      <w:r w:rsidRPr="004823B0">
        <w:rPr>
          <w:rFonts w:eastAsia="標楷體" w:hint="eastAsia"/>
          <w:b/>
          <w:sz w:val="24"/>
          <w:szCs w:val="24"/>
        </w:rPr>
        <w:t>Directors</w:t>
      </w:r>
      <w:r w:rsidRPr="004823B0">
        <w:rPr>
          <w:rFonts w:eastAsia="標楷體" w:hint="eastAsia"/>
          <w:sz w:val="24"/>
          <w:szCs w:val="24"/>
        </w:rPr>
        <w:t xml:space="preserve">: </w:t>
      </w:r>
    </w:p>
    <w:p w:rsidR="004823B0" w:rsidRPr="004823B0" w:rsidRDefault="004823B0" w:rsidP="004823B0">
      <w:pPr>
        <w:spacing w:line="440" w:lineRule="exact"/>
        <w:ind w:leftChars="200" w:left="400" w:rightChars="5" w:right="10"/>
        <w:textDirection w:val="lrTbV"/>
        <w:rPr>
          <w:rFonts w:eastAsia="標楷體"/>
          <w:sz w:val="24"/>
          <w:szCs w:val="24"/>
        </w:rPr>
      </w:pPr>
      <w:r w:rsidRPr="004823B0">
        <w:rPr>
          <w:rFonts w:eastAsia="標楷體"/>
          <w:sz w:val="24"/>
          <w:szCs w:val="24"/>
        </w:rPr>
        <w:t>Chung-</w:t>
      </w:r>
      <w:proofErr w:type="spellStart"/>
      <w:r w:rsidRPr="004823B0">
        <w:rPr>
          <w:rFonts w:eastAsia="標楷體"/>
          <w:sz w:val="24"/>
          <w:szCs w:val="24"/>
        </w:rPr>
        <w:t>dar</w:t>
      </w:r>
      <w:proofErr w:type="spellEnd"/>
      <w:r w:rsidRPr="004823B0">
        <w:rPr>
          <w:rFonts w:eastAsia="標楷體"/>
          <w:sz w:val="24"/>
          <w:szCs w:val="24"/>
        </w:rPr>
        <w:t xml:space="preserve"> Lei,</w:t>
      </w:r>
      <w:r w:rsidRPr="004823B0">
        <w:rPr>
          <w:rFonts w:eastAsia="標楷體" w:hint="eastAsia"/>
          <w:sz w:val="24"/>
          <w:szCs w:val="24"/>
        </w:rPr>
        <w:t xml:space="preserve"> </w:t>
      </w:r>
      <w:proofErr w:type="spellStart"/>
      <w:r w:rsidRPr="004823B0">
        <w:rPr>
          <w:rFonts w:eastAsia="標楷體" w:hint="eastAsia"/>
          <w:sz w:val="24"/>
          <w:szCs w:val="24"/>
        </w:rPr>
        <w:t>Jin</w:t>
      </w:r>
      <w:proofErr w:type="spellEnd"/>
      <w:r w:rsidRPr="004823B0">
        <w:rPr>
          <w:rFonts w:eastAsia="標楷體" w:hint="eastAsia"/>
          <w:sz w:val="24"/>
          <w:szCs w:val="24"/>
        </w:rPr>
        <w:t xml:space="preserve">-lung Lin, Mei-lie Chu, </w:t>
      </w:r>
      <w:r w:rsidRPr="004823B0">
        <w:rPr>
          <w:rFonts w:eastAsia="標楷體"/>
          <w:sz w:val="24"/>
          <w:szCs w:val="24"/>
        </w:rPr>
        <w:t>Chao-</w:t>
      </w:r>
      <w:proofErr w:type="spellStart"/>
      <w:r w:rsidRPr="004823B0">
        <w:rPr>
          <w:rFonts w:eastAsia="標楷體"/>
          <w:sz w:val="24"/>
          <w:szCs w:val="24"/>
        </w:rPr>
        <w:t>hsi</w:t>
      </w:r>
      <w:proofErr w:type="spellEnd"/>
      <w:r w:rsidRPr="004823B0">
        <w:rPr>
          <w:rFonts w:eastAsia="標楷體"/>
          <w:sz w:val="24"/>
          <w:szCs w:val="24"/>
        </w:rPr>
        <w:t xml:space="preserve"> Huang, </w:t>
      </w:r>
      <w:proofErr w:type="spellStart"/>
      <w:r w:rsidRPr="004823B0">
        <w:rPr>
          <w:rFonts w:eastAsia="標楷體"/>
          <w:sz w:val="24"/>
          <w:szCs w:val="24"/>
        </w:rPr>
        <w:t>Bih</w:t>
      </w:r>
      <w:proofErr w:type="spellEnd"/>
      <w:r w:rsidRPr="004823B0">
        <w:rPr>
          <w:rFonts w:eastAsia="標楷體"/>
          <w:sz w:val="24"/>
          <w:szCs w:val="24"/>
        </w:rPr>
        <w:t xml:space="preserve">-jane Liu, </w:t>
      </w:r>
      <w:proofErr w:type="spellStart"/>
      <w:r w:rsidRPr="004823B0">
        <w:rPr>
          <w:rFonts w:eastAsia="標楷體"/>
          <w:sz w:val="24"/>
          <w:szCs w:val="24"/>
        </w:rPr>
        <w:t>Shiu</w:t>
      </w:r>
      <w:proofErr w:type="spellEnd"/>
      <w:r w:rsidRPr="004823B0">
        <w:rPr>
          <w:rFonts w:eastAsia="標楷體"/>
          <w:sz w:val="24"/>
          <w:szCs w:val="24"/>
        </w:rPr>
        <w:t xml:space="preserve">-sheng Chen, </w:t>
      </w:r>
      <w:proofErr w:type="spellStart"/>
      <w:r w:rsidRPr="004823B0">
        <w:rPr>
          <w:rFonts w:eastAsia="標楷體"/>
          <w:sz w:val="24"/>
          <w:szCs w:val="24"/>
        </w:rPr>
        <w:t>Hsin-hong</w:t>
      </w:r>
      <w:proofErr w:type="spellEnd"/>
      <w:r w:rsidRPr="004823B0">
        <w:rPr>
          <w:rFonts w:eastAsia="標楷體"/>
          <w:sz w:val="24"/>
          <w:szCs w:val="24"/>
        </w:rPr>
        <w:t xml:space="preserve"> Kang</w:t>
      </w:r>
      <w:r w:rsidR="008C284D" w:rsidRPr="004823B0">
        <w:rPr>
          <w:rFonts w:eastAsia="標楷體" w:hint="eastAsia"/>
          <w:sz w:val="24"/>
          <w:szCs w:val="24"/>
        </w:rPr>
        <w:t xml:space="preserve"> </w:t>
      </w:r>
    </w:p>
    <w:p w:rsidR="008C284D" w:rsidRPr="004823B0" w:rsidRDefault="004823B0" w:rsidP="00642463">
      <w:pPr>
        <w:spacing w:line="440" w:lineRule="exact"/>
        <w:ind w:leftChars="200" w:left="400" w:rightChars="5" w:right="10"/>
        <w:textDirection w:val="lrTbV"/>
        <w:rPr>
          <w:rFonts w:eastAsia="標楷體"/>
          <w:sz w:val="24"/>
          <w:szCs w:val="24"/>
        </w:rPr>
      </w:pPr>
      <w:r w:rsidRPr="004823B0">
        <w:rPr>
          <w:rFonts w:eastAsia="標楷體" w:hint="eastAsia"/>
          <w:sz w:val="24"/>
          <w:szCs w:val="24"/>
        </w:rPr>
        <w:t xml:space="preserve">Excused: </w:t>
      </w:r>
      <w:r w:rsidRPr="004823B0">
        <w:rPr>
          <w:rFonts w:eastAsia="標楷體"/>
          <w:sz w:val="24"/>
          <w:szCs w:val="24"/>
        </w:rPr>
        <w:t>Chi-</w:t>
      </w:r>
      <w:proofErr w:type="spellStart"/>
      <w:r w:rsidRPr="004823B0">
        <w:rPr>
          <w:rFonts w:eastAsia="標楷體"/>
          <w:sz w:val="24"/>
          <w:szCs w:val="24"/>
        </w:rPr>
        <w:t>chung</w:t>
      </w:r>
      <w:proofErr w:type="spellEnd"/>
      <w:r w:rsidRPr="004823B0">
        <w:rPr>
          <w:rFonts w:eastAsia="標楷體"/>
          <w:sz w:val="24"/>
          <w:szCs w:val="24"/>
        </w:rPr>
        <w:t xml:space="preserve"> Chen</w:t>
      </w:r>
      <w:r w:rsidRPr="004823B0">
        <w:rPr>
          <w:rFonts w:eastAsia="標楷體" w:hint="eastAsia"/>
          <w:sz w:val="24"/>
          <w:szCs w:val="24"/>
        </w:rPr>
        <w:t xml:space="preserve"> (</w:t>
      </w:r>
      <w:r w:rsidRPr="004823B0">
        <w:rPr>
          <w:rFonts w:eastAsia="標楷體"/>
          <w:sz w:val="24"/>
          <w:szCs w:val="24"/>
        </w:rPr>
        <w:t xml:space="preserve">appointing </w:t>
      </w:r>
      <w:proofErr w:type="spellStart"/>
      <w:r w:rsidRPr="004823B0">
        <w:rPr>
          <w:rFonts w:eastAsia="標楷體"/>
          <w:sz w:val="24"/>
          <w:szCs w:val="24"/>
        </w:rPr>
        <w:t>T</w:t>
      </w:r>
      <w:r w:rsidRPr="004823B0">
        <w:rPr>
          <w:rFonts w:eastAsia="標楷體" w:hint="eastAsia"/>
          <w:sz w:val="24"/>
          <w:szCs w:val="24"/>
        </w:rPr>
        <w:t>z</w:t>
      </w:r>
      <w:r w:rsidRPr="004823B0">
        <w:rPr>
          <w:rFonts w:eastAsia="標楷體"/>
          <w:sz w:val="24"/>
          <w:szCs w:val="24"/>
        </w:rPr>
        <w:t>ung</w:t>
      </w:r>
      <w:proofErr w:type="spellEnd"/>
      <w:r w:rsidRPr="004823B0">
        <w:rPr>
          <w:rFonts w:eastAsia="標楷體"/>
          <w:sz w:val="24"/>
          <w:szCs w:val="24"/>
        </w:rPr>
        <w:t>-ta Yen as proxy)</w:t>
      </w:r>
    </w:p>
    <w:p w:rsidR="004823B0" w:rsidRPr="004823B0" w:rsidRDefault="004823B0" w:rsidP="004823B0">
      <w:pPr>
        <w:spacing w:line="440" w:lineRule="exact"/>
        <w:ind w:leftChars="200" w:left="400" w:rightChars="5" w:right="10"/>
        <w:textDirection w:val="lrTbV"/>
        <w:rPr>
          <w:rFonts w:eastAsia="標楷體"/>
          <w:sz w:val="24"/>
          <w:szCs w:val="24"/>
        </w:rPr>
      </w:pPr>
      <w:r w:rsidRPr="004823B0">
        <w:rPr>
          <w:rFonts w:eastAsia="標楷體" w:hint="eastAsia"/>
          <w:sz w:val="24"/>
          <w:szCs w:val="24"/>
        </w:rPr>
        <w:tab/>
      </w:r>
      <w:r w:rsidRPr="004823B0">
        <w:rPr>
          <w:rFonts w:eastAsia="標楷體" w:hint="eastAsia"/>
          <w:sz w:val="24"/>
          <w:szCs w:val="24"/>
        </w:rPr>
        <w:tab/>
        <w:t xml:space="preserve">  </w:t>
      </w:r>
      <w:r w:rsidRPr="004823B0">
        <w:rPr>
          <w:rFonts w:eastAsia="標楷體"/>
          <w:sz w:val="24"/>
          <w:szCs w:val="24"/>
        </w:rPr>
        <w:t>Chen-chia Lee</w:t>
      </w:r>
      <w:r w:rsidRPr="004823B0">
        <w:rPr>
          <w:rFonts w:eastAsia="標楷體" w:hint="eastAsia"/>
          <w:sz w:val="24"/>
          <w:szCs w:val="24"/>
        </w:rPr>
        <w:t xml:space="preserve"> (</w:t>
      </w:r>
      <w:r w:rsidRPr="004823B0">
        <w:rPr>
          <w:rFonts w:eastAsia="標楷體"/>
          <w:sz w:val="24"/>
          <w:szCs w:val="24"/>
        </w:rPr>
        <w:t>appointing</w:t>
      </w:r>
      <w:r w:rsidRPr="004823B0">
        <w:rPr>
          <w:rFonts w:eastAsia="標楷體" w:hint="eastAsia"/>
          <w:sz w:val="24"/>
          <w:szCs w:val="24"/>
        </w:rPr>
        <w:t xml:space="preserve"> Nan-</w:t>
      </w:r>
      <w:proofErr w:type="spellStart"/>
      <w:r w:rsidRPr="004823B0">
        <w:rPr>
          <w:rFonts w:eastAsia="標楷體" w:hint="eastAsia"/>
          <w:sz w:val="24"/>
          <w:szCs w:val="24"/>
        </w:rPr>
        <w:t>kuang</w:t>
      </w:r>
      <w:proofErr w:type="spellEnd"/>
      <w:r w:rsidRPr="004823B0">
        <w:rPr>
          <w:rFonts w:eastAsia="標楷體" w:hint="eastAsia"/>
          <w:sz w:val="24"/>
          <w:szCs w:val="24"/>
        </w:rPr>
        <w:t xml:space="preserve"> Chen</w:t>
      </w:r>
      <w:r w:rsidRPr="004823B0">
        <w:rPr>
          <w:rFonts w:eastAsia="標楷體"/>
          <w:sz w:val="24"/>
          <w:szCs w:val="24"/>
        </w:rPr>
        <w:t xml:space="preserve"> as proxy)</w:t>
      </w:r>
    </w:p>
    <w:p w:rsidR="008C284D" w:rsidRPr="004823B0" w:rsidRDefault="008C284D" w:rsidP="00642463">
      <w:pPr>
        <w:spacing w:line="440" w:lineRule="exact"/>
        <w:ind w:leftChars="200" w:left="400" w:rightChars="5" w:right="10"/>
        <w:textDirection w:val="lrTbV"/>
        <w:rPr>
          <w:rFonts w:eastAsia="標楷體"/>
          <w:sz w:val="24"/>
          <w:szCs w:val="24"/>
        </w:rPr>
      </w:pPr>
      <w:r w:rsidRPr="004823B0">
        <w:rPr>
          <w:rFonts w:eastAsia="標楷體" w:hint="eastAsia"/>
          <w:b/>
          <w:sz w:val="24"/>
          <w:szCs w:val="24"/>
        </w:rPr>
        <w:t>Chairman, Board of Supervisors</w:t>
      </w:r>
      <w:r w:rsidRPr="004823B0">
        <w:rPr>
          <w:rFonts w:eastAsia="標楷體" w:hint="eastAsia"/>
          <w:sz w:val="24"/>
          <w:szCs w:val="24"/>
        </w:rPr>
        <w:t xml:space="preserve">: </w:t>
      </w:r>
      <w:proofErr w:type="spellStart"/>
      <w:r w:rsidRPr="004823B0">
        <w:rPr>
          <w:rFonts w:eastAsia="標楷體" w:hint="eastAsia"/>
          <w:sz w:val="24"/>
          <w:szCs w:val="24"/>
        </w:rPr>
        <w:t>Tzer-ming</w:t>
      </w:r>
      <w:proofErr w:type="spellEnd"/>
      <w:r w:rsidRPr="004823B0">
        <w:rPr>
          <w:rFonts w:eastAsia="標楷體" w:hint="eastAsia"/>
          <w:sz w:val="24"/>
          <w:szCs w:val="24"/>
        </w:rPr>
        <w:t xml:space="preserve"> Chu</w:t>
      </w:r>
    </w:p>
    <w:p w:rsidR="008C284D" w:rsidRPr="004823B0" w:rsidRDefault="008C284D" w:rsidP="00642463">
      <w:pPr>
        <w:spacing w:line="440" w:lineRule="exact"/>
        <w:ind w:leftChars="200" w:left="400" w:rightChars="5" w:right="10"/>
        <w:jc w:val="both"/>
        <w:textDirection w:val="lrTbV"/>
        <w:rPr>
          <w:rFonts w:eastAsia="標楷體"/>
          <w:sz w:val="24"/>
          <w:szCs w:val="24"/>
        </w:rPr>
      </w:pPr>
      <w:r w:rsidRPr="004823B0">
        <w:rPr>
          <w:rFonts w:eastAsia="標楷體" w:hint="eastAsia"/>
          <w:b/>
          <w:sz w:val="24"/>
          <w:szCs w:val="24"/>
        </w:rPr>
        <w:t>Supervisors</w:t>
      </w:r>
      <w:r w:rsidRPr="004823B0">
        <w:rPr>
          <w:rFonts w:eastAsia="標楷體" w:hint="eastAsia"/>
          <w:sz w:val="24"/>
          <w:szCs w:val="24"/>
        </w:rPr>
        <w:t xml:space="preserve">: </w:t>
      </w:r>
      <w:r w:rsidR="00A8052C" w:rsidRPr="004823B0">
        <w:rPr>
          <w:rFonts w:eastAsia="標楷體" w:hint="eastAsia"/>
          <w:sz w:val="24"/>
          <w:szCs w:val="24"/>
        </w:rPr>
        <w:t>Ching-fan Chung, Sheng-</w:t>
      </w:r>
      <w:proofErr w:type="spellStart"/>
      <w:r w:rsidR="00A8052C" w:rsidRPr="004823B0">
        <w:rPr>
          <w:rFonts w:eastAsia="標楷體" w:hint="eastAsia"/>
          <w:sz w:val="24"/>
          <w:szCs w:val="24"/>
        </w:rPr>
        <w:t>yao</w:t>
      </w:r>
      <w:proofErr w:type="spellEnd"/>
      <w:r w:rsidR="00A8052C" w:rsidRPr="004823B0">
        <w:rPr>
          <w:rFonts w:eastAsia="標楷體" w:hint="eastAsia"/>
          <w:sz w:val="24"/>
          <w:szCs w:val="24"/>
        </w:rPr>
        <w:t xml:space="preserve"> Lin, </w:t>
      </w:r>
      <w:r w:rsidR="00A8052C" w:rsidRPr="004823B0">
        <w:rPr>
          <w:rFonts w:eastAsia="標楷體"/>
          <w:sz w:val="24"/>
          <w:szCs w:val="24"/>
        </w:rPr>
        <w:t>Tien-</w:t>
      </w:r>
      <w:proofErr w:type="spellStart"/>
      <w:r w:rsidR="00A8052C" w:rsidRPr="004823B0">
        <w:rPr>
          <w:rFonts w:eastAsia="標楷體" w:hint="eastAsia"/>
          <w:sz w:val="24"/>
          <w:szCs w:val="24"/>
        </w:rPr>
        <w:t>w</w:t>
      </w:r>
      <w:r w:rsidR="00A8052C" w:rsidRPr="004823B0">
        <w:rPr>
          <w:rFonts w:eastAsia="標楷體"/>
          <w:sz w:val="24"/>
          <w:szCs w:val="24"/>
        </w:rPr>
        <w:t>ang</w:t>
      </w:r>
      <w:proofErr w:type="spellEnd"/>
      <w:r w:rsidR="00A8052C" w:rsidRPr="004823B0">
        <w:rPr>
          <w:rFonts w:eastAsia="標楷體"/>
          <w:sz w:val="24"/>
          <w:szCs w:val="24"/>
        </w:rPr>
        <w:t xml:space="preserve"> </w:t>
      </w:r>
      <w:proofErr w:type="spellStart"/>
      <w:r w:rsidR="00A8052C" w:rsidRPr="004823B0">
        <w:rPr>
          <w:rFonts w:eastAsia="標楷體"/>
          <w:sz w:val="24"/>
          <w:szCs w:val="24"/>
        </w:rPr>
        <w:t>Tsaur</w:t>
      </w:r>
      <w:proofErr w:type="spellEnd"/>
      <w:r w:rsidR="00A8052C" w:rsidRPr="004823B0">
        <w:rPr>
          <w:rFonts w:eastAsia="標楷體" w:hint="eastAsia"/>
          <w:sz w:val="24"/>
          <w:szCs w:val="24"/>
        </w:rPr>
        <w:t xml:space="preserve">, </w:t>
      </w:r>
      <w:proofErr w:type="spellStart"/>
      <w:r w:rsidR="00A8052C" w:rsidRPr="004823B0">
        <w:rPr>
          <w:rFonts w:eastAsia="標楷體"/>
          <w:sz w:val="24"/>
          <w:szCs w:val="24"/>
        </w:rPr>
        <w:t>Kuei</w:t>
      </w:r>
      <w:proofErr w:type="spellEnd"/>
      <w:r w:rsidR="00A8052C" w:rsidRPr="004823B0">
        <w:rPr>
          <w:rFonts w:eastAsia="標楷體"/>
          <w:sz w:val="24"/>
          <w:szCs w:val="24"/>
        </w:rPr>
        <w:t>-</w:t>
      </w:r>
      <w:r w:rsidR="00A8052C" w:rsidRPr="004823B0">
        <w:rPr>
          <w:rFonts w:eastAsia="標楷體" w:hint="eastAsia"/>
          <w:sz w:val="24"/>
          <w:szCs w:val="24"/>
        </w:rPr>
        <w:t>h</w:t>
      </w:r>
      <w:r w:rsidR="00A8052C" w:rsidRPr="004823B0">
        <w:rPr>
          <w:rFonts w:eastAsia="標楷體"/>
          <w:sz w:val="24"/>
          <w:szCs w:val="24"/>
        </w:rPr>
        <w:t>ui Cheng</w:t>
      </w:r>
      <w:r w:rsidRPr="004823B0">
        <w:rPr>
          <w:rFonts w:eastAsia="標楷體" w:hint="eastAsia"/>
          <w:sz w:val="24"/>
          <w:szCs w:val="24"/>
        </w:rPr>
        <w:t xml:space="preserve"> </w:t>
      </w:r>
    </w:p>
    <w:p w:rsidR="00363599" w:rsidRPr="004823B0" w:rsidRDefault="00363599" w:rsidP="00642463">
      <w:pPr>
        <w:pStyle w:val="31"/>
        <w:spacing w:line="440" w:lineRule="exact"/>
        <w:textDirection w:val="lrTbV"/>
        <w:rPr>
          <w:rFonts w:eastAsia="標楷體"/>
          <w:sz w:val="24"/>
          <w:szCs w:val="24"/>
        </w:rPr>
      </w:pPr>
      <w:r w:rsidRPr="004823B0">
        <w:rPr>
          <w:rFonts w:eastAsia="標楷體" w:hint="eastAsia"/>
          <w:b/>
          <w:sz w:val="24"/>
          <w:szCs w:val="24"/>
        </w:rPr>
        <w:t xml:space="preserve">Staff Present: </w:t>
      </w:r>
    </w:p>
    <w:p w:rsidR="00363599" w:rsidRPr="004823B0" w:rsidRDefault="00363599" w:rsidP="00642463">
      <w:pPr>
        <w:pStyle w:val="31"/>
        <w:spacing w:line="440" w:lineRule="exact"/>
        <w:ind w:leftChars="200" w:left="400"/>
        <w:textDirection w:val="lrTbV"/>
        <w:rPr>
          <w:rFonts w:eastAsia="標楷體"/>
          <w:sz w:val="24"/>
          <w:szCs w:val="24"/>
        </w:rPr>
      </w:pPr>
      <w:r w:rsidRPr="004823B0">
        <w:rPr>
          <w:rFonts w:eastAsia="標楷體"/>
          <w:sz w:val="24"/>
          <w:szCs w:val="24"/>
        </w:rPr>
        <w:t>E-</w:t>
      </w:r>
      <w:r w:rsidRPr="004823B0">
        <w:rPr>
          <w:rFonts w:eastAsia="標楷體" w:hint="eastAsia"/>
          <w:sz w:val="24"/>
          <w:szCs w:val="24"/>
        </w:rPr>
        <w:t>d</w:t>
      </w:r>
      <w:r w:rsidRPr="004823B0">
        <w:rPr>
          <w:rFonts w:eastAsia="標楷體"/>
          <w:sz w:val="24"/>
          <w:szCs w:val="24"/>
        </w:rPr>
        <w:t>awn Chen</w:t>
      </w:r>
      <w:r w:rsidRPr="004823B0">
        <w:rPr>
          <w:rFonts w:eastAsia="標楷體" w:hint="eastAsia"/>
          <w:sz w:val="24"/>
          <w:szCs w:val="24"/>
        </w:rPr>
        <w:t>,</w:t>
      </w:r>
      <w:r w:rsidRPr="004823B0">
        <w:rPr>
          <w:rFonts w:eastAsia="標楷體"/>
          <w:sz w:val="24"/>
          <w:szCs w:val="24"/>
        </w:rPr>
        <w:t xml:space="preserve"> Director General</w:t>
      </w:r>
      <w:r w:rsidRPr="004823B0">
        <w:rPr>
          <w:rFonts w:eastAsia="標楷體" w:hint="eastAsia"/>
          <w:sz w:val="24"/>
          <w:szCs w:val="24"/>
        </w:rPr>
        <w:t>,</w:t>
      </w:r>
      <w:r w:rsidRPr="004823B0">
        <w:rPr>
          <w:rFonts w:eastAsia="標楷體"/>
          <w:sz w:val="24"/>
          <w:szCs w:val="24"/>
        </w:rPr>
        <w:t xml:space="preserve"> Department of Banking</w:t>
      </w:r>
    </w:p>
    <w:p w:rsidR="00363599" w:rsidRPr="004823B0" w:rsidRDefault="00363599" w:rsidP="00642463">
      <w:pPr>
        <w:pStyle w:val="31"/>
        <w:spacing w:line="440" w:lineRule="exact"/>
        <w:ind w:leftChars="200" w:left="400"/>
        <w:textDirection w:val="lrTbV"/>
        <w:rPr>
          <w:rFonts w:eastAsia="標楷體"/>
          <w:sz w:val="24"/>
          <w:szCs w:val="24"/>
        </w:rPr>
      </w:pPr>
      <w:r w:rsidRPr="004823B0">
        <w:rPr>
          <w:rFonts w:eastAsia="標楷體"/>
          <w:sz w:val="24"/>
          <w:szCs w:val="24"/>
        </w:rPr>
        <w:t>James T.H. Shih</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w:t>
      </w:r>
      <w:r w:rsidR="006F25E5" w:rsidRPr="004823B0">
        <w:rPr>
          <w:rFonts w:eastAsia="標楷體" w:hint="eastAsia"/>
          <w:sz w:val="24"/>
          <w:szCs w:val="24"/>
        </w:rPr>
        <w:t xml:space="preserve"> </w:t>
      </w:r>
      <w:r w:rsidRPr="004823B0">
        <w:rPr>
          <w:rFonts w:eastAsia="標楷體"/>
          <w:sz w:val="24"/>
          <w:szCs w:val="24"/>
        </w:rPr>
        <w:t xml:space="preserve">Department of Issuing </w:t>
      </w:r>
    </w:p>
    <w:p w:rsidR="00363599" w:rsidRPr="004823B0" w:rsidRDefault="00363599" w:rsidP="00642463">
      <w:pPr>
        <w:pStyle w:val="31"/>
        <w:spacing w:line="440" w:lineRule="exact"/>
        <w:ind w:leftChars="200" w:left="400"/>
        <w:textDirection w:val="lrTbV"/>
        <w:rPr>
          <w:rFonts w:eastAsia="標楷體"/>
          <w:sz w:val="24"/>
          <w:szCs w:val="24"/>
        </w:rPr>
      </w:pPr>
      <w:r w:rsidRPr="004823B0">
        <w:rPr>
          <w:rFonts w:eastAsia="標楷體"/>
          <w:sz w:val="24"/>
          <w:szCs w:val="24"/>
        </w:rPr>
        <w:t>Hui-</w:t>
      </w:r>
      <w:proofErr w:type="spellStart"/>
      <w:r w:rsidRPr="004823B0">
        <w:rPr>
          <w:rFonts w:eastAsia="標楷體" w:hint="eastAsia"/>
          <w:sz w:val="24"/>
          <w:szCs w:val="24"/>
        </w:rPr>
        <w:t>h</w:t>
      </w:r>
      <w:r w:rsidRPr="004823B0">
        <w:rPr>
          <w:rFonts w:eastAsia="標楷體"/>
          <w:sz w:val="24"/>
          <w:szCs w:val="24"/>
        </w:rPr>
        <w:t>uang</w:t>
      </w:r>
      <w:proofErr w:type="spellEnd"/>
      <w:r w:rsidRPr="004823B0">
        <w:rPr>
          <w:rFonts w:eastAsia="標楷體"/>
          <w:sz w:val="24"/>
          <w:szCs w:val="24"/>
        </w:rPr>
        <w:t xml:space="preserve"> Yen</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w:t>
      </w:r>
      <w:r w:rsidRPr="004823B0">
        <w:rPr>
          <w:rFonts w:eastAsia="標楷體"/>
          <w:sz w:val="24"/>
          <w:szCs w:val="24"/>
        </w:rPr>
        <w:t xml:space="preserve"> Department of Foreign</w:t>
      </w:r>
      <w:r w:rsidRPr="004823B0">
        <w:rPr>
          <w:rFonts w:eastAsia="標楷體" w:hint="eastAsia"/>
          <w:sz w:val="24"/>
          <w:szCs w:val="24"/>
        </w:rPr>
        <w:t xml:space="preserve"> </w:t>
      </w:r>
      <w:r w:rsidRPr="004823B0">
        <w:rPr>
          <w:rFonts w:eastAsia="標楷體"/>
          <w:sz w:val="24"/>
          <w:szCs w:val="24"/>
        </w:rPr>
        <w:t>Exchange</w:t>
      </w:r>
    </w:p>
    <w:p w:rsidR="00363599" w:rsidRPr="004823B0" w:rsidRDefault="0017066F" w:rsidP="00A32D1B">
      <w:pPr>
        <w:pStyle w:val="31"/>
        <w:spacing w:line="440" w:lineRule="exact"/>
        <w:ind w:leftChars="200" w:left="400"/>
        <w:textDirection w:val="lrTbV"/>
        <w:rPr>
          <w:rFonts w:eastAsia="標楷體"/>
          <w:sz w:val="24"/>
          <w:szCs w:val="24"/>
        </w:rPr>
      </w:pPr>
      <w:r w:rsidRPr="004823B0">
        <w:rPr>
          <w:rFonts w:eastAsia="標楷體"/>
          <w:sz w:val="24"/>
          <w:szCs w:val="24"/>
        </w:rPr>
        <w:t>Ling-</w:t>
      </w:r>
      <w:proofErr w:type="spellStart"/>
      <w:r w:rsidRPr="004823B0">
        <w:rPr>
          <w:rFonts w:eastAsia="標楷體"/>
          <w:sz w:val="24"/>
          <w:szCs w:val="24"/>
        </w:rPr>
        <w:t>chyun</w:t>
      </w:r>
      <w:proofErr w:type="spellEnd"/>
      <w:r w:rsidRPr="004823B0">
        <w:rPr>
          <w:rFonts w:eastAsia="標楷體"/>
          <w:sz w:val="24"/>
          <w:szCs w:val="24"/>
        </w:rPr>
        <w:t xml:space="preserve"> </w:t>
      </w:r>
      <w:proofErr w:type="spellStart"/>
      <w:proofErr w:type="gramStart"/>
      <w:r w:rsidRPr="004823B0">
        <w:rPr>
          <w:rFonts w:eastAsia="標楷體"/>
          <w:sz w:val="24"/>
          <w:szCs w:val="24"/>
        </w:rPr>
        <w:t>Ko</w:t>
      </w:r>
      <w:proofErr w:type="spellEnd"/>
      <w:proofErr w:type="gramEnd"/>
      <w:r w:rsidR="00A32D1B" w:rsidRPr="004823B0">
        <w:rPr>
          <w:rFonts w:eastAsia="標楷體" w:hint="eastAsia"/>
          <w:sz w:val="24"/>
          <w:szCs w:val="24"/>
        </w:rPr>
        <w:t xml:space="preserve">, Deputy Director General, </w:t>
      </w:r>
      <w:r w:rsidR="00363599" w:rsidRPr="004823B0">
        <w:rPr>
          <w:rFonts w:eastAsia="標楷體"/>
          <w:sz w:val="24"/>
          <w:szCs w:val="24"/>
        </w:rPr>
        <w:t>Department of the Treasury</w:t>
      </w:r>
    </w:p>
    <w:p w:rsidR="00363599" w:rsidRPr="004823B0" w:rsidRDefault="00363599" w:rsidP="00642463">
      <w:pPr>
        <w:pStyle w:val="31"/>
        <w:spacing w:line="440" w:lineRule="exact"/>
        <w:ind w:leftChars="200" w:left="400"/>
        <w:textDirection w:val="lrTbV"/>
        <w:rPr>
          <w:rFonts w:eastAsia="標楷體"/>
          <w:sz w:val="24"/>
          <w:szCs w:val="24"/>
        </w:rPr>
      </w:pPr>
      <w:proofErr w:type="spellStart"/>
      <w:r w:rsidRPr="004823B0">
        <w:rPr>
          <w:rFonts w:eastAsia="標楷體"/>
          <w:sz w:val="24"/>
          <w:szCs w:val="24"/>
        </w:rPr>
        <w:t>Tsuey</w:t>
      </w:r>
      <w:proofErr w:type="spellEnd"/>
      <w:r w:rsidRPr="004823B0">
        <w:rPr>
          <w:rFonts w:eastAsia="標楷體"/>
          <w:sz w:val="24"/>
          <w:szCs w:val="24"/>
        </w:rPr>
        <w:t>-</w:t>
      </w:r>
      <w:r w:rsidRPr="004823B0">
        <w:rPr>
          <w:rFonts w:eastAsia="標楷體" w:hint="eastAsia"/>
          <w:sz w:val="24"/>
          <w:szCs w:val="24"/>
        </w:rPr>
        <w:t>l</w:t>
      </w:r>
      <w:r w:rsidRPr="004823B0">
        <w:rPr>
          <w:rFonts w:eastAsia="標楷體"/>
          <w:sz w:val="24"/>
          <w:szCs w:val="24"/>
        </w:rPr>
        <w:t>ing Hsiao</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 D</w:t>
      </w:r>
      <w:r w:rsidRPr="004823B0">
        <w:rPr>
          <w:rFonts w:eastAsia="標楷體"/>
          <w:sz w:val="24"/>
          <w:szCs w:val="24"/>
        </w:rPr>
        <w:t>epartment of Financial</w:t>
      </w:r>
      <w:r w:rsidRPr="004823B0">
        <w:rPr>
          <w:rFonts w:eastAsia="標楷體" w:hint="eastAsia"/>
          <w:sz w:val="24"/>
          <w:szCs w:val="24"/>
        </w:rPr>
        <w:t xml:space="preserve"> </w:t>
      </w:r>
      <w:r w:rsidRPr="004823B0">
        <w:rPr>
          <w:rFonts w:eastAsia="標楷體"/>
          <w:sz w:val="24"/>
          <w:szCs w:val="24"/>
        </w:rPr>
        <w:t>Inspection</w:t>
      </w:r>
      <w:r w:rsidRPr="004823B0">
        <w:rPr>
          <w:rFonts w:eastAsia="標楷體" w:hint="eastAsia"/>
          <w:sz w:val="24"/>
          <w:szCs w:val="24"/>
        </w:rPr>
        <w:t xml:space="preserve"> </w:t>
      </w:r>
    </w:p>
    <w:p w:rsidR="00363599" w:rsidRPr="004823B0" w:rsidRDefault="00363599" w:rsidP="00642463">
      <w:pPr>
        <w:pStyle w:val="31"/>
        <w:spacing w:line="440" w:lineRule="exact"/>
        <w:ind w:leftChars="200" w:left="400"/>
        <w:textDirection w:val="lrTbV"/>
        <w:rPr>
          <w:rFonts w:eastAsia="標楷體"/>
          <w:sz w:val="24"/>
          <w:szCs w:val="24"/>
        </w:rPr>
      </w:pPr>
      <w:proofErr w:type="spellStart"/>
      <w:r w:rsidRPr="004823B0">
        <w:rPr>
          <w:rFonts w:eastAsia="標楷體"/>
          <w:sz w:val="24"/>
          <w:szCs w:val="24"/>
        </w:rPr>
        <w:t>Tzong-</w:t>
      </w:r>
      <w:r w:rsidRPr="004823B0">
        <w:rPr>
          <w:rFonts w:eastAsia="標楷體" w:hint="eastAsia"/>
          <w:sz w:val="24"/>
          <w:szCs w:val="24"/>
        </w:rPr>
        <w:t>y</w:t>
      </w:r>
      <w:r w:rsidRPr="004823B0">
        <w:rPr>
          <w:rFonts w:eastAsia="標楷體"/>
          <w:sz w:val="24"/>
          <w:szCs w:val="24"/>
        </w:rPr>
        <w:t>au</w:t>
      </w:r>
      <w:proofErr w:type="spellEnd"/>
      <w:r w:rsidRPr="004823B0">
        <w:rPr>
          <w:rFonts w:eastAsia="標楷體"/>
          <w:sz w:val="24"/>
          <w:szCs w:val="24"/>
        </w:rPr>
        <w:t xml:space="preserve"> Lin</w:t>
      </w:r>
      <w:r w:rsidRPr="004823B0">
        <w:rPr>
          <w:rFonts w:eastAsia="標楷體" w:hint="eastAsia"/>
          <w:sz w:val="24"/>
          <w:szCs w:val="24"/>
        </w:rPr>
        <w:t>,</w:t>
      </w:r>
      <w:r w:rsidRPr="004823B0">
        <w:rPr>
          <w:rFonts w:eastAsia="標楷體"/>
          <w:sz w:val="24"/>
          <w:szCs w:val="24"/>
        </w:rPr>
        <w:t xml:space="preserve"> Director General</w:t>
      </w:r>
      <w:r w:rsidRPr="004823B0">
        <w:rPr>
          <w:rFonts w:eastAsia="標楷體" w:hint="eastAsia"/>
          <w:sz w:val="24"/>
          <w:szCs w:val="24"/>
        </w:rPr>
        <w:t xml:space="preserve">, </w:t>
      </w:r>
      <w:r w:rsidRPr="004823B0">
        <w:rPr>
          <w:rFonts w:eastAsia="標楷體"/>
          <w:sz w:val="24"/>
          <w:szCs w:val="24"/>
        </w:rPr>
        <w:t>Department of Economic Research</w:t>
      </w:r>
      <w:r w:rsidRPr="004823B0">
        <w:rPr>
          <w:rFonts w:eastAsia="標楷體" w:hint="eastAsia"/>
          <w:sz w:val="24"/>
          <w:szCs w:val="24"/>
        </w:rPr>
        <w:t xml:space="preserve"> </w:t>
      </w:r>
    </w:p>
    <w:p w:rsidR="00363599" w:rsidRPr="004823B0" w:rsidRDefault="00363599" w:rsidP="00642463">
      <w:pPr>
        <w:pStyle w:val="31"/>
        <w:spacing w:line="440" w:lineRule="exact"/>
        <w:ind w:leftChars="200" w:left="400"/>
        <w:textDirection w:val="lrTbV"/>
        <w:rPr>
          <w:rFonts w:eastAsia="標楷體"/>
          <w:sz w:val="24"/>
          <w:szCs w:val="24"/>
        </w:rPr>
      </w:pPr>
      <w:proofErr w:type="spellStart"/>
      <w:r w:rsidRPr="004823B0">
        <w:rPr>
          <w:rFonts w:eastAsia="標楷體"/>
          <w:sz w:val="24"/>
          <w:szCs w:val="24"/>
        </w:rPr>
        <w:t>Chien-</w:t>
      </w:r>
      <w:r w:rsidRPr="004823B0">
        <w:rPr>
          <w:rFonts w:eastAsia="標楷體" w:hint="eastAsia"/>
          <w:sz w:val="24"/>
          <w:szCs w:val="24"/>
        </w:rPr>
        <w:t>c</w:t>
      </w:r>
      <w:r w:rsidRPr="004823B0">
        <w:rPr>
          <w:rFonts w:eastAsia="標楷體"/>
          <w:sz w:val="24"/>
          <w:szCs w:val="24"/>
        </w:rPr>
        <w:t>hing</w:t>
      </w:r>
      <w:proofErr w:type="spellEnd"/>
      <w:r w:rsidRPr="004823B0">
        <w:rPr>
          <w:rFonts w:eastAsia="標楷體"/>
          <w:sz w:val="24"/>
          <w:szCs w:val="24"/>
        </w:rPr>
        <w:t xml:space="preserve"> Liang</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w:t>
      </w:r>
      <w:r w:rsidRPr="004823B0">
        <w:rPr>
          <w:rFonts w:eastAsia="標楷體"/>
          <w:sz w:val="24"/>
          <w:szCs w:val="24"/>
        </w:rPr>
        <w:t xml:space="preserve"> Secretariat</w:t>
      </w:r>
    </w:p>
    <w:p w:rsidR="00363599" w:rsidRPr="004823B0" w:rsidRDefault="00363599" w:rsidP="00642463">
      <w:pPr>
        <w:pStyle w:val="31"/>
        <w:spacing w:line="440" w:lineRule="exact"/>
        <w:ind w:leftChars="200" w:left="400"/>
        <w:textDirection w:val="lrTbV"/>
        <w:rPr>
          <w:rFonts w:eastAsia="標楷體"/>
          <w:sz w:val="24"/>
          <w:szCs w:val="24"/>
        </w:rPr>
      </w:pPr>
      <w:proofErr w:type="spellStart"/>
      <w:r w:rsidRPr="004823B0">
        <w:rPr>
          <w:rFonts w:eastAsia="標楷體"/>
          <w:sz w:val="24"/>
          <w:szCs w:val="24"/>
        </w:rPr>
        <w:t>Kuei-</w:t>
      </w:r>
      <w:r w:rsidRPr="004823B0">
        <w:rPr>
          <w:rFonts w:eastAsia="標楷體" w:hint="eastAsia"/>
          <w:sz w:val="24"/>
          <w:szCs w:val="24"/>
        </w:rPr>
        <w:t>c</w:t>
      </w:r>
      <w:r w:rsidRPr="004823B0">
        <w:rPr>
          <w:rFonts w:eastAsia="標楷體"/>
          <w:sz w:val="24"/>
          <w:szCs w:val="24"/>
        </w:rPr>
        <w:t>hou</w:t>
      </w:r>
      <w:proofErr w:type="spellEnd"/>
      <w:r w:rsidRPr="004823B0">
        <w:rPr>
          <w:rFonts w:eastAsia="標楷體"/>
          <w:sz w:val="24"/>
          <w:szCs w:val="24"/>
        </w:rPr>
        <w:t xml:space="preserve"> Huang</w:t>
      </w:r>
      <w:r w:rsidRPr="004823B0">
        <w:rPr>
          <w:rFonts w:eastAsia="標楷體" w:hint="eastAsia"/>
          <w:sz w:val="24"/>
          <w:szCs w:val="24"/>
        </w:rPr>
        <w:t xml:space="preserve">, </w:t>
      </w:r>
      <w:r w:rsidRPr="004823B0">
        <w:rPr>
          <w:rFonts w:eastAsia="標楷體"/>
          <w:sz w:val="24"/>
          <w:szCs w:val="24"/>
        </w:rPr>
        <w:t>Director General</w:t>
      </w:r>
      <w:r w:rsidRPr="004823B0">
        <w:rPr>
          <w:rFonts w:eastAsia="標楷體" w:hint="eastAsia"/>
          <w:sz w:val="24"/>
          <w:szCs w:val="24"/>
        </w:rPr>
        <w:t>,</w:t>
      </w:r>
      <w:r w:rsidRPr="004823B0">
        <w:rPr>
          <w:rFonts w:eastAsia="標楷體"/>
          <w:sz w:val="24"/>
          <w:szCs w:val="24"/>
        </w:rPr>
        <w:t xml:space="preserve"> Department of Accounting</w:t>
      </w:r>
    </w:p>
    <w:p w:rsidR="00363599" w:rsidRPr="004823B0" w:rsidRDefault="00363599" w:rsidP="00642463">
      <w:pPr>
        <w:pStyle w:val="31"/>
        <w:spacing w:line="440" w:lineRule="exact"/>
        <w:ind w:leftChars="200" w:left="400"/>
        <w:textDirection w:val="lrTbV"/>
        <w:rPr>
          <w:rFonts w:eastAsia="標楷體"/>
          <w:sz w:val="24"/>
          <w:szCs w:val="24"/>
        </w:rPr>
      </w:pPr>
      <w:proofErr w:type="spellStart"/>
      <w:r w:rsidRPr="004823B0">
        <w:rPr>
          <w:rFonts w:eastAsia="標楷體"/>
          <w:sz w:val="24"/>
          <w:szCs w:val="24"/>
        </w:rPr>
        <w:t>Jhih-</w:t>
      </w:r>
      <w:r w:rsidRPr="004823B0">
        <w:rPr>
          <w:rFonts w:eastAsia="標楷體" w:hint="eastAsia"/>
          <w:sz w:val="24"/>
          <w:szCs w:val="24"/>
        </w:rPr>
        <w:t>c</w:t>
      </w:r>
      <w:r w:rsidRPr="004823B0">
        <w:rPr>
          <w:rFonts w:eastAsia="標楷體"/>
          <w:sz w:val="24"/>
          <w:szCs w:val="24"/>
        </w:rPr>
        <w:t>heng</w:t>
      </w:r>
      <w:proofErr w:type="spellEnd"/>
      <w:r w:rsidRPr="004823B0">
        <w:rPr>
          <w:rFonts w:eastAsia="標楷體"/>
          <w:sz w:val="24"/>
          <w:szCs w:val="24"/>
        </w:rPr>
        <w:t xml:space="preserve"> Hong</w:t>
      </w:r>
      <w:r w:rsidRPr="004823B0">
        <w:rPr>
          <w:rFonts w:eastAsia="標楷體" w:hint="eastAsia"/>
          <w:sz w:val="24"/>
          <w:szCs w:val="24"/>
        </w:rPr>
        <w:t xml:space="preserve">, </w:t>
      </w:r>
      <w:r w:rsidRPr="004823B0">
        <w:rPr>
          <w:rFonts w:eastAsia="標楷體"/>
          <w:sz w:val="24"/>
          <w:szCs w:val="24"/>
        </w:rPr>
        <w:t>Director</w:t>
      </w:r>
      <w:r w:rsidRPr="004823B0">
        <w:rPr>
          <w:rFonts w:eastAsia="標楷體" w:hint="eastAsia"/>
          <w:sz w:val="24"/>
          <w:szCs w:val="24"/>
        </w:rPr>
        <w:t>,</w:t>
      </w:r>
      <w:r w:rsidRPr="004823B0">
        <w:rPr>
          <w:rFonts w:eastAsia="標楷體"/>
          <w:sz w:val="24"/>
          <w:szCs w:val="24"/>
        </w:rPr>
        <w:t xml:space="preserve"> Personnel Office</w:t>
      </w:r>
    </w:p>
    <w:p w:rsidR="00363599" w:rsidRPr="004823B0" w:rsidRDefault="00363599" w:rsidP="00642463">
      <w:pPr>
        <w:pStyle w:val="31"/>
        <w:spacing w:line="440" w:lineRule="exact"/>
        <w:ind w:leftChars="200" w:left="400"/>
        <w:textDirection w:val="lrTbV"/>
        <w:rPr>
          <w:rFonts w:eastAsia="標楷體"/>
          <w:sz w:val="24"/>
          <w:szCs w:val="24"/>
        </w:rPr>
      </w:pPr>
      <w:r w:rsidRPr="004823B0">
        <w:rPr>
          <w:rFonts w:eastAsia="標楷體"/>
          <w:sz w:val="24"/>
          <w:szCs w:val="24"/>
        </w:rPr>
        <w:t>Kun-</w:t>
      </w:r>
      <w:proofErr w:type="spellStart"/>
      <w:r w:rsidRPr="004823B0">
        <w:rPr>
          <w:rFonts w:eastAsia="標楷體" w:hint="eastAsia"/>
          <w:sz w:val="24"/>
          <w:szCs w:val="24"/>
        </w:rPr>
        <w:t>s</w:t>
      </w:r>
      <w:r w:rsidRPr="004823B0">
        <w:rPr>
          <w:rFonts w:eastAsia="標楷體"/>
          <w:sz w:val="24"/>
          <w:szCs w:val="24"/>
        </w:rPr>
        <w:t>han</w:t>
      </w:r>
      <w:proofErr w:type="spellEnd"/>
      <w:r w:rsidRPr="004823B0">
        <w:rPr>
          <w:rFonts w:eastAsia="標楷體"/>
          <w:sz w:val="24"/>
          <w:szCs w:val="24"/>
        </w:rPr>
        <w:t xml:space="preserve"> Wu</w:t>
      </w:r>
      <w:r w:rsidRPr="004823B0">
        <w:rPr>
          <w:rFonts w:eastAsia="標楷體" w:hint="eastAsia"/>
          <w:sz w:val="24"/>
          <w:szCs w:val="24"/>
        </w:rPr>
        <w:t>,</w:t>
      </w:r>
      <w:r w:rsidRPr="004823B0">
        <w:rPr>
          <w:rFonts w:eastAsia="標楷體"/>
          <w:sz w:val="24"/>
          <w:szCs w:val="24"/>
        </w:rPr>
        <w:t xml:space="preserve"> Director</w:t>
      </w:r>
      <w:r w:rsidRPr="004823B0">
        <w:rPr>
          <w:rFonts w:eastAsia="標楷體" w:hint="eastAsia"/>
          <w:sz w:val="24"/>
          <w:szCs w:val="24"/>
        </w:rPr>
        <w:t>,</w:t>
      </w:r>
      <w:r w:rsidRPr="004823B0">
        <w:rPr>
          <w:rFonts w:eastAsia="標楷體"/>
          <w:sz w:val="24"/>
          <w:szCs w:val="24"/>
        </w:rPr>
        <w:t xml:space="preserve"> Legal Affairs Office </w:t>
      </w:r>
    </w:p>
    <w:p w:rsidR="00363599" w:rsidRPr="004823B0" w:rsidRDefault="00363599" w:rsidP="00642463">
      <w:pPr>
        <w:pStyle w:val="31"/>
        <w:spacing w:line="440" w:lineRule="exact"/>
        <w:ind w:leftChars="200" w:left="400"/>
        <w:textDirection w:val="lrTbV"/>
        <w:rPr>
          <w:rFonts w:eastAsia="標楷體"/>
          <w:sz w:val="24"/>
          <w:szCs w:val="24"/>
        </w:rPr>
      </w:pPr>
      <w:proofErr w:type="spellStart"/>
      <w:r w:rsidRPr="004823B0">
        <w:rPr>
          <w:rFonts w:eastAsia="標楷體" w:hint="eastAsia"/>
          <w:sz w:val="24"/>
          <w:szCs w:val="24"/>
        </w:rPr>
        <w:t>Chih-cheng</w:t>
      </w:r>
      <w:proofErr w:type="spellEnd"/>
      <w:r w:rsidRPr="004823B0">
        <w:rPr>
          <w:rFonts w:eastAsia="標楷體" w:hint="eastAsia"/>
          <w:sz w:val="24"/>
          <w:szCs w:val="24"/>
        </w:rPr>
        <w:t xml:space="preserve"> Hu, Secretary, Board of Directors</w:t>
      </w:r>
    </w:p>
    <w:p w:rsidR="00EB5061" w:rsidRPr="004823B0" w:rsidRDefault="001A5897" w:rsidP="00EB5061">
      <w:pPr>
        <w:pStyle w:val="31"/>
        <w:spacing w:line="440" w:lineRule="exact"/>
        <w:ind w:leftChars="200" w:left="400"/>
        <w:textDirection w:val="lrTbV"/>
        <w:rPr>
          <w:rFonts w:eastAsia="標楷體"/>
          <w:sz w:val="24"/>
          <w:szCs w:val="24"/>
        </w:rPr>
      </w:pPr>
      <w:r w:rsidRPr="004823B0">
        <w:rPr>
          <w:rFonts w:eastAsia="標楷體" w:hint="eastAsia"/>
          <w:sz w:val="24"/>
          <w:szCs w:val="24"/>
        </w:rPr>
        <w:t>Shu-</w:t>
      </w:r>
      <w:proofErr w:type="spellStart"/>
      <w:r w:rsidRPr="004823B0">
        <w:rPr>
          <w:rFonts w:eastAsia="標楷體" w:hint="eastAsia"/>
          <w:sz w:val="24"/>
          <w:szCs w:val="24"/>
        </w:rPr>
        <w:t>huei</w:t>
      </w:r>
      <w:proofErr w:type="spellEnd"/>
      <w:r w:rsidRPr="004823B0">
        <w:rPr>
          <w:rFonts w:eastAsia="標楷體" w:hint="eastAsia"/>
          <w:sz w:val="24"/>
          <w:szCs w:val="24"/>
        </w:rPr>
        <w:t xml:space="preserve"> </w:t>
      </w:r>
      <w:proofErr w:type="spellStart"/>
      <w:r w:rsidRPr="004823B0">
        <w:rPr>
          <w:rFonts w:eastAsia="標楷體" w:hint="eastAsia"/>
          <w:sz w:val="24"/>
          <w:szCs w:val="24"/>
        </w:rPr>
        <w:t>Kuo</w:t>
      </w:r>
      <w:proofErr w:type="spellEnd"/>
      <w:r w:rsidR="00EB5061" w:rsidRPr="004823B0">
        <w:rPr>
          <w:rFonts w:eastAsia="標楷體" w:hint="eastAsia"/>
          <w:sz w:val="24"/>
          <w:szCs w:val="24"/>
        </w:rPr>
        <w:t>, Secretary, Board of Supervisors</w:t>
      </w:r>
    </w:p>
    <w:p w:rsidR="005E27CD" w:rsidRPr="007F6F77" w:rsidRDefault="00363599" w:rsidP="00642463">
      <w:pPr>
        <w:spacing w:line="440" w:lineRule="exact"/>
        <w:textDirection w:val="lrTbV"/>
        <w:rPr>
          <w:rFonts w:eastAsia="標楷體"/>
          <w:sz w:val="32"/>
          <w:szCs w:val="32"/>
        </w:rPr>
      </w:pPr>
      <w:r w:rsidRPr="007F6F77">
        <w:rPr>
          <w:rFonts w:eastAsia="標楷體" w:hint="eastAsia"/>
          <w:b/>
          <w:sz w:val="24"/>
          <w:szCs w:val="24"/>
        </w:rPr>
        <w:t>Presiding:</w:t>
      </w:r>
      <w:r w:rsidRPr="007F6F77">
        <w:rPr>
          <w:rFonts w:eastAsia="標楷體" w:hint="eastAsia"/>
          <w:sz w:val="24"/>
          <w:szCs w:val="24"/>
        </w:rPr>
        <w:t xml:space="preserve"> </w:t>
      </w:r>
      <w:r w:rsidR="00642463" w:rsidRPr="007F6F77">
        <w:rPr>
          <w:rFonts w:eastAsia="標楷體"/>
          <w:sz w:val="24"/>
          <w:szCs w:val="24"/>
        </w:rPr>
        <w:t>Chin-long Yang</w:t>
      </w:r>
      <w:r w:rsidRPr="007F6F77">
        <w:rPr>
          <w:rFonts w:eastAsia="標楷體" w:hint="eastAsia"/>
          <w:sz w:val="24"/>
          <w:szCs w:val="24"/>
        </w:rPr>
        <w:t xml:space="preserve">　　　　</w:t>
      </w:r>
      <w:r w:rsidR="005E27CD" w:rsidRPr="007F6F77">
        <w:rPr>
          <w:rFonts w:eastAsia="標楷體"/>
          <w:sz w:val="32"/>
          <w:szCs w:val="32"/>
        </w:rPr>
        <w:br w:type="page"/>
      </w:r>
    </w:p>
    <w:p w:rsidR="005E27CD" w:rsidRPr="007F6F77" w:rsidRDefault="008F7E41" w:rsidP="00FA173A">
      <w:pPr>
        <w:adjustRightInd/>
        <w:snapToGrid w:val="0"/>
        <w:spacing w:before="120" w:line="440" w:lineRule="exact"/>
        <w:jc w:val="both"/>
        <w:textDirection w:val="lrTbV"/>
        <w:rPr>
          <w:rFonts w:eastAsia="標楷體"/>
          <w:b/>
          <w:sz w:val="28"/>
          <w:szCs w:val="28"/>
        </w:rPr>
      </w:pPr>
      <w:r w:rsidRPr="007F6F77">
        <w:rPr>
          <w:rFonts w:eastAsia="標楷體"/>
          <w:b/>
          <w:sz w:val="28"/>
          <w:szCs w:val="28"/>
        </w:rPr>
        <w:lastRenderedPageBreak/>
        <w:t xml:space="preserve">AGENDA ITEM 1: </w:t>
      </w:r>
      <w:r w:rsidR="002C048C">
        <w:rPr>
          <w:rFonts w:eastAsia="標楷體"/>
          <w:b/>
          <w:sz w:val="28"/>
          <w:szCs w:val="28"/>
        </w:rPr>
        <w:t xml:space="preserve">ADJUSTING </w:t>
      </w:r>
      <w:r w:rsidRPr="007F6F77">
        <w:rPr>
          <w:rFonts w:eastAsia="標楷體"/>
          <w:b/>
          <w:sz w:val="28"/>
          <w:szCs w:val="28"/>
        </w:rPr>
        <w:t xml:space="preserve">M2 GROWTH TARGET RANGE </w:t>
      </w:r>
      <w:r w:rsidR="002C048C">
        <w:rPr>
          <w:rFonts w:eastAsia="標楷體" w:hint="eastAsia"/>
          <w:b/>
          <w:sz w:val="28"/>
          <w:szCs w:val="28"/>
        </w:rPr>
        <w:t xml:space="preserve">TO </w:t>
      </w:r>
      <w:r w:rsidR="00EA7E07">
        <w:rPr>
          <w:rFonts w:eastAsia="標楷體" w:hint="eastAsia"/>
          <w:b/>
          <w:sz w:val="28"/>
          <w:szCs w:val="28"/>
        </w:rPr>
        <w:t xml:space="preserve">A </w:t>
      </w:r>
      <w:r w:rsidR="002C048C">
        <w:rPr>
          <w:rFonts w:eastAsia="標楷體" w:hint="eastAsia"/>
          <w:b/>
          <w:sz w:val="28"/>
          <w:szCs w:val="28"/>
        </w:rPr>
        <w:t>REFERENCE RANGE</w:t>
      </w:r>
      <w:r w:rsidRPr="007F6F77">
        <w:rPr>
          <w:rFonts w:eastAsia="標楷體"/>
          <w:b/>
          <w:sz w:val="28"/>
          <w:szCs w:val="28"/>
        </w:rPr>
        <w:t xml:space="preserve"> </w:t>
      </w:r>
      <w:r w:rsidR="002C048C">
        <w:rPr>
          <w:rFonts w:eastAsia="標楷體" w:hint="eastAsia"/>
          <w:b/>
          <w:sz w:val="28"/>
          <w:szCs w:val="28"/>
        </w:rPr>
        <w:t>FROM 2020 ONWARDS</w:t>
      </w:r>
    </w:p>
    <w:p w:rsidR="005E27CD" w:rsidRPr="00F245D3" w:rsidRDefault="002C048C" w:rsidP="009605CF">
      <w:pPr>
        <w:pStyle w:val="afff6"/>
        <w:numPr>
          <w:ilvl w:val="0"/>
          <w:numId w:val="23"/>
        </w:numPr>
        <w:adjustRightInd/>
        <w:snapToGrid w:val="0"/>
        <w:spacing w:before="120" w:line="440" w:lineRule="exact"/>
        <w:ind w:leftChars="0" w:left="284" w:hanging="284"/>
        <w:textDirection w:val="lrTbV"/>
        <w:rPr>
          <w:rFonts w:ascii="Times New Roman" w:eastAsia="標楷體"/>
          <w:b/>
          <w:sz w:val="28"/>
          <w:szCs w:val="28"/>
        </w:rPr>
      </w:pPr>
      <w:r w:rsidRPr="00F245D3">
        <w:rPr>
          <w:rFonts w:ascii="Times New Roman" w:eastAsia="標楷體"/>
          <w:b/>
          <w:sz w:val="28"/>
          <w:szCs w:val="28"/>
        </w:rPr>
        <w:t>I</w:t>
      </w:r>
      <w:r w:rsidR="0043506F" w:rsidRPr="00F245D3">
        <w:rPr>
          <w:rFonts w:ascii="Times New Roman" w:eastAsia="標楷體"/>
          <w:b/>
          <w:sz w:val="28"/>
          <w:szCs w:val="28"/>
        </w:rPr>
        <w:t xml:space="preserve">nformation </w:t>
      </w:r>
      <w:r w:rsidRPr="00F245D3">
        <w:rPr>
          <w:rFonts w:ascii="Times New Roman" w:eastAsia="標楷體"/>
          <w:b/>
          <w:sz w:val="28"/>
          <w:szCs w:val="28"/>
        </w:rPr>
        <w:t xml:space="preserve">related to the adjustment of </w:t>
      </w:r>
      <w:r w:rsidR="00030FC7" w:rsidRPr="00F245D3">
        <w:rPr>
          <w:rFonts w:ascii="Times New Roman" w:eastAsia="標楷體"/>
          <w:b/>
          <w:sz w:val="28"/>
          <w:szCs w:val="28"/>
        </w:rPr>
        <w:t>M</w:t>
      </w:r>
      <w:r w:rsidR="008F7E41" w:rsidRPr="00F245D3">
        <w:rPr>
          <w:rFonts w:ascii="Times New Roman" w:eastAsia="標楷體"/>
          <w:b/>
          <w:sz w:val="28"/>
          <w:szCs w:val="28"/>
        </w:rPr>
        <w:t>2 growth target range</w:t>
      </w:r>
      <w:r w:rsidRPr="00F245D3">
        <w:rPr>
          <w:rFonts w:ascii="Times New Roman" w:eastAsia="標楷體"/>
          <w:b/>
          <w:sz w:val="28"/>
          <w:szCs w:val="28"/>
        </w:rPr>
        <w:t xml:space="preserve"> to</w:t>
      </w:r>
      <w:r w:rsidR="00EA7E07">
        <w:rPr>
          <w:rFonts w:ascii="Times New Roman" w:eastAsia="標楷體" w:hint="eastAsia"/>
          <w:b/>
          <w:sz w:val="28"/>
          <w:szCs w:val="28"/>
        </w:rPr>
        <w:t xml:space="preserve"> a</w:t>
      </w:r>
      <w:r w:rsidRPr="00F245D3">
        <w:rPr>
          <w:rFonts w:ascii="Times New Roman" w:eastAsia="標楷體"/>
          <w:b/>
          <w:sz w:val="28"/>
          <w:szCs w:val="28"/>
        </w:rPr>
        <w:t xml:space="preserve"> reference range from 2020 onwards</w:t>
      </w:r>
    </w:p>
    <w:p w:rsidR="0043506F" w:rsidRPr="007F6F77" w:rsidRDefault="0043506F" w:rsidP="00FA173A">
      <w:pPr>
        <w:adjustRightInd/>
        <w:snapToGrid w:val="0"/>
        <w:spacing w:before="120" w:line="440" w:lineRule="exact"/>
        <w:jc w:val="both"/>
        <w:textDirection w:val="lrTbV"/>
        <w:rPr>
          <w:rFonts w:eastAsia="標楷體"/>
          <w:sz w:val="24"/>
          <w:szCs w:val="28"/>
        </w:rPr>
      </w:pPr>
      <w:r w:rsidRPr="007F6F77">
        <w:rPr>
          <w:rFonts w:eastAsia="標楷體" w:hint="eastAsia"/>
          <w:sz w:val="24"/>
          <w:szCs w:val="28"/>
        </w:rPr>
        <w:t xml:space="preserve">The Department of Economic Research </w:t>
      </w:r>
      <w:r w:rsidR="00653A10" w:rsidRPr="007F6F77">
        <w:rPr>
          <w:rFonts w:eastAsia="標楷體" w:hint="eastAsia"/>
          <w:sz w:val="24"/>
          <w:szCs w:val="28"/>
        </w:rPr>
        <w:t>provided</w:t>
      </w:r>
      <w:r w:rsidRPr="007F6F77">
        <w:rPr>
          <w:rFonts w:eastAsia="標楷體" w:hint="eastAsia"/>
          <w:sz w:val="24"/>
          <w:szCs w:val="28"/>
        </w:rPr>
        <w:t xml:space="preserve"> the following </w:t>
      </w:r>
      <w:r w:rsidR="00653A10" w:rsidRPr="007F6F77">
        <w:rPr>
          <w:rFonts w:eastAsia="標楷體" w:hint="eastAsia"/>
          <w:sz w:val="24"/>
          <w:szCs w:val="28"/>
        </w:rPr>
        <w:t>information</w:t>
      </w:r>
      <w:r w:rsidRPr="007F6F77">
        <w:rPr>
          <w:rFonts w:eastAsia="標楷體" w:hint="eastAsia"/>
          <w:sz w:val="24"/>
          <w:szCs w:val="28"/>
        </w:rPr>
        <w:t xml:space="preserve">: </w:t>
      </w:r>
    </w:p>
    <w:p w:rsidR="003E3E35" w:rsidRPr="00B774EB" w:rsidRDefault="00B774EB" w:rsidP="00B04114">
      <w:pPr>
        <w:numPr>
          <w:ilvl w:val="0"/>
          <w:numId w:val="2"/>
        </w:numPr>
        <w:overflowPunct w:val="0"/>
        <w:autoSpaceDE w:val="0"/>
        <w:autoSpaceDN w:val="0"/>
        <w:snapToGrid w:val="0"/>
        <w:spacing w:before="120" w:line="440" w:lineRule="exact"/>
        <w:ind w:left="284" w:hanging="284"/>
        <w:jc w:val="both"/>
        <w:rPr>
          <w:rFonts w:eastAsia="標楷體"/>
          <w:b/>
          <w:spacing w:val="-2"/>
          <w:sz w:val="24"/>
          <w:szCs w:val="28"/>
        </w:rPr>
      </w:pPr>
      <w:r>
        <w:rPr>
          <w:rFonts w:eastAsia="標楷體" w:hint="eastAsia"/>
          <w:b/>
          <w:spacing w:val="-2"/>
          <w:sz w:val="24"/>
          <w:szCs w:val="28"/>
        </w:rPr>
        <w:t xml:space="preserve">Review of M2 growth in 2019 and outlook on demand for money in 2020 </w:t>
      </w:r>
    </w:p>
    <w:p w:rsidR="003E3E35" w:rsidRDefault="00B774EB" w:rsidP="00B04114">
      <w:pPr>
        <w:pStyle w:val="6"/>
        <w:numPr>
          <w:ilvl w:val="0"/>
          <w:numId w:val="13"/>
        </w:numPr>
        <w:overflowPunct w:val="0"/>
        <w:snapToGrid w:val="0"/>
        <w:spacing w:after="0" w:line="440" w:lineRule="exact"/>
        <w:rPr>
          <w:rFonts w:ascii="Times New Roman" w:eastAsia="標楷體"/>
          <w:spacing w:val="-2"/>
          <w:sz w:val="24"/>
          <w:szCs w:val="28"/>
        </w:rPr>
      </w:pPr>
      <w:r>
        <w:rPr>
          <w:rFonts w:ascii="Times New Roman" w:eastAsia="標楷體" w:hint="eastAsia"/>
          <w:spacing w:val="-2"/>
          <w:sz w:val="24"/>
          <w:szCs w:val="28"/>
        </w:rPr>
        <w:t>The monetary aggregate M2 posted stable growth this year, sufficient to support economic activity.</w:t>
      </w:r>
    </w:p>
    <w:p w:rsidR="00B774EB" w:rsidRDefault="00B516AE" w:rsidP="00B04114">
      <w:pPr>
        <w:pStyle w:val="6"/>
        <w:numPr>
          <w:ilvl w:val="1"/>
          <w:numId w:val="14"/>
        </w:numPr>
        <w:overflowPunct w:val="0"/>
        <w:snapToGrid w:val="0"/>
        <w:spacing w:after="0" w:line="440" w:lineRule="exact"/>
        <w:ind w:left="851" w:hanging="371"/>
        <w:rPr>
          <w:rFonts w:ascii="Times New Roman" w:eastAsia="標楷體"/>
          <w:spacing w:val="-2"/>
          <w:sz w:val="24"/>
          <w:szCs w:val="28"/>
        </w:rPr>
      </w:pPr>
      <w:r>
        <w:rPr>
          <w:rFonts w:ascii="Times New Roman" w:eastAsia="標楷體" w:hint="eastAsia"/>
          <w:spacing w:val="-2"/>
          <w:sz w:val="24"/>
          <w:szCs w:val="28"/>
        </w:rPr>
        <w:t>In each of the fi</w:t>
      </w:r>
      <w:r w:rsidR="00D87980">
        <w:rPr>
          <w:rFonts w:ascii="Times New Roman" w:eastAsia="標楷體" w:hint="eastAsia"/>
          <w:spacing w:val="-2"/>
          <w:sz w:val="24"/>
          <w:szCs w:val="28"/>
        </w:rPr>
        <w:t xml:space="preserve">rst eleven months this year, </w:t>
      </w:r>
      <w:r>
        <w:rPr>
          <w:rFonts w:ascii="Times New Roman" w:eastAsia="標楷體" w:hint="eastAsia"/>
          <w:spacing w:val="-2"/>
          <w:sz w:val="24"/>
          <w:szCs w:val="28"/>
        </w:rPr>
        <w:t xml:space="preserve">M2 registered a stable </w:t>
      </w:r>
      <w:r w:rsidR="00D87980">
        <w:rPr>
          <w:rFonts w:ascii="Times New Roman" w:eastAsia="標楷體" w:hint="eastAsia"/>
          <w:spacing w:val="-2"/>
          <w:sz w:val="24"/>
          <w:szCs w:val="28"/>
        </w:rPr>
        <w:t>annual growth rate</w:t>
      </w:r>
      <w:r>
        <w:rPr>
          <w:rFonts w:ascii="Times New Roman" w:eastAsia="標楷體" w:hint="eastAsia"/>
          <w:spacing w:val="-2"/>
          <w:sz w:val="24"/>
          <w:szCs w:val="28"/>
        </w:rPr>
        <w:t xml:space="preserve"> within the </w:t>
      </w:r>
      <w:r w:rsidR="00F245D3">
        <w:rPr>
          <w:rFonts w:ascii="Times New Roman" w:eastAsia="標楷體" w:hint="eastAsia"/>
          <w:spacing w:val="-2"/>
          <w:sz w:val="24"/>
          <w:szCs w:val="28"/>
        </w:rPr>
        <w:t xml:space="preserve">2.5%-6.5% </w:t>
      </w:r>
      <w:r>
        <w:rPr>
          <w:rFonts w:ascii="Times New Roman" w:eastAsia="標楷體" w:hint="eastAsia"/>
          <w:spacing w:val="-2"/>
          <w:sz w:val="24"/>
          <w:szCs w:val="28"/>
        </w:rPr>
        <w:t xml:space="preserve">range. The average M2 annual growth rate for the </w:t>
      </w:r>
      <w:r w:rsidR="009605CF">
        <w:rPr>
          <w:rFonts w:ascii="Times New Roman" w:eastAsia="標楷體" w:hint="eastAsia"/>
          <w:spacing w:val="-2"/>
          <w:sz w:val="24"/>
          <w:szCs w:val="28"/>
        </w:rPr>
        <w:t>first eleven months</w:t>
      </w:r>
      <w:r>
        <w:rPr>
          <w:rFonts w:ascii="Times New Roman" w:eastAsia="標楷體" w:hint="eastAsia"/>
          <w:spacing w:val="-2"/>
          <w:sz w:val="24"/>
          <w:szCs w:val="28"/>
        </w:rPr>
        <w:t xml:space="preserve"> </w:t>
      </w:r>
      <w:r w:rsidR="009605CF">
        <w:rPr>
          <w:rFonts w:ascii="Times New Roman" w:eastAsia="標楷體" w:hint="eastAsia"/>
          <w:spacing w:val="-2"/>
          <w:sz w:val="24"/>
          <w:szCs w:val="28"/>
        </w:rPr>
        <w:t xml:space="preserve">of the year </w:t>
      </w:r>
      <w:r>
        <w:rPr>
          <w:rFonts w:ascii="Times New Roman" w:eastAsia="標楷體" w:hint="eastAsia"/>
          <w:spacing w:val="-2"/>
          <w:sz w:val="24"/>
          <w:szCs w:val="28"/>
        </w:rPr>
        <w:t xml:space="preserve">was 3.4% and was expected to be 3.5% for the year as a whole. </w:t>
      </w:r>
    </w:p>
    <w:p w:rsidR="00B516AE" w:rsidRPr="00146044" w:rsidRDefault="00B516AE" w:rsidP="00B04114">
      <w:pPr>
        <w:pStyle w:val="6"/>
        <w:numPr>
          <w:ilvl w:val="1"/>
          <w:numId w:val="14"/>
        </w:numPr>
        <w:overflowPunct w:val="0"/>
        <w:snapToGrid w:val="0"/>
        <w:spacing w:after="0" w:line="440" w:lineRule="exact"/>
        <w:ind w:left="851" w:hanging="371"/>
        <w:rPr>
          <w:rFonts w:ascii="Times New Roman" w:eastAsia="標楷體"/>
          <w:spacing w:val="-2"/>
          <w:sz w:val="24"/>
          <w:szCs w:val="28"/>
        </w:rPr>
      </w:pPr>
      <w:r w:rsidRPr="00AA5820">
        <w:rPr>
          <w:rFonts w:ascii="Times New Roman" w:eastAsia="標楷體" w:hint="eastAsia"/>
          <w:spacing w:val="-2"/>
          <w:sz w:val="24"/>
          <w:szCs w:val="28"/>
        </w:rPr>
        <w:t xml:space="preserve">The M2 annual growth rate broadly trended up in the second half of the year, partly </w:t>
      </w:r>
      <w:r w:rsidR="00AA5820" w:rsidRPr="00AA5820">
        <w:rPr>
          <w:rFonts w:ascii="Times New Roman" w:eastAsia="標楷體" w:hint="eastAsia"/>
          <w:spacing w:val="-2"/>
          <w:sz w:val="24"/>
          <w:szCs w:val="28"/>
        </w:rPr>
        <w:t xml:space="preserve">reflecting </w:t>
      </w:r>
      <w:r w:rsidR="00AA5820">
        <w:rPr>
          <w:rFonts w:ascii="Times New Roman" w:eastAsia="標楷體" w:hint="eastAsia"/>
          <w:spacing w:val="-2"/>
          <w:sz w:val="24"/>
          <w:szCs w:val="28"/>
        </w:rPr>
        <w:t xml:space="preserve">the </w:t>
      </w:r>
      <w:r w:rsidR="00AA5820" w:rsidRPr="00AA5820">
        <w:rPr>
          <w:rFonts w:ascii="Times New Roman" w:eastAsia="標楷體" w:hint="eastAsia"/>
          <w:spacing w:val="-2"/>
          <w:sz w:val="24"/>
          <w:szCs w:val="28"/>
        </w:rPr>
        <w:t xml:space="preserve">inbound remittances </w:t>
      </w:r>
      <w:r w:rsidR="00F245D3">
        <w:rPr>
          <w:rFonts w:ascii="Times New Roman" w:eastAsia="標楷體" w:hint="eastAsia"/>
          <w:spacing w:val="-2"/>
          <w:sz w:val="24"/>
          <w:szCs w:val="28"/>
        </w:rPr>
        <w:t xml:space="preserve">made </w:t>
      </w:r>
      <w:r w:rsidR="00AA5820" w:rsidRPr="00AA5820">
        <w:rPr>
          <w:rFonts w:ascii="Times New Roman" w:eastAsia="標楷體" w:hint="eastAsia"/>
          <w:spacing w:val="-2"/>
          <w:sz w:val="24"/>
          <w:szCs w:val="28"/>
        </w:rPr>
        <w:t xml:space="preserve">by foreign </w:t>
      </w:r>
      <w:r w:rsidR="00F245D3">
        <w:rPr>
          <w:rFonts w:ascii="Times New Roman" w:eastAsia="標楷體" w:hint="eastAsia"/>
          <w:spacing w:val="-2"/>
          <w:sz w:val="24"/>
          <w:szCs w:val="28"/>
        </w:rPr>
        <w:t xml:space="preserve">portfolio </w:t>
      </w:r>
      <w:r w:rsidR="00AA5820" w:rsidRPr="00AA5820">
        <w:rPr>
          <w:rFonts w:ascii="Times New Roman" w:eastAsia="標楷體" w:hint="eastAsia"/>
          <w:spacing w:val="-2"/>
          <w:sz w:val="24"/>
          <w:szCs w:val="28"/>
        </w:rPr>
        <w:t xml:space="preserve">investors to </w:t>
      </w:r>
      <w:r w:rsidR="00F245D3">
        <w:rPr>
          <w:rFonts w:ascii="Times New Roman" w:eastAsia="標楷體" w:hint="eastAsia"/>
          <w:spacing w:val="-2"/>
          <w:sz w:val="24"/>
          <w:szCs w:val="28"/>
        </w:rPr>
        <w:t>gain greater exposure</w:t>
      </w:r>
      <w:r w:rsidR="00AA5820">
        <w:rPr>
          <w:rFonts w:ascii="Times New Roman" w:eastAsia="標楷體" w:hint="eastAsia"/>
          <w:spacing w:val="-2"/>
          <w:sz w:val="24"/>
          <w:szCs w:val="28"/>
        </w:rPr>
        <w:t xml:space="preserve"> in a </w:t>
      </w:r>
      <w:r w:rsidR="00AA5820" w:rsidRPr="00AA5820">
        <w:rPr>
          <w:rFonts w:ascii="Times New Roman" w:eastAsia="標楷體" w:hint="eastAsia"/>
          <w:spacing w:val="-2"/>
          <w:sz w:val="24"/>
          <w:szCs w:val="28"/>
        </w:rPr>
        <w:t xml:space="preserve">rising </w:t>
      </w:r>
      <w:r w:rsidR="00AA5820">
        <w:rPr>
          <w:rFonts w:ascii="Times New Roman" w:eastAsia="標楷體" w:hint="eastAsia"/>
          <w:spacing w:val="-2"/>
          <w:sz w:val="24"/>
          <w:szCs w:val="28"/>
        </w:rPr>
        <w:t xml:space="preserve">Taiwan </w:t>
      </w:r>
      <w:r w:rsidR="00AA5820" w:rsidRPr="00AA5820">
        <w:rPr>
          <w:rFonts w:ascii="Times New Roman" w:eastAsia="標楷體" w:hint="eastAsia"/>
          <w:spacing w:val="-2"/>
          <w:sz w:val="24"/>
          <w:szCs w:val="28"/>
        </w:rPr>
        <w:t xml:space="preserve">stock market. </w:t>
      </w:r>
    </w:p>
    <w:p w:rsidR="00A010F7" w:rsidRDefault="00B44AF6" w:rsidP="00B04114">
      <w:pPr>
        <w:pStyle w:val="6"/>
        <w:numPr>
          <w:ilvl w:val="0"/>
          <w:numId w:val="13"/>
        </w:numPr>
        <w:overflowPunct w:val="0"/>
        <w:snapToGrid w:val="0"/>
        <w:spacing w:after="0" w:line="440" w:lineRule="exact"/>
        <w:rPr>
          <w:rFonts w:ascii="Times New Roman" w:eastAsia="標楷體"/>
          <w:spacing w:val="-2"/>
          <w:sz w:val="24"/>
          <w:szCs w:val="28"/>
        </w:rPr>
      </w:pPr>
      <w:r>
        <w:rPr>
          <w:rFonts w:ascii="Times New Roman" w:eastAsia="標楷體" w:hint="eastAsia"/>
          <w:spacing w:val="-2"/>
          <w:sz w:val="24"/>
          <w:szCs w:val="28"/>
        </w:rPr>
        <w:t xml:space="preserve">Review of the money demand function for 2019 </w:t>
      </w:r>
      <w:r w:rsidR="0004487E" w:rsidRPr="00B774EB">
        <w:rPr>
          <w:rFonts w:ascii="Times New Roman" w:eastAsia="標楷體" w:hint="eastAsia"/>
          <w:spacing w:val="-2"/>
          <w:sz w:val="24"/>
          <w:szCs w:val="28"/>
        </w:rPr>
        <w:t xml:space="preserve"> </w:t>
      </w:r>
    </w:p>
    <w:p w:rsidR="00B44AF6" w:rsidRDefault="00B44AF6" w:rsidP="00B04114">
      <w:pPr>
        <w:pStyle w:val="6"/>
        <w:numPr>
          <w:ilvl w:val="0"/>
          <w:numId w:val="19"/>
        </w:numPr>
        <w:overflowPunct w:val="0"/>
        <w:snapToGrid w:val="0"/>
        <w:spacing w:after="0" w:line="440" w:lineRule="exact"/>
        <w:ind w:left="851" w:hanging="371"/>
        <w:rPr>
          <w:rFonts w:ascii="Times New Roman" w:eastAsia="標楷體"/>
          <w:spacing w:val="-2"/>
          <w:sz w:val="24"/>
          <w:szCs w:val="28"/>
        </w:rPr>
      </w:pPr>
      <w:r>
        <w:rPr>
          <w:rFonts w:ascii="Times New Roman" w:eastAsia="標楷體" w:hint="eastAsia"/>
          <w:spacing w:val="-2"/>
          <w:sz w:val="24"/>
          <w:szCs w:val="28"/>
        </w:rPr>
        <w:t xml:space="preserve">The target range of 2.5%-6.5%, set in December 2018 for the year of 2019, </w:t>
      </w:r>
      <w:r w:rsidR="00AA5820">
        <w:rPr>
          <w:rFonts w:ascii="Times New Roman" w:eastAsia="標楷體" w:hint="eastAsia"/>
          <w:spacing w:val="-2"/>
          <w:sz w:val="24"/>
          <w:szCs w:val="28"/>
        </w:rPr>
        <w:t xml:space="preserve">was estimated using the money demand function with data between 1991Q1 and 2018Q3. </w:t>
      </w:r>
    </w:p>
    <w:p w:rsidR="00B44AF6" w:rsidRDefault="00B44AF6" w:rsidP="00B04114">
      <w:pPr>
        <w:pStyle w:val="6"/>
        <w:numPr>
          <w:ilvl w:val="0"/>
          <w:numId w:val="19"/>
        </w:numPr>
        <w:overflowPunct w:val="0"/>
        <w:snapToGrid w:val="0"/>
        <w:spacing w:after="0" w:line="440" w:lineRule="exact"/>
        <w:ind w:left="851" w:hanging="371"/>
        <w:rPr>
          <w:rFonts w:ascii="Times New Roman" w:eastAsia="標楷體"/>
          <w:spacing w:val="-2"/>
          <w:sz w:val="24"/>
          <w:szCs w:val="28"/>
        </w:rPr>
      </w:pPr>
      <w:r>
        <w:rPr>
          <w:rFonts w:ascii="Times New Roman" w:eastAsia="標楷體" w:hint="eastAsia"/>
          <w:spacing w:val="-2"/>
          <w:sz w:val="24"/>
          <w:szCs w:val="28"/>
        </w:rPr>
        <w:t>After updating the data (with sample points extended to 2019Q3)</w:t>
      </w:r>
      <w:r w:rsidR="00AA5820">
        <w:rPr>
          <w:rFonts w:ascii="Times New Roman" w:eastAsia="標楷體" w:hint="eastAsia"/>
          <w:spacing w:val="-2"/>
          <w:sz w:val="24"/>
          <w:szCs w:val="28"/>
        </w:rPr>
        <w:t xml:space="preserve">, the new estimation result showed that M2 demand would grow by 2.96% year on year in 2019, still within the 2.5%-6.5% target range. </w:t>
      </w:r>
    </w:p>
    <w:p w:rsidR="008C4A7C" w:rsidRDefault="00794A68" w:rsidP="00B04114">
      <w:pPr>
        <w:pStyle w:val="6"/>
        <w:numPr>
          <w:ilvl w:val="0"/>
          <w:numId w:val="13"/>
        </w:numPr>
        <w:overflowPunct w:val="0"/>
        <w:snapToGrid w:val="0"/>
        <w:spacing w:after="0" w:line="440" w:lineRule="exact"/>
        <w:rPr>
          <w:rFonts w:ascii="Times New Roman" w:eastAsia="標楷體"/>
          <w:spacing w:val="-2"/>
          <w:sz w:val="24"/>
          <w:szCs w:val="28"/>
        </w:rPr>
      </w:pPr>
      <w:r>
        <w:rPr>
          <w:rFonts w:ascii="Times New Roman" w:eastAsia="標楷體" w:hint="eastAsia"/>
          <w:spacing w:val="-2"/>
          <w:sz w:val="24"/>
          <w:szCs w:val="28"/>
        </w:rPr>
        <w:t>The preliminary estimation</w:t>
      </w:r>
      <w:r w:rsidR="008C4A7C">
        <w:rPr>
          <w:rFonts w:ascii="Times New Roman" w:eastAsia="標楷體" w:hint="eastAsia"/>
          <w:spacing w:val="-2"/>
          <w:sz w:val="24"/>
          <w:szCs w:val="28"/>
        </w:rPr>
        <w:t xml:space="preserve"> of the 2020 money demand growth rate remained within the </w:t>
      </w:r>
      <w:r w:rsidR="00F245D3">
        <w:rPr>
          <w:rFonts w:ascii="Times New Roman" w:eastAsia="標楷體" w:hint="eastAsia"/>
          <w:spacing w:val="-2"/>
          <w:sz w:val="24"/>
          <w:szCs w:val="28"/>
        </w:rPr>
        <w:t xml:space="preserve">2.5%-6.5% range </w:t>
      </w:r>
    </w:p>
    <w:p w:rsidR="004C1B24" w:rsidRPr="008C4A7C" w:rsidRDefault="00EA7E07" w:rsidP="00B04114">
      <w:pPr>
        <w:pStyle w:val="6"/>
        <w:numPr>
          <w:ilvl w:val="0"/>
          <w:numId w:val="20"/>
        </w:numPr>
        <w:overflowPunct w:val="0"/>
        <w:snapToGrid w:val="0"/>
        <w:spacing w:after="0" w:line="440" w:lineRule="exact"/>
        <w:ind w:left="851" w:hanging="371"/>
        <w:rPr>
          <w:rFonts w:ascii="Times New Roman" w:eastAsia="標楷體"/>
          <w:spacing w:val="-2"/>
          <w:sz w:val="24"/>
          <w:szCs w:val="28"/>
        </w:rPr>
      </w:pPr>
      <w:r>
        <w:rPr>
          <w:rFonts w:ascii="Times New Roman" w:eastAsia="標楷體" w:hint="eastAsia"/>
          <w:spacing w:val="-2"/>
          <w:sz w:val="24"/>
          <w:szCs w:val="28"/>
        </w:rPr>
        <w:t>P</w:t>
      </w:r>
      <w:r w:rsidR="008C4A7C" w:rsidRPr="00146044">
        <w:rPr>
          <w:rFonts w:ascii="Times New Roman" w:eastAsia="標楷體" w:hint="eastAsia"/>
          <w:spacing w:val="-2"/>
          <w:sz w:val="24"/>
          <w:szCs w:val="28"/>
        </w:rPr>
        <w:t>reliminary estimat</w:t>
      </w:r>
      <w:r>
        <w:rPr>
          <w:rFonts w:ascii="Times New Roman" w:eastAsia="標楷體" w:hint="eastAsia"/>
          <w:spacing w:val="-2"/>
          <w:sz w:val="24"/>
          <w:szCs w:val="28"/>
        </w:rPr>
        <w:t>es</w:t>
      </w:r>
      <w:r w:rsidR="008C4A7C" w:rsidRPr="00146044">
        <w:rPr>
          <w:rFonts w:ascii="Times New Roman" w:eastAsia="標楷體" w:hint="eastAsia"/>
          <w:spacing w:val="-2"/>
          <w:sz w:val="24"/>
          <w:szCs w:val="28"/>
        </w:rPr>
        <w:t xml:space="preserve"> using the money demand function model showed that the 2020 demand for M2</w:t>
      </w:r>
      <w:r w:rsidR="004C1B24" w:rsidRPr="00146044">
        <w:rPr>
          <w:rFonts w:ascii="Times New Roman" w:eastAsia="標楷體" w:hint="eastAsia"/>
          <w:spacing w:val="-2"/>
          <w:sz w:val="24"/>
          <w:szCs w:val="28"/>
        </w:rPr>
        <w:t xml:space="preserve"> </w:t>
      </w:r>
      <w:r w:rsidR="008C4A7C" w:rsidRPr="00146044">
        <w:rPr>
          <w:rFonts w:ascii="Times New Roman" w:eastAsia="標楷體" w:hint="eastAsia"/>
          <w:spacing w:val="-2"/>
          <w:sz w:val="24"/>
          <w:szCs w:val="28"/>
        </w:rPr>
        <w:t xml:space="preserve">would grow by </w:t>
      </w:r>
      <w:r w:rsidR="004C1B24" w:rsidRPr="008C4A7C">
        <w:rPr>
          <w:rFonts w:ascii="Times New Roman" w:eastAsia="標楷體" w:hint="eastAsia"/>
          <w:spacing w:val="-2"/>
          <w:sz w:val="24"/>
          <w:szCs w:val="28"/>
        </w:rPr>
        <w:t>3.30%</w:t>
      </w:r>
      <w:r w:rsidR="008C4A7C">
        <w:rPr>
          <w:rFonts w:ascii="Times New Roman" w:eastAsia="標楷體" w:hint="eastAsia"/>
          <w:spacing w:val="-2"/>
          <w:sz w:val="24"/>
          <w:szCs w:val="28"/>
        </w:rPr>
        <w:t xml:space="preserve"> year on year</w:t>
      </w:r>
      <w:r w:rsidR="004C1B24" w:rsidRPr="008C4A7C">
        <w:rPr>
          <w:rFonts w:ascii="Times New Roman" w:eastAsia="標楷體" w:hint="eastAsia"/>
          <w:spacing w:val="-2"/>
          <w:sz w:val="24"/>
          <w:szCs w:val="28"/>
        </w:rPr>
        <w:t xml:space="preserve">. </w:t>
      </w:r>
    </w:p>
    <w:p w:rsidR="008161FD" w:rsidRPr="00146044" w:rsidRDefault="00EA7E07" w:rsidP="00B04114">
      <w:pPr>
        <w:pStyle w:val="6"/>
        <w:numPr>
          <w:ilvl w:val="0"/>
          <w:numId w:val="20"/>
        </w:numPr>
        <w:overflowPunct w:val="0"/>
        <w:snapToGrid w:val="0"/>
        <w:spacing w:after="0" w:line="440" w:lineRule="exact"/>
        <w:ind w:left="851" w:hanging="371"/>
        <w:rPr>
          <w:rFonts w:ascii="Times New Roman" w:eastAsia="標楷體"/>
          <w:spacing w:val="-2"/>
          <w:sz w:val="24"/>
          <w:szCs w:val="28"/>
        </w:rPr>
      </w:pPr>
      <w:r>
        <w:rPr>
          <w:rFonts w:ascii="Times New Roman" w:eastAsia="標楷體" w:hint="eastAsia"/>
          <w:spacing w:val="-2"/>
          <w:sz w:val="24"/>
          <w:szCs w:val="28"/>
        </w:rPr>
        <w:t xml:space="preserve">Using a method </w:t>
      </w:r>
      <w:r>
        <w:rPr>
          <w:rFonts w:ascii="Times New Roman" w:eastAsia="標楷體"/>
          <w:spacing w:val="-2"/>
          <w:sz w:val="24"/>
          <w:szCs w:val="28"/>
        </w:rPr>
        <w:t>similar</w:t>
      </w:r>
      <w:r>
        <w:rPr>
          <w:rFonts w:ascii="Times New Roman" w:eastAsia="標楷體" w:hint="eastAsia"/>
          <w:spacing w:val="-2"/>
          <w:sz w:val="24"/>
          <w:szCs w:val="28"/>
        </w:rPr>
        <w:t xml:space="preserve"> to</w:t>
      </w:r>
      <w:r w:rsidR="00146044" w:rsidRPr="00146044">
        <w:rPr>
          <w:rFonts w:ascii="Times New Roman" w:eastAsia="標楷體" w:hint="eastAsia"/>
          <w:spacing w:val="-2"/>
          <w:sz w:val="24"/>
          <w:szCs w:val="28"/>
        </w:rPr>
        <w:t xml:space="preserve"> the European Central Bank (with the equation being </w:t>
      </w:r>
      <w:r w:rsidR="00146044" w:rsidRPr="00146044">
        <w:rPr>
          <w:rFonts w:ascii="Times New Roman" w:eastAsia="標楷體"/>
          <w:spacing w:val="-2"/>
          <w:sz w:val="24"/>
          <w:szCs w:val="28"/>
        </w:rPr>
        <w:t>“</w:t>
      </w:r>
      <w:r w:rsidR="00146044" w:rsidRPr="00146044">
        <w:rPr>
          <w:rFonts w:ascii="Times New Roman" w:eastAsia="標楷體" w:hint="eastAsia"/>
          <w:spacing w:val="-2"/>
          <w:sz w:val="24"/>
          <w:szCs w:val="28"/>
        </w:rPr>
        <w:t>l</w:t>
      </w:r>
      <w:r w:rsidR="008161FD" w:rsidRPr="00146044">
        <w:rPr>
          <w:rFonts w:ascii="Times New Roman" w:eastAsia="標楷體" w:hint="eastAsia"/>
          <w:spacing w:val="-2"/>
          <w:sz w:val="24"/>
          <w:szCs w:val="28"/>
        </w:rPr>
        <w:t xml:space="preserve">ong-term </w:t>
      </w:r>
      <w:r w:rsidR="008161FD" w:rsidRPr="00146044">
        <w:rPr>
          <w:rFonts w:ascii="Times New Roman" w:eastAsia="標楷體"/>
          <w:spacing w:val="-2"/>
          <w:sz w:val="24"/>
          <w:szCs w:val="28"/>
        </w:rPr>
        <w:t>income elasticity of money demand</w:t>
      </w:r>
      <w:r w:rsidR="00146044">
        <w:rPr>
          <w:rFonts w:ascii="Times New Roman" w:eastAsia="標楷體" w:hint="eastAsia"/>
          <w:spacing w:val="-2"/>
          <w:sz w:val="24"/>
          <w:szCs w:val="28"/>
        </w:rPr>
        <w:t xml:space="preserve"> x potential output </w:t>
      </w:r>
      <w:r w:rsidR="00146044">
        <w:rPr>
          <w:rFonts w:ascii="Times New Roman" w:eastAsia="標楷體"/>
          <w:spacing w:val="-2"/>
          <w:sz w:val="24"/>
          <w:szCs w:val="28"/>
        </w:rPr>
        <w:t>growth</w:t>
      </w:r>
      <w:r w:rsidR="00146044">
        <w:rPr>
          <w:rFonts w:ascii="Times New Roman" w:eastAsia="標楷體" w:hint="eastAsia"/>
          <w:spacing w:val="-2"/>
          <w:sz w:val="24"/>
          <w:szCs w:val="28"/>
        </w:rPr>
        <w:t xml:space="preserve"> rate + tolerable inflation rate</w:t>
      </w:r>
      <w:r w:rsidR="00146044">
        <w:rPr>
          <w:rFonts w:ascii="Times New Roman" w:eastAsia="標楷體"/>
          <w:spacing w:val="-2"/>
          <w:sz w:val="24"/>
          <w:szCs w:val="28"/>
        </w:rPr>
        <w:t>”</w:t>
      </w:r>
      <w:r w:rsidR="00146044">
        <w:rPr>
          <w:rFonts w:ascii="Times New Roman" w:eastAsia="標楷體" w:hint="eastAsia"/>
          <w:spacing w:val="-2"/>
          <w:sz w:val="24"/>
          <w:szCs w:val="28"/>
        </w:rPr>
        <w:t xml:space="preserve">), the reference value of the M2 annual growth rate in 2020 was 4.30%. </w:t>
      </w:r>
    </w:p>
    <w:p w:rsidR="008F756C" w:rsidRPr="008F756C" w:rsidRDefault="00146044" w:rsidP="00B04114">
      <w:pPr>
        <w:pStyle w:val="6"/>
        <w:numPr>
          <w:ilvl w:val="0"/>
          <w:numId w:val="20"/>
        </w:numPr>
        <w:overflowPunct w:val="0"/>
        <w:snapToGrid w:val="0"/>
        <w:spacing w:after="0" w:line="440" w:lineRule="exact"/>
        <w:ind w:left="851" w:hanging="371"/>
        <w:rPr>
          <w:rFonts w:ascii="Times New Roman" w:eastAsia="標楷體"/>
          <w:spacing w:val="-2"/>
          <w:sz w:val="24"/>
          <w:szCs w:val="28"/>
        </w:rPr>
      </w:pPr>
      <w:r>
        <w:rPr>
          <w:rFonts w:ascii="Times New Roman" w:eastAsia="標楷體" w:hint="eastAsia"/>
          <w:spacing w:val="-2"/>
          <w:sz w:val="24"/>
          <w:szCs w:val="28"/>
        </w:rPr>
        <w:lastRenderedPageBreak/>
        <w:t>The growth rates of t</w:t>
      </w:r>
      <w:r w:rsidR="008161FD" w:rsidRPr="008F756C">
        <w:rPr>
          <w:rFonts w:ascii="Times New Roman" w:eastAsia="標楷體" w:hint="eastAsia"/>
          <w:spacing w:val="-2"/>
          <w:sz w:val="24"/>
          <w:szCs w:val="28"/>
        </w:rPr>
        <w:t xml:space="preserve">he demand for money and </w:t>
      </w:r>
      <w:r>
        <w:rPr>
          <w:rFonts w:ascii="Times New Roman" w:eastAsia="標楷體" w:hint="eastAsia"/>
          <w:spacing w:val="-2"/>
          <w:sz w:val="24"/>
          <w:szCs w:val="28"/>
        </w:rPr>
        <w:t>actual</w:t>
      </w:r>
      <w:r w:rsidR="008161FD" w:rsidRPr="008F756C">
        <w:rPr>
          <w:rFonts w:ascii="Times New Roman" w:eastAsia="標楷體" w:hint="eastAsia"/>
          <w:spacing w:val="-2"/>
          <w:sz w:val="24"/>
          <w:szCs w:val="28"/>
        </w:rPr>
        <w:t xml:space="preserve"> supply of money </w:t>
      </w:r>
      <w:r w:rsidR="008F756C" w:rsidRPr="008F756C">
        <w:rPr>
          <w:rFonts w:ascii="Times New Roman" w:eastAsia="標楷體" w:hint="eastAsia"/>
          <w:spacing w:val="-2"/>
          <w:sz w:val="24"/>
          <w:szCs w:val="28"/>
        </w:rPr>
        <w:t>both</w:t>
      </w:r>
      <w:r w:rsidR="000E60B7">
        <w:rPr>
          <w:rFonts w:ascii="Times New Roman" w:eastAsia="標楷體" w:hint="eastAsia"/>
          <w:spacing w:val="-2"/>
          <w:sz w:val="24"/>
          <w:szCs w:val="28"/>
        </w:rPr>
        <w:t xml:space="preserve"> fell</w:t>
      </w:r>
      <w:r>
        <w:rPr>
          <w:rFonts w:ascii="Times New Roman" w:eastAsia="標楷體" w:hint="eastAsia"/>
          <w:spacing w:val="-2"/>
          <w:sz w:val="24"/>
          <w:szCs w:val="28"/>
        </w:rPr>
        <w:t xml:space="preserve"> </w:t>
      </w:r>
      <w:r w:rsidR="008F756C" w:rsidRPr="008F756C">
        <w:rPr>
          <w:rFonts w:ascii="Times New Roman" w:eastAsia="標楷體" w:hint="eastAsia"/>
          <w:spacing w:val="-2"/>
          <w:sz w:val="24"/>
          <w:szCs w:val="28"/>
        </w:rPr>
        <w:t xml:space="preserve">within the reference range with broadly matching trends, indicating subdued inflationary or deflationary pressures </w:t>
      </w:r>
      <w:r w:rsidR="008F756C">
        <w:rPr>
          <w:rFonts w:ascii="Times New Roman" w:eastAsia="標楷體" w:hint="eastAsia"/>
          <w:spacing w:val="-2"/>
          <w:sz w:val="24"/>
          <w:szCs w:val="28"/>
        </w:rPr>
        <w:t>associated with</w:t>
      </w:r>
      <w:r w:rsidR="008F756C" w:rsidRPr="008F756C">
        <w:rPr>
          <w:rFonts w:ascii="Times New Roman" w:eastAsia="標楷體" w:hint="eastAsia"/>
          <w:spacing w:val="-2"/>
          <w:sz w:val="24"/>
          <w:szCs w:val="28"/>
        </w:rPr>
        <w:t xml:space="preserve"> the </w:t>
      </w:r>
      <w:r w:rsidR="008F756C" w:rsidRPr="008F756C">
        <w:rPr>
          <w:rFonts w:ascii="Times New Roman" w:eastAsia="標楷體"/>
          <w:spacing w:val="-2"/>
          <w:sz w:val="24"/>
          <w:szCs w:val="28"/>
        </w:rPr>
        <w:t>overall</w:t>
      </w:r>
      <w:r w:rsidR="008F756C" w:rsidRPr="008F756C">
        <w:rPr>
          <w:rFonts w:ascii="Times New Roman" w:eastAsia="標楷體" w:hint="eastAsia"/>
          <w:spacing w:val="-2"/>
          <w:sz w:val="24"/>
          <w:szCs w:val="28"/>
        </w:rPr>
        <w:t xml:space="preserve"> mone</w:t>
      </w:r>
      <w:r w:rsidR="000E60B7">
        <w:rPr>
          <w:rFonts w:ascii="Times New Roman" w:eastAsia="標楷體" w:hint="eastAsia"/>
          <w:spacing w:val="-2"/>
          <w:sz w:val="24"/>
          <w:szCs w:val="28"/>
        </w:rPr>
        <w:t xml:space="preserve">tary </w:t>
      </w:r>
      <w:r w:rsidR="008F756C" w:rsidRPr="008F756C">
        <w:rPr>
          <w:rFonts w:ascii="Times New Roman" w:eastAsia="標楷體" w:hint="eastAsia"/>
          <w:spacing w:val="-2"/>
          <w:sz w:val="24"/>
          <w:szCs w:val="28"/>
        </w:rPr>
        <w:t>conditions</w:t>
      </w:r>
      <w:r w:rsidR="008F756C">
        <w:rPr>
          <w:rFonts w:ascii="Times New Roman" w:eastAsia="標楷體" w:hint="eastAsia"/>
          <w:spacing w:val="-2"/>
          <w:sz w:val="24"/>
          <w:szCs w:val="28"/>
        </w:rPr>
        <w:t>.</w:t>
      </w:r>
    </w:p>
    <w:p w:rsidR="00584819" w:rsidRDefault="00584819" w:rsidP="00B04114">
      <w:pPr>
        <w:numPr>
          <w:ilvl w:val="0"/>
          <w:numId w:val="2"/>
        </w:numPr>
        <w:overflowPunct w:val="0"/>
        <w:autoSpaceDE w:val="0"/>
        <w:autoSpaceDN w:val="0"/>
        <w:snapToGrid w:val="0"/>
        <w:spacing w:before="120" w:line="440" w:lineRule="exact"/>
        <w:ind w:left="284" w:hanging="284"/>
        <w:jc w:val="both"/>
        <w:rPr>
          <w:rFonts w:eastAsia="標楷體"/>
          <w:b/>
          <w:spacing w:val="-2"/>
          <w:sz w:val="24"/>
          <w:szCs w:val="28"/>
        </w:rPr>
      </w:pPr>
      <w:r>
        <w:rPr>
          <w:rFonts w:eastAsia="標楷體" w:hint="eastAsia"/>
          <w:b/>
          <w:spacing w:val="-2"/>
          <w:sz w:val="24"/>
          <w:szCs w:val="28"/>
        </w:rPr>
        <w:t>The existing monetary policy regime is a flexible money-targeting framework</w:t>
      </w:r>
    </w:p>
    <w:p w:rsidR="00584819" w:rsidRDefault="00DA476A" w:rsidP="00FA173A">
      <w:pPr>
        <w:pStyle w:val="6"/>
        <w:overflowPunct w:val="0"/>
        <w:snapToGrid w:val="0"/>
        <w:spacing w:after="0" w:line="440" w:lineRule="exact"/>
        <w:ind w:left="0" w:firstLineChars="200" w:firstLine="472"/>
        <w:rPr>
          <w:rFonts w:ascii="Times New Roman" w:eastAsia="標楷體"/>
          <w:spacing w:val="-2"/>
          <w:sz w:val="24"/>
          <w:szCs w:val="28"/>
        </w:rPr>
      </w:pPr>
      <w:r>
        <w:rPr>
          <w:rFonts w:ascii="Times New Roman" w:eastAsia="標楷體" w:hint="eastAsia"/>
          <w:spacing w:val="-2"/>
          <w:sz w:val="24"/>
          <w:szCs w:val="28"/>
        </w:rPr>
        <w:t xml:space="preserve">The Bank previously had, </w:t>
      </w:r>
      <w:r w:rsidR="00173873">
        <w:rPr>
          <w:rFonts w:ascii="Times New Roman" w:eastAsia="標楷體" w:hint="eastAsia"/>
          <w:spacing w:val="-2"/>
          <w:sz w:val="24"/>
          <w:szCs w:val="28"/>
        </w:rPr>
        <w:t>i</w:t>
      </w:r>
      <w:r w:rsidR="00584819">
        <w:rPr>
          <w:rFonts w:ascii="Times New Roman" w:eastAsia="標楷體" w:hint="eastAsia"/>
          <w:spacing w:val="-2"/>
          <w:sz w:val="24"/>
          <w:szCs w:val="28"/>
        </w:rPr>
        <w:t xml:space="preserve">n </w:t>
      </w:r>
      <w:r w:rsidR="00173873">
        <w:rPr>
          <w:rFonts w:ascii="Times New Roman" w:eastAsia="標楷體" w:hint="eastAsia"/>
          <w:spacing w:val="-2"/>
          <w:sz w:val="24"/>
          <w:szCs w:val="28"/>
        </w:rPr>
        <w:t>the reference materials prepared for</w:t>
      </w:r>
      <w:r w:rsidR="00584819">
        <w:rPr>
          <w:rFonts w:ascii="Times New Roman" w:eastAsia="標楷體" w:hint="eastAsia"/>
          <w:spacing w:val="-2"/>
          <w:sz w:val="24"/>
          <w:szCs w:val="28"/>
        </w:rPr>
        <w:t xml:space="preserve"> post-</w:t>
      </w:r>
      <w:r>
        <w:rPr>
          <w:rFonts w:ascii="Times New Roman" w:eastAsia="標楷體" w:hint="eastAsia"/>
          <w:spacing w:val="-2"/>
          <w:sz w:val="24"/>
          <w:szCs w:val="28"/>
        </w:rPr>
        <w:t>Board M</w:t>
      </w:r>
      <w:r w:rsidR="00584819">
        <w:rPr>
          <w:rFonts w:ascii="Times New Roman" w:eastAsia="標楷體" w:hint="eastAsia"/>
          <w:spacing w:val="-2"/>
          <w:sz w:val="24"/>
          <w:szCs w:val="28"/>
        </w:rPr>
        <w:t>eeting press conferences, stated that it adopt</w:t>
      </w:r>
      <w:r w:rsidR="00173873">
        <w:rPr>
          <w:rFonts w:ascii="Times New Roman" w:eastAsia="標楷體" w:hint="eastAsia"/>
          <w:spacing w:val="-2"/>
          <w:sz w:val="24"/>
          <w:szCs w:val="28"/>
        </w:rPr>
        <w:t>ed</w:t>
      </w:r>
      <w:r w:rsidR="00584819">
        <w:rPr>
          <w:rFonts w:ascii="Times New Roman" w:eastAsia="標楷體" w:hint="eastAsia"/>
          <w:spacing w:val="-2"/>
          <w:sz w:val="24"/>
          <w:szCs w:val="28"/>
        </w:rPr>
        <w:t xml:space="preserve"> a flexible money-targeting framework, where not only M2, but other crucial macroeconomic and financial indicators </w:t>
      </w:r>
      <w:r>
        <w:rPr>
          <w:rFonts w:ascii="Times New Roman" w:eastAsia="標楷體" w:hint="eastAsia"/>
          <w:spacing w:val="-2"/>
          <w:sz w:val="24"/>
          <w:szCs w:val="28"/>
        </w:rPr>
        <w:t>we</w:t>
      </w:r>
      <w:r w:rsidR="00584819">
        <w:rPr>
          <w:rFonts w:ascii="Times New Roman" w:eastAsia="標楷體" w:hint="eastAsia"/>
          <w:spacing w:val="-2"/>
          <w:sz w:val="24"/>
          <w:szCs w:val="28"/>
        </w:rPr>
        <w:t>re taken into account, in order to achieve the Bank</w:t>
      </w:r>
      <w:r w:rsidR="00584819">
        <w:rPr>
          <w:rFonts w:ascii="Times New Roman" w:eastAsia="標楷體"/>
          <w:spacing w:val="-2"/>
          <w:sz w:val="24"/>
          <w:szCs w:val="28"/>
        </w:rPr>
        <w:t>’</w:t>
      </w:r>
      <w:r w:rsidR="00584819">
        <w:rPr>
          <w:rFonts w:ascii="Times New Roman" w:eastAsia="標楷體" w:hint="eastAsia"/>
          <w:spacing w:val="-2"/>
          <w:sz w:val="24"/>
          <w:szCs w:val="28"/>
        </w:rPr>
        <w:t xml:space="preserve">s statutory operational objectives. </w:t>
      </w:r>
    </w:p>
    <w:p w:rsidR="00584819" w:rsidRDefault="004E6DCB" w:rsidP="00FA173A">
      <w:pPr>
        <w:pStyle w:val="6"/>
        <w:overflowPunct w:val="0"/>
        <w:snapToGrid w:val="0"/>
        <w:spacing w:after="0" w:line="440" w:lineRule="exact"/>
        <w:ind w:left="0" w:firstLineChars="200" w:firstLine="472"/>
        <w:rPr>
          <w:rFonts w:ascii="Times New Roman" w:eastAsia="標楷體"/>
          <w:spacing w:val="-2"/>
          <w:sz w:val="24"/>
          <w:szCs w:val="28"/>
        </w:rPr>
      </w:pPr>
      <w:r>
        <w:rPr>
          <w:rFonts w:ascii="Times New Roman" w:eastAsia="標楷體" w:hint="eastAsia"/>
          <w:spacing w:val="-2"/>
          <w:sz w:val="24"/>
          <w:szCs w:val="28"/>
        </w:rPr>
        <w:t>M</w:t>
      </w:r>
      <w:r w:rsidR="00584819">
        <w:rPr>
          <w:rFonts w:ascii="Times New Roman" w:eastAsia="標楷體" w:hint="eastAsia"/>
          <w:spacing w:val="-2"/>
          <w:sz w:val="24"/>
          <w:szCs w:val="28"/>
        </w:rPr>
        <w:t>onetary polic</w:t>
      </w:r>
      <w:r>
        <w:rPr>
          <w:rFonts w:ascii="Times New Roman" w:eastAsia="標楷體" w:hint="eastAsia"/>
          <w:spacing w:val="-2"/>
          <w:sz w:val="24"/>
          <w:szCs w:val="28"/>
        </w:rPr>
        <w:t>y consists of three key elements, namely money, interest rates, and exchange rates. Among them,</w:t>
      </w:r>
      <w:r w:rsidR="00584819">
        <w:rPr>
          <w:rFonts w:ascii="Times New Roman" w:eastAsia="標楷體" w:hint="eastAsia"/>
          <w:spacing w:val="-2"/>
          <w:sz w:val="24"/>
          <w:szCs w:val="28"/>
        </w:rPr>
        <w:t xml:space="preserve"> the Bank was </w:t>
      </w:r>
      <w:r>
        <w:rPr>
          <w:rFonts w:ascii="Times New Roman" w:eastAsia="標楷體" w:hint="eastAsia"/>
          <w:spacing w:val="-2"/>
          <w:sz w:val="24"/>
          <w:szCs w:val="28"/>
        </w:rPr>
        <w:t xml:space="preserve">mulling over making an adjustment to M2 growth as a target. </w:t>
      </w:r>
    </w:p>
    <w:p w:rsidR="00045E43" w:rsidRDefault="009605CF" w:rsidP="00B04114">
      <w:pPr>
        <w:pStyle w:val="6"/>
        <w:numPr>
          <w:ilvl w:val="0"/>
          <w:numId w:val="15"/>
        </w:numPr>
        <w:overflowPunct w:val="0"/>
        <w:snapToGrid w:val="0"/>
        <w:spacing w:after="0" w:line="440" w:lineRule="exact"/>
        <w:rPr>
          <w:rFonts w:ascii="Times New Roman" w:eastAsia="標楷體"/>
          <w:spacing w:val="-2"/>
          <w:sz w:val="24"/>
          <w:szCs w:val="28"/>
        </w:rPr>
      </w:pPr>
      <w:r>
        <w:rPr>
          <w:rFonts w:ascii="Times New Roman" w:eastAsia="標楷體" w:hint="eastAsia"/>
          <w:spacing w:val="-2"/>
          <w:sz w:val="24"/>
          <w:szCs w:val="28"/>
        </w:rPr>
        <w:t>In accordance</w:t>
      </w:r>
      <w:r w:rsidR="004E6DCB">
        <w:rPr>
          <w:rFonts w:ascii="Times New Roman" w:eastAsia="標楷體" w:hint="eastAsia"/>
          <w:spacing w:val="-2"/>
          <w:sz w:val="24"/>
          <w:szCs w:val="28"/>
        </w:rPr>
        <w:t xml:space="preserve"> with the current practice, the Bank set</w:t>
      </w:r>
      <w:r>
        <w:rPr>
          <w:rFonts w:ascii="Times New Roman" w:eastAsia="標楷體" w:hint="eastAsia"/>
          <w:spacing w:val="-2"/>
          <w:sz w:val="24"/>
          <w:szCs w:val="28"/>
        </w:rPr>
        <w:t>s</w:t>
      </w:r>
      <w:r w:rsidR="004E6DCB">
        <w:rPr>
          <w:rFonts w:ascii="Times New Roman" w:eastAsia="標楷體" w:hint="eastAsia"/>
          <w:spacing w:val="-2"/>
          <w:sz w:val="24"/>
          <w:szCs w:val="28"/>
        </w:rPr>
        <w:t xml:space="preserve"> an annual target range for M2 growth for the coming year at the end of each year. </w:t>
      </w:r>
    </w:p>
    <w:p w:rsidR="004E6DCB" w:rsidRDefault="004E6DCB" w:rsidP="00B04114">
      <w:pPr>
        <w:pStyle w:val="6"/>
        <w:numPr>
          <w:ilvl w:val="0"/>
          <w:numId w:val="15"/>
        </w:numPr>
        <w:overflowPunct w:val="0"/>
        <w:snapToGrid w:val="0"/>
        <w:spacing w:after="0" w:line="440" w:lineRule="exact"/>
        <w:rPr>
          <w:rFonts w:ascii="Times New Roman" w:eastAsia="標楷體"/>
          <w:spacing w:val="-2"/>
          <w:sz w:val="24"/>
          <w:szCs w:val="28"/>
        </w:rPr>
      </w:pPr>
      <w:r>
        <w:rPr>
          <w:rFonts w:ascii="Times New Roman" w:eastAsia="標楷體" w:hint="eastAsia"/>
          <w:spacing w:val="-2"/>
          <w:sz w:val="24"/>
          <w:szCs w:val="28"/>
        </w:rPr>
        <w:t>The Bank</w:t>
      </w:r>
      <w:r>
        <w:rPr>
          <w:rFonts w:ascii="Times New Roman" w:eastAsia="標楷體"/>
          <w:spacing w:val="-2"/>
          <w:sz w:val="24"/>
          <w:szCs w:val="28"/>
        </w:rPr>
        <w:t>’</w:t>
      </w:r>
      <w:r>
        <w:rPr>
          <w:rFonts w:ascii="Times New Roman" w:eastAsia="標楷體" w:hint="eastAsia"/>
          <w:spacing w:val="-2"/>
          <w:sz w:val="24"/>
          <w:szCs w:val="28"/>
        </w:rPr>
        <w:t xml:space="preserve">s Board holds quarterly meetings to </w:t>
      </w:r>
      <w:r w:rsidR="002E5D62">
        <w:rPr>
          <w:rFonts w:ascii="Times New Roman" w:eastAsia="標楷體" w:hint="eastAsia"/>
          <w:spacing w:val="-2"/>
          <w:sz w:val="24"/>
          <w:szCs w:val="28"/>
        </w:rPr>
        <w:t>make</w:t>
      </w:r>
      <w:r>
        <w:rPr>
          <w:rFonts w:ascii="Times New Roman" w:eastAsia="標楷體" w:hint="eastAsia"/>
          <w:spacing w:val="-2"/>
          <w:sz w:val="24"/>
          <w:szCs w:val="28"/>
        </w:rPr>
        <w:t xml:space="preserve"> policy rate</w:t>
      </w:r>
      <w:r w:rsidR="002E5D62">
        <w:rPr>
          <w:rFonts w:ascii="Times New Roman" w:eastAsia="標楷體" w:hint="eastAsia"/>
          <w:spacing w:val="-2"/>
          <w:sz w:val="24"/>
          <w:szCs w:val="28"/>
        </w:rPr>
        <w:t xml:space="preserve"> decisions</w:t>
      </w:r>
      <w:r>
        <w:rPr>
          <w:rFonts w:ascii="Times New Roman" w:eastAsia="標楷體" w:hint="eastAsia"/>
          <w:spacing w:val="-2"/>
          <w:sz w:val="24"/>
          <w:szCs w:val="28"/>
        </w:rPr>
        <w:t xml:space="preserve">, based on the assessment of domestic and foreign </w:t>
      </w:r>
      <w:r>
        <w:rPr>
          <w:rFonts w:ascii="Times New Roman" w:eastAsia="標楷體"/>
          <w:spacing w:val="-2"/>
          <w:sz w:val="24"/>
          <w:szCs w:val="28"/>
        </w:rPr>
        <w:t>economic</w:t>
      </w:r>
      <w:r>
        <w:rPr>
          <w:rFonts w:ascii="Times New Roman" w:eastAsia="標楷體" w:hint="eastAsia"/>
          <w:spacing w:val="-2"/>
          <w:sz w:val="24"/>
          <w:szCs w:val="28"/>
        </w:rPr>
        <w:t xml:space="preserve"> and financial conditions like prices</w:t>
      </w:r>
      <w:r w:rsidR="002E5D62">
        <w:rPr>
          <w:rFonts w:ascii="Times New Roman" w:eastAsia="標楷體" w:hint="eastAsia"/>
          <w:spacing w:val="-2"/>
          <w:sz w:val="24"/>
          <w:szCs w:val="28"/>
        </w:rPr>
        <w:t xml:space="preserve">, </w:t>
      </w:r>
      <w:r w:rsidR="002E5D62">
        <w:rPr>
          <w:rFonts w:ascii="Times New Roman" w:eastAsia="標楷體"/>
          <w:spacing w:val="-2"/>
          <w:sz w:val="24"/>
          <w:szCs w:val="28"/>
        </w:rPr>
        <w:t>inflation</w:t>
      </w:r>
      <w:r w:rsidR="002E5D62">
        <w:rPr>
          <w:rFonts w:ascii="Times New Roman" w:eastAsia="標楷體" w:hint="eastAsia"/>
          <w:spacing w:val="-2"/>
          <w:sz w:val="24"/>
          <w:szCs w:val="28"/>
        </w:rPr>
        <w:t xml:space="preserve"> outlooks, and the output gap. </w:t>
      </w:r>
      <w:r>
        <w:rPr>
          <w:rFonts w:ascii="Times New Roman" w:eastAsia="標楷體" w:hint="eastAsia"/>
          <w:spacing w:val="-2"/>
          <w:sz w:val="24"/>
          <w:szCs w:val="28"/>
        </w:rPr>
        <w:t xml:space="preserve"> </w:t>
      </w:r>
    </w:p>
    <w:p w:rsidR="004E6DCB" w:rsidRPr="002E5D62" w:rsidRDefault="002E5D62" w:rsidP="00B04114">
      <w:pPr>
        <w:pStyle w:val="6"/>
        <w:numPr>
          <w:ilvl w:val="0"/>
          <w:numId w:val="15"/>
        </w:numPr>
        <w:overflowPunct w:val="0"/>
        <w:snapToGrid w:val="0"/>
        <w:spacing w:after="0" w:line="440" w:lineRule="exact"/>
        <w:rPr>
          <w:rFonts w:ascii="Times New Roman" w:eastAsia="標楷體"/>
          <w:spacing w:val="-2"/>
          <w:sz w:val="24"/>
          <w:szCs w:val="28"/>
        </w:rPr>
      </w:pPr>
      <w:r w:rsidRPr="002E5D62">
        <w:rPr>
          <w:rFonts w:ascii="Times New Roman" w:eastAsia="標楷體" w:hint="eastAsia"/>
          <w:spacing w:val="-2"/>
          <w:sz w:val="24"/>
          <w:szCs w:val="28"/>
        </w:rPr>
        <w:t xml:space="preserve">The NT dollar exchange rate is in principle determined by market forces. However, in the event of massive and collective waves of short-term capital flows, the Bank would step in the foreign exchange market in a timely and appropriate fashion to maintain dynamic stability of the NT dollar. </w:t>
      </w:r>
    </w:p>
    <w:p w:rsidR="00AA6988" w:rsidRPr="00B774EB" w:rsidRDefault="002E5D62" w:rsidP="00B04114">
      <w:pPr>
        <w:numPr>
          <w:ilvl w:val="0"/>
          <w:numId w:val="2"/>
        </w:numPr>
        <w:overflowPunct w:val="0"/>
        <w:autoSpaceDE w:val="0"/>
        <w:autoSpaceDN w:val="0"/>
        <w:snapToGrid w:val="0"/>
        <w:spacing w:before="120" w:line="440" w:lineRule="exact"/>
        <w:ind w:left="284" w:hanging="284"/>
        <w:jc w:val="both"/>
        <w:rPr>
          <w:rFonts w:eastAsia="標楷體"/>
          <w:b/>
          <w:spacing w:val="-2"/>
          <w:sz w:val="24"/>
          <w:szCs w:val="28"/>
        </w:rPr>
      </w:pPr>
      <w:r>
        <w:rPr>
          <w:rFonts w:eastAsia="標楷體" w:hint="eastAsia"/>
          <w:b/>
          <w:spacing w:val="-2"/>
          <w:sz w:val="24"/>
          <w:szCs w:val="28"/>
        </w:rPr>
        <w:t>Considerations for</w:t>
      </w:r>
      <w:r w:rsidR="00AA6988" w:rsidRPr="00B774EB">
        <w:rPr>
          <w:rFonts w:eastAsia="標楷體" w:hint="eastAsia"/>
          <w:b/>
          <w:spacing w:val="-2"/>
          <w:sz w:val="24"/>
          <w:szCs w:val="28"/>
        </w:rPr>
        <w:t xml:space="preserve"> </w:t>
      </w:r>
      <w:r w:rsidR="00C71614">
        <w:rPr>
          <w:rFonts w:eastAsia="標楷體" w:hint="eastAsia"/>
          <w:b/>
          <w:spacing w:val="-2"/>
          <w:sz w:val="24"/>
          <w:szCs w:val="28"/>
        </w:rPr>
        <w:t>adjust</w:t>
      </w:r>
      <w:r w:rsidR="005671FD">
        <w:rPr>
          <w:rFonts w:eastAsia="標楷體" w:hint="eastAsia"/>
          <w:b/>
          <w:spacing w:val="-2"/>
          <w:sz w:val="24"/>
          <w:szCs w:val="28"/>
        </w:rPr>
        <w:t>ing the M2 annual growth target range into reference range</w:t>
      </w:r>
      <w:r w:rsidR="00AA6988" w:rsidRPr="00B774EB">
        <w:rPr>
          <w:rFonts w:eastAsia="標楷體" w:hint="eastAsia"/>
          <w:b/>
          <w:spacing w:val="-2"/>
          <w:sz w:val="24"/>
          <w:szCs w:val="28"/>
        </w:rPr>
        <w:t xml:space="preserve">     </w:t>
      </w:r>
    </w:p>
    <w:p w:rsidR="002E5D62" w:rsidRDefault="00C71614" w:rsidP="00C71614">
      <w:pPr>
        <w:pStyle w:val="6"/>
        <w:overflowPunct w:val="0"/>
        <w:snapToGrid w:val="0"/>
        <w:spacing w:after="0" w:line="440" w:lineRule="exact"/>
        <w:ind w:left="480" w:firstLine="0"/>
        <w:rPr>
          <w:rFonts w:ascii="Times New Roman" w:eastAsia="標楷體"/>
          <w:spacing w:val="-2"/>
          <w:sz w:val="24"/>
          <w:szCs w:val="28"/>
        </w:rPr>
      </w:pPr>
      <w:r>
        <w:rPr>
          <w:rFonts w:ascii="Times New Roman" w:eastAsia="標楷體" w:hint="eastAsia"/>
          <w:spacing w:val="-2"/>
          <w:sz w:val="24"/>
          <w:szCs w:val="28"/>
        </w:rPr>
        <w:t>While the fundamental monetary policy framework remains</w:t>
      </w:r>
      <w:r w:rsidR="00DA476A">
        <w:rPr>
          <w:rFonts w:ascii="Times New Roman" w:eastAsia="標楷體" w:hint="eastAsia"/>
          <w:spacing w:val="-2"/>
          <w:sz w:val="24"/>
          <w:szCs w:val="28"/>
        </w:rPr>
        <w:t xml:space="preserve"> essentially</w:t>
      </w:r>
      <w:r>
        <w:rPr>
          <w:rFonts w:ascii="Times New Roman" w:eastAsia="標楷體" w:hint="eastAsia"/>
          <w:spacing w:val="-2"/>
          <w:sz w:val="24"/>
          <w:szCs w:val="28"/>
        </w:rPr>
        <w:t xml:space="preserve"> the same, starting from the year 2020, </w:t>
      </w:r>
      <w:r w:rsidRPr="00C71614">
        <w:rPr>
          <w:rFonts w:ascii="Times New Roman" w:eastAsia="標楷體"/>
          <w:spacing w:val="-2"/>
          <w:sz w:val="24"/>
          <w:szCs w:val="28"/>
        </w:rPr>
        <w:t>the target range for M2 growth will become the reference range</w:t>
      </w:r>
      <w:r>
        <w:rPr>
          <w:rFonts w:ascii="Times New Roman" w:eastAsia="標楷體" w:hint="eastAsia"/>
          <w:spacing w:val="-2"/>
          <w:sz w:val="24"/>
          <w:szCs w:val="28"/>
        </w:rPr>
        <w:t xml:space="preserve"> to reflect the flexible approach </w:t>
      </w:r>
      <w:r w:rsidR="00DA476A">
        <w:rPr>
          <w:rFonts w:ascii="Times New Roman" w:eastAsia="標楷體" w:hint="eastAsia"/>
          <w:spacing w:val="-2"/>
          <w:sz w:val="24"/>
          <w:szCs w:val="28"/>
        </w:rPr>
        <w:t xml:space="preserve">used </w:t>
      </w:r>
      <w:r>
        <w:rPr>
          <w:rFonts w:ascii="Times New Roman" w:eastAsia="標楷體" w:hint="eastAsia"/>
          <w:spacing w:val="-2"/>
          <w:sz w:val="24"/>
          <w:szCs w:val="28"/>
        </w:rPr>
        <w:t xml:space="preserve">in practice. The primary considerations include the following. </w:t>
      </w:r>
    </w:p>
    <w:p w:rsidR="002E5D62" w:rsidRDefault="00C03BE3" w:rsidP="00B04114">
      <w:pPr>
        <w:pStyle w:val="6"/>
        <w:numPr>
          <w:ilvl w:val="0"/>
          <w:numId w:val="21"/>
        </w:numPr>
        <w:overflowPunct w:val="0"/>
        <w:snapToGrid w:val="0"/>
        <w:spacing w:after="0" w:line="440" w:lineRule="exact"/>
        <w:rPr>
          <w:rFonts w:ascii="Times New Roman" w:eastAsia="標楷體"/>
          <w:spacing w:val="-2"/>
          <w:sz w:val="24"/>
          <w:szCs w:val="28"/>
        </w:rPr>
      </w:pPr>
      <w:r>
        <w:rPr>
          <w:rFonts w:ascii="Times New Roman" w:eastAsia="標楷體" w:hint="eastAsia"/>
          <w:spacing w:val="-2"/>
          <w:sz w:val="24"/>
          <w:szCs w:val="28"/>
        </w:rPr>
        <w:t>The Bank adopts the money-targeting regime with flexibility. In addition to M2 growth, the Bank</w:t>
      </w:r>
      <w:r>
        <w:rPr>
          <w:rFonts w:ascii="Times New Roman" w:eastAsia="標楷體"/>
          <w:spacing w:val="-2"/>
          <w:sz w:val="24"/>
          <w:szCs w:val="28"/>
        </w:rPr>
        <w:t>’</w:t>
      </w:r>
      <w:r>
        <w:rPr>
          <w:rFonts w:ascii="Times New Roman" w:eastAsia="標楷體" w:hint="eastAsia"/>
          <w:spacing w:val="-2"/>
          <w:sz w:val="24"/>
          <w:szCs w:val="28"/>
        </w:rPr>
        <w:t xml:space="preserve">s monetary policymaking also takes into account other key economic and financial indicators, such as inflation expectations, the output gap, interest rates and exchange rates, credit conditions, and asset prices. </w:t>
      </w:r>
    </w:p>
    <w:p w:rsidR="00C03BE3" w:rsidRDefault="00C03BE3" w:rsidP="00B04114">
      <w:pPr>
        <w:pStyle w:val="6"/>
        <w:numPr>
          <w:ilvl w:val="0"/>
          <w:numId w:val="21"/>
        </w:numPr>
        <w:overflowPunct w:val="0"/>
        <w:snapToGrid w:val="0"/>
        <w:spacing w:after="0" w:line="440" w:lineRule="exact"/>
        <w:rPr>
          <w:rFonts w:ascii="Times New Roman" w:eastAsia="標楷體"/>
          <w:spacing w:val="-2"/>
          <w:sz w:val="24"/>
          <w:szCs w:val="28"/>
        </w:rPr>
      </w:pPr>
      <w:r w:rsidRPr="00C03BE3">
        <w:rPr>
          <w:rFonts w:ascii="Times New Roman" w:eastAsia="標楷體" w:hint="eastAsia"/>
          <w:spacing w:val="-2"/>
          <w:sz w:val="24"/>
          <w:szCs w:val="28"/>
        </w:rPr>
        <w:lastRenderedPageBreak/>
        <w:t>Since after the global financial crisis, Taiwan has witnessed a weakening in the</w:t>
      </w:r>
      <w:r w:rsidR="00194B15">
        <w:rPr>
          <w:rFonts w:ascii="Times New Roman" w:eastAsia="標楷體" w:hint="eastAsia"/>
          <w:spacing w:val="-2"/>
          <w:sz w:val="24"/>
          <w:szCs w:val="28"/>
        </w:rPr>
        <w:t xml:space="preserve"> relationship </w:t>
      </w:r>
      <w:r w:rsidRPr="00C03BE3">
        <w:rPr>
          <w:rFonts w:ascii="Times New Roman" w:eastAsia="標楷體" w:hint="eastAsia"/>
          <w:spacing w:val="-2"/>
          <w:sz w:val="24"/>
          <w:szCs w:val="28"/>
        </w:rPr>
        <w:t xml:space="preserve">between M2 and prices, </w:t>
      </w:r>
      <w:r w:rsidR="00DA476A">
        <w:rPr>
          <w:rFonts w:ascii="Times New Roman" w:eastAsia="標楷體" w:hint="eastAsia"/>
          <w:spacing w:val="-2"/>
          <w:sz w:val="24"/>
          <w:szCs w:val="28"/>
        </w:rPr>
        <w:t xml:space="preserve">an </w:t>
      </w:r>
      <w:r w:rsidRPr="00C03BE3">
        <w:rPr>
          <w:rFonts w:ascii="Times New Roman" w:eastAsia="標楷體" w:hint="eastAsia"/>
          <w:spacing w:val="-2"/>
          <w:sz w:val="24"/>
          <w:szCs w:val="28"/>
        </w:rPr>
        <w:t>indicati</w:t>
      </w:r>
      <w:r w:rsidR="00DA476A">
        <w:rPr>
          <w:rFonts w:ascii="Times New Roman" w:eastAsia="標楷體" w:hint="eastAsia"/>
          <w:spacing w:val="-2"/>
          <w:sz w:val="24"/>
          <w:szCs w:val="28"/>
        </w:rPr>
        <w:t>on</w:t>
      </w:r>
      <w:r w:rsidRPr="00C03BE3">
        <w:rPr>
          <w:rFonts w:ascii="Times New Roman" w:eastAsia="標楷體" w:hint="eastAsia"/>
          <w:spacing w:val="-2"/>
          <w:sz w:val="24"/>
          <w:szCs w:val="28"/>
        </w:rPr>
        <w:t xml:space="preserve"> that the </w:t>
      </w:r>
      <w:r w:rsidR="00F32291" w:rsidRPr="00C03BE3">
        <w:rPr>
          <w:rFonts w:ascii="Times New Roman" w:eastAsia="標楷體" w:hint="eastAsia"/>
          <w:spacing w:val="-2"/>
          <w:sz w:val="24"/>
          <w:szCs w:val="28"/>
        </w:rPr>
        <w:t xml:space="preserve">short-term </w:t>
      </w:r>
      <w:r w:rsidRPr="00C03BE3">
        <w:rPr>
          <w:rFonts w:ascii="Times New Roman" w:eastAsia="標楷體" w:hint="eastAsia"/>
          <w:spacing w:val="-2"/>
          <w:sz w:val="24"/>
          <w:szCs w:val="28"/>
        </w:rPr>
        <w:t xml:space="preserve">effect of the intermediate target on price stability has </w:t>
      </w:r>
      <w:r>
        <w:rPr>
          <w:rFonts w:ascii="Times New Roman" w:eastAsia="標楷體" w:hint="eastAsia"/>
          <w:spacing w:val="-2"/>
          <w:sz w:val="24"/>
          <w:szCs w:val="28"/>
        </w:rPr>
        <w:t xml:space="preserve">become less clear. Nevertheless, </w:t>
      </w:r>
      <w:r w:rsidR="00CC0DAF">
        <w:rPr>
          <w:rFonts w:ascii="Times New Roman" w:eastAsia="標楷體" w:hint="eastAsia"/>
          <w:spacing w:val="-2"/>
          <w:sz w:val="24"/>
          <w:szCs w:val="28"/>
        </w:rPr>
        <w:t xml:space="preserve">the mid- to long-term </w:t>
      </w:r>
      <w:r w:rsidR="00194B15">
        <w:rPr>
          <w:rFonts w:ascii="Times New Roman" w:eastAsia="標楷體" w:hint="eastAsia"/>
          <w:spacing w:val="-2"/>
          <w:sz w:val="24"/>
          <w:szCs w:val="28"/>
        </w:rPr>
        <w:t xml:space="preserve">relationship </w:t>
      </w:r>
      <w:r w:rsidR="00CC0DAF">
        <w:rPr>
          <w:rFonts w:ascii="Times New Roman" w:eastAsia="標楷體" w:hint="eastAsia"/>
          <w:spacing w:val="-2"/>
          <w:sz w:val="24"/>
          <w:szCs w:val="28"/>
        </w:rPr>
        <w:t xml:space="preserve">among M2, output, and prices remains stable. An appropriate pace of M2 growth would be conducive to attaining the ultimate objective of price stability. </w:t>
      </w:r>
    </w:p>
    <w:p w:rsidR="00CC0DAF" w:rsidRDefault="000F624B" w:rsidP="00B04114">
      <w:pPr>
        <w:pStyle w:val="6"/>
        <w:numPr>
          <w:ilvl w:val="0"/>
          <w:numId w:val="21"/>
        </w:numPr>
        <w:overflowPunct w:val="0"/>
        <w:snapToGrid w:val="0"/>
        <w:spacing w:after="0" w:line="440" w:lineRule="exact"/>
        <w:rPr>
          <w:rFonts w:ascii="Times New Roman" w:eastAsia="標楷體"/>
          <w:spacing w:val="-2"/>
          <w:sz w:val="24"/>
          <w:szCs w:val="28"/>
        </w:rPr>
      </w:pPr>
      <w:r>
        <w:rPr>
          <w:rFonts w:ascii="Times New Roman" w:eastAsia="標楷體" w:hint="eastAsia"/>
          <w:spacing w:val="-2"/>
          <w:sz w:val="24"/>
          <w:szCs w:val="28"/>
        </w:rPr>
        <w:t xml:space="preserve">As Taiwan is a small open economy, it is important to ensure monetary policy autonomy and </w:t>
      </w:r>
      <w:r>
        <w:rPr>
          <w:rFonts w:ascii="Times New Roman" w:eastAsia="標楷體"/>
          <w:spacing w:val="-2"/>
          <w:sz w:val="24"/>
          <w:szCs w:val="28"/>
        </w:rPr>
        <w:t>flexibility</w:t>
      </w:r>
      <w:r>
        <w:rPr>
          <w:rFonts w:ascii="Times New Roman" w:eastAsia="標楷體" w:hint="eastAsia"/>
          <w:spacing w:val="-2"/>
          <w:sz w:val="24"/>
          <w:szCs w:val="28"/>
        </w:rPr>
        <w:t xml:space="preserve">. Adjusting the target range for M2 growth into the reference range would provide greater operational flexibility. Allowing M2 growth within an appropriate range </w:t>
      </w:r>
      <w:r w:rsidR="00CC25CE">
        <w:rPr>
          <w:rFonts w:ascii="Times New Roman" w:eastAsia="標楷體" w:hint="eastAsia"/>
          <w:spacing w:val="-2"/>
          <w:sz w:val="24"/>
          <w:szCs w:val="28"/>
        </w:rPr>
        <w:t xml:space="preserve">to account for the uncertainties over macroeconomic and financial variables would help </w:t>
      </w:r>
      <w:r w:rsidR="00CC25CE">
        <w:rPr>
          <w:rFonts w:ascii="Times New Roman" w:eastAsia="標楷體"/>
          <w:spacing w:val="-2"/>
          <w:sz w:val="24"/>
          <w:szCs w:val="28"/>
        </w:rPr>
        <w:t>guard</w:t>
      </w:r>
      <w:r w:rsidR="00CC25CE">
        <w:rPr>
          <w:rFonts w:ascii="Times New Roman" w:eastAsia="標楷體" w:hint="eastAsia"/>
          <w:spacing w:val="-2"/>
          <w:sz w:val="24"/>
          <w:szCs w:val="28"/>
        </w:rPr>
        <w:t xml:space="preserve"> against excess volatility in short-term interest rates and </w:t>
      </w:r>
      <w:r w:rsidR="00502CBF">
        <w:rPr>
          <w:rFonts w:ascii="Times New Roman" w:eastAsia="標楷體" w:hint="eastAsia"/>
          <w:spacing w:val="-2"/>
          <w:sz w:val="24"/>
          <w:szCs w:val="28"/>
        </w:rPr>
        <w:t xml:space="preserve">would </w:t>
      </w:r>
      <w:r w:rsidR="00CC25CE">
        <w:rPr>
          <w:rFonts w:ascii="Times New Roman" w:eastAsia="標楷體" w:hint="eastAsia"/>
          <w:spacing w:val="-2"/>
          <w:sz w:val="24"/>
          <w:szCs w:val="28"/>
        </w:rPr>
        <w:t xml:space="preserve">be </w:t>
      </w:r>
      <w:r w:rsidR="00502CBF">
        <w:rPr>
          <w:rFonts w:ascii="Times New Roman" w:eastAsia="標楷體" w:hint="eastAsia"/>
          <w:spacing w:val="-2"/>
          <w:sz w:val="24"/>
          <w:szCs w:val="28"/>
        </w:rPr>
        <w:t>consistent with</w:t>
      </w:r>
      <w:r w:rsidR="00CC25CE">
        <w:rPr>
          <w:rFonts w:ascii="Times New Roman" w:eastAsia="標楷體" w:hint="eastAsia"/>
          <w:spacing w:val="-2"/>
          <w:sz w:val="24"/>
          <w:szCs w:val="28"/>
        </w:rPr>
        <w:t xml:space="preserve"> the Bank</w:t>
      </w:r>
      <w:r w:rsidR="00CC25CE">
        <w:rPr>
          <w:rFonts w:ascii="Times New Roman" w:eastAsia="標楷體"/>
          <w:spacing w:val="-2"/>
          <w:sz w:val="24"/>
          <w:szCs w:val="28"/>
        </w:rPr>
        <w:t>’</w:t>
      </w:r>
      <w:r w:rsidR="00CC25CE">
        <w:rPr>
          <w:rFonts w:ascii="Times New Roman" w:eastAsia="標楷體" w:hint="eastAsia"/>
          <w:spacing w:val="-2"/>
          <w:sz w:val="24"/>
          <w:szCs w:val="28"/>
        </w:rPr>
        <w:t xml:space="preserve">s efforts in maintaining dynamic stability of the exchange rate. </w:t>
      </w:r>
    </w:p>
    <w:p w:rsidR="00CC25CE" w:rsidRDefault="00CC25CE" w:rsidP="00B04114">
      <w:pPr>
        <w:pStyle w:val="6"/>
        <w:numPr>
          <w:ilvl w:val="0"/>
          <w:numId w:val="21"/>
        </w:numPr>
        <w:overflowPunct w:val="0"/>
        <w:snapToGrid w:val="0"/>
        <w:spacing w:after="0" w:line="440" w:lineRule="exact"/>
        <w:rPr>
          <w:rFonts w:ascii="Times New Roman" w:eastAsia="標楷體"/>
          <w:spacing w:val="-2"/>
          <w:sz w:val="24"/>
          <w:szCs w:val="28"/>
        </w:rPr>
      </w:pPr>
      <w:r>
        <w:rPr>
          <w:rFonts w:ascii="Times New Roman" w:eastAsia="標楷體" w:hint="eastAsia"/>
          <w:spacing w:val="-2"/>
          <w:sz w:val="24"/>
          <w:szCs w:val="28"/>
        </w:rPr>
        <w:t xml:space="preserve">Monetary aggregates continue to be used by several major central banks as </w:t>
      </w:r>
      <w:r w:rsidR="00F32291">
        <w:rPr>
          <w:rFonts w:ascii="Times New Roman" w:eastAsia="標楷體" w:hint="eastAsia"/>
          <w:spacing w:val="-2"/>
          <w:sz w:val="24"/>
          <w:szCs w:val="28"/>
        </w:rPr>
        <w:t>one of the</w:t>
      </w:r>
      <w:r>
        <w:rPr>
          <w:rFonts w:ascii="Times New Roman" w:eastAsia="標楷體" w:hint="eastAsia"/>
          <w:spacing w:val="-2"/>
          <w:sz w:val="24"/>
          <w:szCs w:val="28"/>
        </w:rPr>
        <w:t xml:space="preserve"> reference</w:t>
      </w:r>
      <w:r w:rsidR="00F32291">
        <w:rPr>
          <w:rFonts w:ascii="Times New Roman" w:eastAsia="標楷體" w:hint="eastAsia"/>
          <w:spacing w:val="-2"/>
          <w:sz w:val="24"/>
          <w:szCs w:val="28"/>
        </w:rPr>
        <w:t xml:space="preserve"> indicators</w:t>
      </w:r>
      <w:r>
        <w:rPr>
          <w:rFonts w:ascii="Times New Roman" w:eastAsia="標楷體" w:hint="eastAsia"/>
          <w:spacing w:val="-2"/>
          <w:sz w:val="24"/>
          <w:szCs w:val="28"/>
        </w:rPr>
        <w:t xml:space="preserve">, performing as an anchor in the mid- to long-run. </w:t>
      </w:r>
    </w:p>
    <w:p w:rsidR="00CC25CE" w:rsidRDefault="00CC25CE" w:rsidP="004823B0">
      <w:pPr>
        <w:pStyle w:val="6"/>
        <w:numPr>
          <w:ilvl w:val="1"/>
          <w:numId w:val="21"/>
        </w:numPr>
        <w:overflowPunct w:val="0"/>
        <w:snapToGrid w:val="0"/>
        <w:spacing w:after="0" w:line="440" w:lineRule="exact"/>
        <w:ind w:left="851" w:hanging="371"/>
        <w:rPr>
          <w:rFonts w:ascii="Times New Roman" w:eastAsia="標楷體"/>
          <w:spacing w:val="-2"/>
          <w:sz w:val="24"/>
          <w:szCs w:val="28"/>
        </w:rPr>
      </w:pPr>
      <w:r>
        <w:rPr>
          <w:rFonts w:ascii="Times New Roman" w:eastAsia="標楷體" w:hint="eastAsia"/>
          <w:spacing w:val="-2"/>
          <w:sz w:val="24"/>
          <w:szCs w:val="28"/>
        </w:rPr>
        <w:t xml:space="preserve">The European Central Bank uses the growth rate of </w:t>
      </w:r>
      <w:r w:rsidRPr="00CC25CE">
        <w:rPr>
          <w:rFonts w:ascii="Times New Roman" w:eastAsia="標楷體"/>
          <w:spacing w:val="-2"/>
          <w:sz w:val="24"/>
          <w:szCs w:val="28"/>
        </w:rPr>
        <w:t>the broad monetary aggregate M3</w:t>
      </w:r>
      <w:r>
        <w:rPr>
          <w:rFonts w:ascii="Times New Roman" w:eastAsia="標楷體" w:hint="eastAsia"/>
          <w:spacing w:val="-2"/>
          <w:sz w:val="24"/>
          <w:szCs w:val="28"/>
        </w:rPr>
        <w:t xml:space="preserve"> as one of the reference indicators. </w:t>
      </w:r>
    </w:p>
    <w:p w:rsidR="00CC25CE" w:rsidRDefault="00CC25CE" w:rsidP="004823B0">
      <w:pPr>
        <w:pStyle w:val="6"/>
        <w:numPr>
          <w:ilvl w:val="1"/>
          <w:numId w:val="21"/>
        </w:numPr>
        <w:overflowPunct w:val="0"/>
        <w:snapToGrid w:val="0"/>
        <w:spacing w:after="0" w:line="440" w:lineRule="exact"/>
        <w:ind w:left="851" w:hanging="371"/>
        <w:rPr>
          <w:rFonts w:ascii="Times New Roman" w:eastAsia="標楷體"/>
          <w:spacing w:val="-2"/>
          <w:sz w:val="24"/>
          <w:szCs w:val="28"/>
        </w:rPr>
      </w:pPr>
      <w:r>
        <w:rPr>
          <w:rFonts w:ascii="Times New Roman" w:eastAsia="標楷體" w:hint="eastAsia"/>
          <w:spacing w:val="-2"/>
          <w:sz w:val="24"/>
          <w:szCs w:val="28"/>
        </w:rPr>
        <w:t xml:space="preserve">The </w:t>
      </w:r>
      <w:r w:rsidRPr="00CC25CE">
        <w:rPr>
          <w:rFonts w:ascii="Times New Roman" w:eastAsia="標楷體"/>
          <w:spacing w:val="-2"/>
          <w:sz w:val="24"/>
          <w:szCs w:val="28"/>
        </w:rPr>
        <w:t>Swiss National Bank</w:t>
      </w:r>
      <w:r>
        <w:rPr>
          <w:rFonts w:ascii="Times New Roman" w:eastAsia="標楷體" w:hint="eastAsia"/>
          <w:spacing w:val="-2"/>
          <w:sz w:val="24"/>
          <w:szCs w:val="28"/>
        </w:rPr>
        <w:t xml:space="preserve"> does not target monetary aggregates but continues to pay close attention to the related readings and information they provide. </w:t>
      </w:r>
    </w:p>
    <w:p w:rsidR="00CB5734" w:rsidRPr="004823B0" w:rsidRDefault="00FD18FE" w:rsidP="00FD18FE">
      <w:pPr>
        <w:numPr>
          <w:ilvl w:val="0"/>
          <w:numId w:val="2"/>
        </w:numPr>
        <w:overflowPunct w:val="0"/>
        <w:autoSpaceDE w:val="0"/>
        <w:autoSpaceDN w:val="0"/>
        <w:snapToGrid w:val="0"/>
        <w:spacing w:before="120" w:line="440" w:lineRule="exact"/>
        <w:ind w:left="284" w:hanging="284"/>
        <w:jc w:val="both"/>
        <w:textDirection w:val="lrTbV"/>
        <w:rPr>
          <w:rFonts w:eastAsia="標楷體"/>
          <w:b/>
          <w:spacing w:val="-2"/>
          <w:sz w:val="24"/>
          <w:szCs w:val="28"/>
        </w:rPr>
      </w:pPr>
      <w:r w:rsidRPr="004823B0">
        <w:rPr>
          <w:rFonts w:eastAsia="標楷體" w:hint="eastAsia"/>
          <w:b/>
          <w:spacing w:val="-2"/>
          <w:sz w:val="24"/>
          <w:szCs w:val="28"/>
        </w:rPr>
        <w:t>The next steps</w:t>
      </w:r>
      <w:r w:rsidR="00CB5734" w:rsidRPr="004823B0">
        <w:rPr>
          <w:rFonts w:eastAsia="標楷體" w:hint="eastAsia"/>
          <w:b/>
          <w:spacing w:val="-2"/>
          <w:sz w:val="24"/>
          <w:szCs w:val="28"/>
        </w:rPr>
        <w:t xml:space="preserve"> </w:t>
      </w:r>
    </w:p>
    <w:p w:rsidR="00F82120" w:rsidRDefault="00603AFB" w:rsidP="00603AFB">
      <w:pPr>
        <w:pStyle w:val="6"/>
        <w:numPr>
          <w:ilvl w:val="0"/>
          <w:numId w:val="22"/>
        </w:numPr>
        <w:overflowPunct w:val="0"/>
        <w:snapToGrid w:val="0"/>
        <w:spacing w:after="0" w:line="440" w:lineRule="exact"/>
        <w:textDirection w:val="lrTbV"/>
        <w:rPr>
          <w:rFonts w:ascii="Times New Roman" w:eastAsia="標楷體"/>
          <w:spacing w:val="-2"/>
          <w:sz w:val="24"/>
          <w:szCs w:val="28"/>
        </w:rPr>
      </w:pPr>
      <w:r>
        <w:rPr>
          <w:rFonts w:ascii="Times New Roman" w:eastAsia="標楷體" w:hint="eastAsia"/>
          <w:spacing w:val="-2"/>
          <w:sz w:val="24"/>
          <w:szCs w:val="28"/>
        </w:rPr>
        <w:t>Starting from next year, the target range of M2 growth would become a reference range</w:t>
      </w:r>
      <w:r w:rsidR="00B70D04" w:rsidRPr="00603AFB">
        <w:rPr>
          <w:rFonts w:ascii="Times New Roman" w:eastAsia="標楷體" w:hint="eastAsia"/>
          <w:spacing w:val="-2"/>
          <w:sz w:val="24"/>
          <w:szCs w:val="28"/>
        </w:rPr>
        <w:t xml:space="preserve">. </w:t>
      </w:r>
    </w:p>
    <w:p w:rsidR="00603AFB" w:rsidRDefault="00603AFB" w:rsidP="004823B0">
      <w:pPr>
        <w:pStyle w:val="6"/>
        <w:numPr>
          <w:ilvl w:val="1"/>
          <w:numId w:val="22"/>
        </w:numPr>
        <w:overflowPunct w:val="0"/>
        <w:snapToGrid w:val="0"/>
        <w:spacing w:after="0" w:line="440" w:lineRule="exact"/>
        <w:ind w:left="851" w:hanging="425"/>
        <w:textDirection w:val="lrTbV"/>
        <w:rPr>
          <w:rFonts w:ascii="Times New Roman" w:eastAsia="標楷體"/>
          <w:spacing w:val="-2"/>
          <w:sz w:val="24"/>
          <w:szCs w:val="28"/>
        </w:rPr>
      </w:pPr>
      <w:r>
        <w:rPr>
          <w:rFonts w:ascii="Times New Roman" w:eastAsia="標楷體"/>
          <w:spacing w:val="-2"/>
          <w:sz w:val="24"/>
          <w:szCs w:val="28"/>
        </w:rPr>
        <w:t>T</w:t>
      </w:r>
      <w:r>
        <w:rPr>
          <w:rFonts w:ascii="Times New Roman" w:eastAsia="標楷體" w:hint="eastAsia"/>
          <w:spacing w:val="-2"/>
          <w:sz w:val="24"/>
          <w:szCs w:val="28"/>
        </w:rPr>
        <w:t xml:space="preserve">he M2 annual growth rate has stayed within the target range of 2.5%-6.5%, conducive to the attaining of a low and stable </w:t>
      </w:r>
      <w:r>
        <w:rPr>
          <w:rFonts w:ascii="Times New Roman" w:eastAsia="標楷體"/>
          <w:spacing w:val="-2"/>
          <w:sz w:val="24"/>
          <w:szCs w:val="28"/>
        </w:rPr>
        <w:t>inflation</w:t>
      </w:r>
      <w:r>
        <w:rPr>
          <w:rFonts w:ascii="Times New Roman" w:eastAsia="標楷體" w:hint="eastAsia"/>
          <w:spacing w:val="-2"/>
          <w:sz w:val="24"/>
          <w:szCs w:val="28"/>
        </w:rPr>
        <w:t xml:space="preserve"> rate and sufficient to support economic activity.</w:t>
      </w:r>
    </w:p>
    <w:p w:rsidR="00603AFB" w:rsidRDefault="00603AFB" w:rsidP="004823B0">
      <w:pPr>
        <w:pStyle w:val="6"/>
        <w:numPr>
          <w:ilvl w:val="1"/>
          <w:numId w:val="22"/>
        </w:numPr>
        <w:overflowPunct w:val="0"/>
        <w:snapToGrid w:val="0"/>
        <w:spacing w:after="0" w:line="440" w:lineRule="exact"/>
        <w:ind w:left="851" w:hanging="425"/>
        <w:textDirection w:val="lrTbV"/>
        <w:rPr>
          <w:rFonts w:ascii="Times New Roman" w:eastAsia="標楷體"/>
          <w:spacing w:val="-2"/>
          <w:sz w:val="24"/>
          <w:szCs w:val="28"/>
        </w:rPr>
      </w:pPr>
      <w:r>
        <w:rPr>
          <w:rFonts w:ascii="Times New Roman" w:eastAsia="標楷體" w:hint="eastAsia"/>
          <w:spacing w:val="-2"/>
          <w:sz w:val="24"/>
          <w:szCs w:val="28"/>
        </w:rPr>
        <w:t xml:space="preserve">The model estimation </w:t>
      </w:r>
      <w:r>
        <w:rPr>
          <w:rFonts w:ascii="Times New Roman" w:eastAsia="標楷體"/>
          <w:spacing w:val="-2"/>
          <w:sz w:val="24"/>
          <w:szCs w:val="28"/>
        </w:rPr>
        <w:t>result</w:t>
      </w:r>
      <w:r>
        <w:rPr>
          <w:rFonts w:ascii="Times New Roman" w:eastAsia="標楷體" w:hint="eastAsia"/>
          <w:spacing w:val="-2"/>
          <w:sz w:val="24"/>
          <w:szCs w:val="28"/>
        </w:rPr>
        <w:t xml:space="preserve"> showed that M2 demand growth would be </w:t>
      </w:r>
      <w:r>
        <w:rPr>
          <w:rFonts w:ascii="Times New Roman" w:eastAsia="標楷體"/>
          <w:spacing w:val="-2"/>
          <w:sz w:val="24"/>
          <w:szCs w:val="28"/>
        </w:rPr>
        <w:t>within</w:t>
      </w:r>
      <w:r>
        <w:rPr>
          <w:rFonts w:ascii="Times New Roman" w:eastAsia="標楷體" w:hint="eastAsia"/>
          <w:spacing w:val="-2"/>
          <w:sz w:val="24"/>
          <w:szCs w:val="28"/>
        </w:rPr>
        <w:t xml:space="preserve"> the aforesaid range. Therefore, a 2.5%-6.5% reference range for M2 growth was deemed appropriate.</w:t>
      </w:r>
    </w:p>
    <w:p w:rsidR="00603AFB" w:rsidRDefault="00603AFB" w:rsidP="00603AFB">
      <w:pPr>
        <w:pStyle w:val="6"/>
        <w:numPr>
          <w:ilvl w:val="0"/>
          <w:numId w:val="22"/>
        </w:numPr>
        <w:overflowPunct w:val="0"/>
        <w:snapToGrid w:val="0"/>
        <w:spacing w:after="0" w:line="440" w:lineRule="exact"/>
        <w:textDirection w:val="lrTbV"/>
        <w:rPr>
          <w:rFonts w:ascii="Times New Roman" w:eastAsia="標楷體"/>
          <w:spacing w:val="-2"/>
          <w:sz w:val="24"/>
          <w:szCs w:val="28"/>
        </w:rPr>
      </w:pPr>
      <w:r>
        <w:rPr>
          <w:rFonts w:ascii="Times New Roman" w:eastAsia="標楷體" w:hint="eastAsia"/>
          <w:spacing w:val="-2"/>
          <w:sz w:val="24"/>
          <w:szCs w:val="28"/>
        </w:rPr>
        <w:t xml:space="preserve">Considering that M2 is a mid- to long-term indicator, the Bank will not set the reference range of M2 growth on an annual basis. </w:t>
      </w:r>
    </w:p>
    <w:p w:rsidR="00603AFB" w:rsidRDefault="00603AFB" w:rsidP="00603AFB">
      <w:pPr>
        <w:pStyle w:val="6"/>
        <w:numPr>
          <w:ilvl w:val="0"/>
          <w:numId w:val="22"/>
        </w:numPr>
        <w:overflowPunct w:val="0"/>
        <w:snapToGrid w:val="0"/>
        <w:spacing w:after="0" w:line="440" w:lineRule="exact"/>
        <w:textDirection w:val="lrTbV"/>
        <w:rPr>
          <w:rFonts w:ascii="Times New Roman" w:eastAsia="標楷體"/>
          <w:spacing w:val="-2"/>
          <w:sz w:val="24"/>
          <w:szCs w:val="28"/>
        </w:rPr>
      </w:pPr>
      <w:r w:rsidRPr="00D11FBB">
        <w:rPr>
          <w:rFonts w:ascii="Times New Roman" w:eastAsia="標楷體" w:hint="eastAsia"/>
          <w:spacing w:val="-2"/>
          <w:sz w:val="24"/>
          <w:szCs w:val="28"/>
        </w:rPr>
        <w:t xml:space="preserve">In the event of continued deviation from the 2.5%-6.5% range or </w:t>
      </w:r>
      <w:r w:rsidRPr="00D11FBB">
        <w:rPr>
          <w:rFonts w:ascii="Times New Roman" w:eastAsia="標楷體"/>
          <w:spacing w:val="-2"/>
          <w:sz w:val="24"/>
          <w:szCs w:val="28"/>
        </w:rPr>
        <w:t>structural</w:t>
      </w:r>
      <w:r w:rsidRPr="00D11FBB">
        <w:rPr>
          <w:rFonts w:ascii="Times New Roman" w:eastAsia="標楷體" w:hint="eastAsia"/>
          <w:spacing w:val="-2"/>
          <w:sz w:val="24"/>
          <w:szCs w:val="28"/>
        </w:rPr>
        <w:t xml:space="preserve"> changes, the Bank would conduct a review to analyze the </w:t>
      </w:r>
      <w:r w:rsidRPr="00D11FBB">
        <w:rPr>
          <w:rFonts w:ascii="Times New Roman" w:eastAsia="標楷體"/>
          <w:spacing w:val="-2"/>
          <w:sz w:val="24"/>
          <w:szCs w:val="28"/>
        </w:rPr>
        <w:t>potential factors contributing to</w:t>
      </w:r>
      <w:r w:rsidR="006F5454" w:rsidRPr="00D11FBB">
        <w:rPr>
          <w:rFonts w:ascii="Times New Roman" w:eastAsia="標楷體" w:hint="eastAsia"/>
          <w:spacing w:val="-2"/>
          <w:sz w:val="24"/>
          <w:szCs w:val="28"/>
        </w:rPr>
        <w:t xml:space="preserve"> the changes </w:t>
      </w:r>
      <w:r w:rsidR="006F5454" w:rsidRPr="00D11FBB">
        <w:rPr>
          <w:rFonts w:ascii="Times New Roman" w:eastAsia="標楷體" w:hint="eastAsia"/>
          <w:spacing w:val="-2"/>
          <w:sz w:val="24"/>
          <w:szCs w:val="28"/>
        </w:rPr>
        <w:lastRenderedPageBreak/>
        <w:t>or deviations, so as to make adjustments as warranted and in a timely fashion. In brief, the a</w:t>
      </w:r>
      <w:r w:rsidR="00502CBF">
        <w:rPr>
          <w:rFonts w:ascii="Times New Roman" w:eastAsia="標楷體" w:hint="eastAsia"/>
          <w:spacing w:val="-2"/>
          <w:sz w:val="24"/>
          <w:szCs w:val="28"/>
        </w:rPr>
        <w:t xml:space="preserve">pproach would be </w:t>
      </w:r>
      <w:r w:rsidR="00D11FBB" w:rsidRPr="00D11FBB">
        <w:rPr>
          <w:rFonts w:ascii="Times New Roman" w:eastAsia="標楷體" w:hint="eastAsia"/>
          <w:spacing w:val="-2"/>
          <w:sz w:val="24"/>
          <w:szCs w:val="28"/>
        </w:rPr>
        <w:t>straightforward</w:t>
      </w:r>
      <w:r w:rsidR="00502CBF">
        <w:rPr>
          <w:rFonts w:ascii="Times New Roman" w:eastAsia="標楷體" w:hint="eastAsia"/>
          <w:spacing w:val="-2"/>
          <w:sz w:val="24"/>
          <w:szCs w:val="28"/>
        </w:rPr>
        <w:t xml:space="preserve">, </w:t>
      </w:r>
      <w:r w:rsidR="00D11FBB" w:rsidRPr="00D11FBB">
        <w:rPr>
          <w:rFonts w:ascii="Times New Roman" w:eastAsia="標楷體" w:hint="eastAsia"/>
          <w:spacing w:val="-2"/>
          <w:sz w:val="24"/>
          <w:szCs w:val="28"/>
        </w:rPr>
        <w:t>practical</w:t>
      </w:r>
      <w:r w:rsidR="00502CBF">
        <w:rPr>
          <w:rFonts w:ascii="Times New Roman" w:eastAsia="標楷體" w:hint="eastAsia"/>
          <w:spacing w:val="-2"/>
          <w:sz w:val="24"/>
          <w:szCs w:val="28"/>
        </w:rPr>
        <w:t>, and</w:t>
      </w:r>
      <w:r w:rsidR="00B17913">
        <w:rPr>
          <w:rFonts w:ascii="Times New Roman" w:eastAsia="標楷體" w:hint="eastAsia"/>
          <w:spacing w:val="-2"/>
          <w:sz w:val="24"/>
          <w:szCs w:val="28"/>
        </w:rPr>
        <w:t xml:space="preserve"> befitting under </w:t>
      </w:r>
      <w:r w:rsidR="00D11FBB">
        <w:rPr>
          <w:rFonts w:ascii="Times New Roman" w:eastAsia="標楷體" w:hint="eastAsia"/>
          <w:spacing w:val="-2"/>
          <w:sz w:val="24"/>
          <w:szCs w:val="28"/>
        </w:rPr>
        <w:t>the current monetary policy framework.</w:t>
      </w:r>
    </w:p>
    <w:p w:rsidR="00D11FBB" w:rsidRPr="004823B0" w:rsidRDefault="00B17913" w:rsidP="004823B0">
      <w:pPr>
        <w:pStyle w:val="6"/>
        <w:numPr>
          <w:ilvl w:val="0"/>
          <w:numId w:val="22"/>
        </w:numPr>
        <w:overflowPunct w:val="0"/>
        <w:snapToGrid w:val="0"/>
        <w:spacing w:after="0" w:line="440" w:lineRule="exact"/>
        <w:textDirection w:val="lrTbV"/>
        <w:rPr>
          <w:rFonts w:ascii="Times New Roman" w:eastAsia="標楷體"/>
          <w:spacing w:val="-2"/>
          <w:sz w:val="24"/>
          <w:szCs w:val="28"/>
        </w:rPr>
      </w:pPr>
      <w:r w:rsidRPr="004823B0">
        <w:rPr>
          <w:rFonts w:ascii="Times New Roman" w:eastAsia="標楷體" w:hint="eastAsia"/>
          <w:spacing w:val="-2"/>
          <w:sz w:val="24"/>
          <w:szCs w:val="28"/>
        </w:rPr>
        <w:t xml:space="preserve">Many of major central banks around the world review their monetary policy frameworks regularly to see whether the policy regimes continue to be appropriate for their economies. The Bank will also carry on with </w:t>
      </w:r>
      <w:r w:rsidR="00502CBF">
        <w:rPr>
          <w:rFonts w:ascii="Times New Roman" w:eastAsia="標楷體" w:hint="eastAsia"/>
          <w:spacing w:val="-2"/>
          <w:sz w:val="24"/>
          <w:szCs w:val="28"/>
        </w:rPr>
        <w:t xml:space="preserve">an </w:t>
      </w:r>
      <w:r w:rsidRPr="004823B0">
        <w:rPr>
          <w:rFonts w:ascii="Times New Roman" w:eastAsia="標楷體" w:hint="eastAsia"/>
          <w:spacing w:val="-2"/>
          <w:sz w:val="24"/>
          <w:szCs w:val="28"/>
        </w:rPr>
        <w:t>in-depth study with regard to Taiwan</w:t>
      </w:r>
      <w:r w:rsidRPr="004823B0">
        <w:rPr>
          <w:rFonts w:ascii="Times New Roman" w:eastAsia="標楷體"/>
          <w:spacing w:val="-2"/>
          <w:sz w:val="24"/>
          <w:szCs w:val="28"/>
        </w:rPr>
        <w:t>’</w:t>
      </w:r>
      <w:r w:rsidRPr="004823B0">
        <w:rPr>
          <w:rFonts w:ascii="Times New Roman" w:eastAsia="標楷體" w:hint="eastAsia"/>
          <w:spacing w:val="-2"/>
          <w:sz w:val="24"/>
          <w:szCs w:val="28"/>
        </w:rPr>
        <w:t>s monetary policy framework. And</w:t>
      </w:r>
      <w:r w:rsidR="00CE62E7" w:rsidRPr="004823B0">
        <w:rPr>
          <w:rFonts w:ascii="Times New Roman" w:eastAsia="標楷體" w:hint="eastAsia"/>
          <w:spacing w:val="-2"/>
          <w:sz w:val="24"/>
          <w:szCs w:val="28"/>
        </w:rPr>
        <w:t xml:space="preserve">, if any </w:t>
      </w:r>
      <w:r w:rsidR="00CE62E7" w:rsidRPr="004823B0">
        <w:rPr>
          <w:rFonts w:ascii="Times New Roman" w:eastAsia="標楷體"/>
          <w:spacing w:val="-2"/>
          <w:sz w:val="24"/>
          <w:szCs w:val="28"/>
        </w:rPr>
        <w:t>adjustment</w:t>
      </w:r>
      <w:r w:rsidR="00CE62E7" w:rsidRPr="004823B0">
        <w:rPr>
          <w:rFonts w:ascii="Times New Roman" w:eastAsia="標楷體" w:hint="eastAsia"/>
          <w:spacing w:val="-2"/>
          <w:sz w:val="24"/>
          <w:szCs w:val="28"/>
        </w:rPr>
        <w:t xml:space="preserve"> is </w:t>
      </w:r>
      <w:r w:rsidR="00502CBF">
        <w:rPr>
          <w:rFonts w:ascii="Times New Roman" w:eastAsia="標楷體" w:hint="eastAsia"/>
          <w:spacing w:val="-2"/>
          <w:sz w:val="24"/>
          <w:szCs w:val="28"/>
        </w:rPr>
        <w:t>deemed</w:t>
      </w:r>
      <w:r w:rsidR="00CE62E7" w:rsidRPr="004823B0">
        <w:rPr>
          <w:rFonts w:ascii="Times New Roman" w:eastAsia="標楷體" w:hint="eastAsia"/>
          <w:spacing w:val="-2"/>
          <w:sz w:val="24"/>
          <w:szCs w:val="28"/>
        </w:rPr>
        <w:t xml:space="preserve"> required, the Bank </w:t>
      </w:r>
      <w:r w:rsidRPr="004823B0">
        <w:rPr>
          <w:rFonts w:ascii="Times New Roman" w:eastAsia="標楷體" w:hint="eastAsia"/>
          <w:spacing w:val="-2"/>
          <w:sz w:val="24"/>
          <w:szCs w:val="28"/>
        </w:rPr>
        <w:t>would submit such issues for discussion in the Board Meetings</w:t>
      </w:r>
      <w:r w:rsidR="00CE62E7" w:rsidRPr="004823B0">
        <w:rPr>
          <w:rFonts w:ascii="Times New Roman" w:eastAsia="標楷體" w:hint="eastAsia"/>
          <w:spacing w:val="-2"/>
          <w:sz w:val="24"/>
          <w:szCs w:val="28"/>
        </w:rPr>
        <w:t xml:space="preserve">, as well as inviting input from experts and the academia and strengthening communication with the general public. </w:t>
      </w:r>
    </w:p>
    <w:p w:rsidR="00AA6988" w:rsidRPr="009605CF" w:rsidRDefault="00F82120" w:rsidP="009605CF">
      <w:pPr>
        <w:pStyle w:val="afff6"/>
        <w:numPr>
          <w:ilvl w:val="0"/>
          <w:numId w:val="23"/>
        </w:numPr>
        <w:adjustRightInd/>
        <w:snapToGrid w:val="0"/>
        <w:spacing w:before="120" w:line="440" w:lineRule="exact"/>
        <w:ind w:leftChars="0" w:left="426" w:hanging="426"/>
        <w:textDirection w:val="lrTbV"/>
        <w:rPr>
          <w:rFonts w:ascii="Times New Roman" w:eastAsia="標楷體"/>
          <w:b/>
          <w:sz w:val="28"/>
          <w:szCs w:val="28"/>
        </w:rPr>
      </w:pPr>
      <w:bookmarkStart w:id="0" w:name="_Hlk503738431"/>
      <w:r w:rsidRPr="009605CF">
        <w:rPr>
          <w:rFonts w:ascii="Times New Roman" w:eastAsia="標楷體"/>
          <w:b/>
          <w:sz w:val="28"/>
          <w:szCs w:val="28"/>
        </w:rPr>
        <w:t>Di</w:t>
      </w:r>
      <w:r w:rsidR="0067400B" w:rsidRPr="009605CF">
        <w:rPr>
          <w:rFonts w:ascii="Times New Roman" w:eastAsia="標楷體"/>
          <w:b/>
          <w:sz w:val="28"/>
          <w:szCs w:val="28"/>
        </w:rPr>
        <w:t>scussion a</w:t>
      </w:r>
      <w:r w:rsidR="008F7E41" w:rsidRPr="009605CF">
        <w:rPr>
          <w:rFonts w:ascii="Times New Roman" w:eastAsia="標楷體"/>
          <w:b/>
          <w:sz w:val="28"/>
          <w:szCs w:val="28"/>
        </w:rPr>
        <w:t xml:space="preserve">nd decision </w:t>
      </w:r>
      <w:r w:rsidR="0067400B" w:rsidRPr="009605CF">
        <w:rPr>
          <w:rFonts w:ascii="Times New Roman" w:eastAsia="標楷體"/>
          <w:b/>
          <w:sz w:val="28"/>
          <w:szCs w:val="28"/>
        </w:rPr>
        <w:t xml:space="preserve">on </w:t>
      </w:r>
      <w:r w:rsidR="00703893" w:rsidRPr="009605CF">
        <w:rPr>
          <w:rFonts w:ascii="Times New Roman" w:eastAsia="標楷體"/>
          <w:b/>
          <w:sz w:val="28"/>
          <w:szCs w:val="28"/>
        </w:rPr>
        <w:t>changing the</w:t>
      </w:r>
      <w:r w:rsidR="00CE62E7" w:rsidRPr="009605CF">
        <w:rPr>
          <w:rFonts w:ascii="Times New Roman" w:eastAsia="標楷體"/>
          <w:b/>
          <w:sz w:val="28"/>
          <w:szCs w:val="28"/>
        </w:rPr>
        <w:t xml:space="preserve"> M2 growth</w:t>
      </w:r>
      <w:r w:rsidR="008F7E41" w:rsidRPr="009605CF">
        <w:rPr>
          <w:rFonts w:ascii="Times New Roman" w:eastAsia="標楷體"/>
          <w:b/>
          <w:sz w:val="28"/>
          <w:szCs w:val="28"/>
        </w:rPr>
        <w:t xml:space="preserve"> target range</w:t>
      </w:r>
      <w:r w:rsidR="00CE62E7" w:rsidRPr="009605CF">
        <w:rPr>
          <w:rFonts w:ascii="Times New Roman" w:eastAsia="標楷體"/>
          <w:b/>
          <w:sz w:val="28"/>
          <w:szCs w:val="28"/>
        </w:rPr>
        <w:t xml:space="preserve"> </w:t>
      </w:r>
      <w:r w:rsidR="00703893" w:rsidRPr="009605CF">
        <w:rPr>
          <w:rFonts w:ascii="Times New Roman" w:eastAsia="標楷體"/>
          <w:b/>
          <w:sz w:val="28"/>
          <w:szCs w:val="28"/>
        </w:rPr>
        <w:t xml:space="preserve">to </w:t>
      </w:r>
      <w:r w:rsidR="004A31B9">
        <w:rPr>
          <w:rFonts w:ascii="Times New Roman" w:eastAsia="標楷體" w:hint="eastAsia"/>
          <w:b/>
          <w:sz w:val="28"/>
          <w:szCs w:val="28"/>
        </w:rPr>
        <w:t xml:space="preserve">a </w:t>
      </w:r>
      <w:r w:rsidR="00703893" w:rsidRPr="009605CF">
        <w:rPr>
          <w:rFonts w:ascii="Times New Roman" w:eastAsia="標楷體"/>
          <w:b/>
          <w:sz w:val="28"/>
          <w:szCs w:val="28"/>
        </w:rPr>
        <w:t>reference range</w:t>
      </w:r>
    </w:p>
    <w:p w:rsidR="006979B6" w:rsidRPr="00703893" w:rsidRDefault="00CE62E7" w:rsidP="00B04114">
      <w:pPr>
        <w:numPr>
          <w:ilvl w:val="0"/>
          <w:numId w:val="10"/>
        </w:numPr>
        <w:overflowPunct w:val="0"/>
        <w:autoSpaceDE w:val="0"/>
        <w:autoSpaceDN w:val="0"/>
        <w:snapToGrid w:val="0"/>
        <w:spacing w:before="120" w:line="440" w:lineRule="exact"/>
        <w:ind w:left="426" w:hanging="426"/>
        <w:jc w:val="both"/>
        <w:textDirection w:val="lrTbV"/>
        <w:rPr>
          <w:rFonts w:eastAsia="標楷體"/>
          <w:spacing w:val="-2"/>
          <w:sz w:val="24"/>
          <w:szCs w:val="24"/>
        </w:rPr>
      </w:pPr>
      <w:r w:rsidRPr="00703893">
        <w:rPr>
          <w:rFonts w:eastAsia="標楷體" w:hint="eastAsia"/>
          <w:spacing w:val="-2"/>
          <w:sz w:val="24"/>
          <w:szCs w:val="24"/>
        </w:rPr>
        <w:t>The Board</w:t>
      </w:r>
      <w:r w:rsidR="00F82120" w:rsidRPr="00703893">
        <w:rPr>
          <w:rFonts w:eastAsia="標楷體" w:hint="eastAsia"/>
          <w:spacing w:val="-2"/>
          <w:sz w:val="24"/>
          <w:szCs w:val="24"/>
        </w:rPr>
        <w:t xml:space="preserve"> </w:t>
      </w:r>
      <w:r w:rsidR="00D602B9" w:rsidRPr="00703893">
        <w:rPr>
          <w:rFonts w:eastAsia="標楷體" w:hint="eastAsia"/>
          <w:spacing w:val="-2"/>
          <w:sz w:val="24"/>
          <w:szCs w:val="24"/>
        </w:rPr>
        <w:t xml:space="preserve">approved the proposition </w:t>
      </w:r>
      <w:r w:rsidR="00F82120" w:rsidRPr="00703893">
        <w:rPr>
          <w:rFonts w:eastAsia="標楷體" w:hint="eastAsia"/>
          <w:spacing w:val="-2"/>
          <w:sz w:val="24"/>
          <w:szCs w:val="24"/>
        </w:rPr>
        <w:t xml:space="preserve">of </w:t>
      </w:r>
      <w:r w:rsidR="00703893" w:rsidRPr="00703893">
        <w:rPr>
          <w:rFonts w:eastAsia="標楷體" w:hint="eastAsia"/>
          <w:spacing w:val="-2"/>
          <w:sz w:val="24"/>
          <w:szCs w:val="24"/>
        </w:rPr>
        <w:t xml:space="preserve">adopting the </w:t>
      </w:r>
      <w:r w:rsidR="00F82120" w:rsidRPr="00703893">
        <w:rPr>
          <w:rFonts w:eastAsia="標楷體" w:hint="eastAsia"/>
          <w:spacing w:val="-2"/>
          <w:sz w:val="24"/>
          <w:szCs w:val="24"/>
        </w:rPr>
        <w:t xml:space="preserve">M2 growth </w:t>
      </w:r>
      <w:r w:rsidR="00703893" w:rsidRPr="00703893">
        <w:rPr>
          <w:rFonts w:eastAsia="標楷體" w:hint="eastAsia"/>
          <w:spacing w:val="-2"/>
          <w:sz w:val="24"/>
          <w:szCs w:val="24"/>
        </w:rPr>
        <w:t>reference</w:t>
      </w:r>
      <w:r w:rsidR="00F82120" w:rsidRPr="00703893">
        <w:rPr>
          <w:rFonts w:eastAsia="標楷體" w:hint="eastAsia"/>
          <w:spacing w:val="-2"/>
          <w:sz w:val="24"/>
          <w:szCs w:val="24"/>
        </w:rPr>
        <w:t xml:space="preserve"> range. Their views are </w:t>
      </w:r>
      <w:r w:rsidR="00F82120" w:rsidRPr="00703893">
        <w:rPr>
          <w:rFonts w:eastAsia="標楷體"/>
          <w:spacing w:val="-2"/>
          <w:sz w:val="24"/>
          <w:szCs w:val="24"/>
        </w:rPr>
        <w:t>summarized</w:t>
      </w:r>
      <w:r w:rsidR="00F82120" w:rsidRPr="00703893">
        <w:rPr>
          <w:rFonts w:eastAsia="標楷體" w:hint="eastAsia"/>
          <w:spacing w:val="-2"/>
          <w:sz w:val="24"/>
          <w:szCs w:val="24"/>
        </w:rPr>
        <w:t xml:space="preserve"> below. </w:t>
      </w:r>
      <w:bookmarkEnd w:id="0"/>
    </w:p>
    <w:p w:rsidR="00D602B9" w:rsidRPr="00703893" w:rsidRDefault="002E5EFF" w:rsidP="00B04114">
      <w:pPr>
        <w:pStyle w:val="6"/>
        <w:numPr>
          <w:ilvl w:val="0"/>
          <w:numId w:val="16"/>
        </w:numPr>
        <w:overflowPunct w:val="0"/>
        <w:snapToGrid w:val="0"/>
        <w:spacing w:after="0" w:line="440" w:lineRule="exact"/>
        <w:textDirection w:val="lrTbV"/>
        <w:rPr>
          <w:rFonts w:ascii="Times New Roman" w:eastAsia="標楷體"/>
          <w:spacing w:val="-2"/>
          <w:sz w:val="24"/>
          <w:szCs w:val="28"/>
        </w:rPr>
      </w:pPr>
      <w:r w:rsidRPr="00703893">
        <w:rPr>
          <w:rFonts w:ascii="Times New Roman" w:eastAsia="標楷體" w:hint="eastAsia"/>
          <w:spacing w:val="-2"/>
          <w:sz w:val="24"/>
          <w:szCs w:val="28"/>
        </w:rPr>
        <w:t xml:space="preserve">Discussion on </w:t>
      </w:r>
      <w:r w:rsidRPr="00703893">
        <w:rPr>
          <w:rFonts w:ascii="Times New Roman" w:eastAsia="標楷體"/>
          <w:spacing w:val="-2"/>
          <w:sz w:val="24"/>
          <w:szCs w:val="28"/>
        </w:rPr>
        <w:t xml:space="preserve">the M2 growth </w:t>
      </w:r>
      <w:r w:rsidR="00703893" w:rsidRPr="00703893">
        <w:rPr>
          <w:rFonts w:ascii="Times New Roman" w:eastAsia="標楷體" w:hint="eastAsia"/>
          <w:spacing w:val="-2"/>
          <w:sz w:val="24"/>
          <w:szCs w:val="28"/>
        </w:rPr>
        <w:t>reference</w:t>
      </w:r>
      <w:r w:rsidRPr="00703893">
        <w:rPr>
          <w:rFonts w:ascii="Times New Roman" w:eastAsia="標楷體"/>
          <w:spacing w:val="-2"/>
          <w:sz w:val="24"/>
          <w:szCs w:val="28"/>
        </w:rPr>
        <w:t xml:space="preserve"> range</w:t>
      </w:r>
    </w:p>
    <w:p w:rsidR="00096651" w:rsidRDefault="006979B6" w:rsidP="001C52CC">
      <w:pPr>
        <w:pStyle w:val="6"/>
        <w:overflowPunct w:val="0"/>
        <w:snapToGrid w:val="0"/>
        <w:spacing w:after="0" w:line="440" w:lineRule="exact"/>
        <w:ind w:left="0" w:firstLineChars="200" w:firstLine="472"/>
        <w:textDirection w:val="lrTbV"/>
        <w:rPr>
          <w:rFonts w:ascii="Times New Roman" w:eastAsia="標楷體"/>
          <w:spacing w:val="-2"/>
          <w:sz w:val="24"/>
          <w:szCs w:val="28"/>
        </w:rPr>
      </w:pPr>
      <w:r w:rsidRPr="00703893">
        <w:rPr>
          <w:rFonts w:ascii="Times New Roman" w:eastAsia="標楷體" w:hint="eastAsia"/>
          <w:spacing w:val="-2"/>
          <w:sz w:val="24"/>
          <w:szCs w:val="24"/>
        </w:rPr>
        <w:t xml:space="preserve">One </w:t>
      </w:r>
      <w:r w:rsidR="002E5EFF" w:rsidRPr="00703893">
        <w:rPr>
          <w:rFonts w:ascii="Times New Roman" w:eastAsia="標楷體" w:hint="eastAsia"/>
          <w:spacing w:val="-2"/>
          <w:sz w:val="24"/>
          <w:szCs w:val="24"/>
        </w:rPr>
        <w:t xml:space="preserve">board </w:t>
      </w:r>
      <w:r w:rsidR="00CC3F7D" w:rsidRPr="00703893">
        <w:rPr>
          <w:rFonts w:ascii="Times New Roman" w:eastAsia="標楷體" w:hint="eastAsia"/>
          <w:spacing w:val="-2"/>
          <w:sz w:val="24"/>
          <w:szCs w:val="24"/>
        </w:rPr>
        <w:t>d</w:t>
      </w:r>
      <w:r w:rsidRPr="00703893">
        <w:rPr>
          <w:rFonts w:ascii="Times New Roman" w:eastAsia="標楷體" w:hint="eastAsia"/>
          <w:spacing w:val="-2"/>
          <w:sz w:val="24"/>
          <w:szCs w:val="24"/>
        </w:rPr>
        <w:t xml:space="preserve">irector </w:t>
      </w:r>
      <w:r w:rsidR="00826135">
        <w:rPr>
          <w:rFonts w:ascii="Times New Roman" w:eastAsia="標楷體" w:hint="eastAsia"/>
          <w:spacing w:val="-2"/>
          <w:sz w:val="24"/>
          <w:szCs w:val="24"/>
        </w:rPr>
        <w:t xml:space="preserve">noted that the Bank will, at the end of each year, review the developments of M2 growth </w:t>
      </w:r>
      <w:r w:rsidR="004A31B9">
        <w:rPr>
          <w:rFonts w:ascii="Times New Roman" w:eastAsia="標楷體" w:hint="eastAsia"/>
          <w:spacing w:val="-2"/>
          <w:sz w:val="24"/>
          <w:szCs w:val="24"/>
        </w:rPr>
        <w:t>during</w:t>
      </w:r>
      <w:r w:rsidR="00826135">
        <w:rPr>
          <w:rFonts w:ascii="Times New Roman" w:eastAsia="標楷體" w:hint="eastAsia"/>
          <w:spacing w:val="-2"/>
          <w:sz w:val="24"/>
          <w:szCs w:val="24"/>
        </w:rPr>
        <w:t xml:space="preserve"> the year and the outlook for money demand for the following </w:t>
      </w:r>
      <w:r w:rsidR="002E77DB">
        <w:rPr>
          <w:rFonts w:ascii="Times New Roman" w:eastAsia="標楷體" w:hint="eastAsia"/>
          <w:spacing w:val="-2"/>
          <w:sz w:val="24"/>
          <w:szCs w:val="24"/>
        </w:rPr>
        <w:t>year. The review will be used as a reference for monetary policymaking and will be presented at the Board Meeting. This board director continued that capital flows and domestic credit conditions are two important determinants of M2 growth; however,</w:t>
      </w:r>
      <w:r w:rsidR="008E0DC3">
        <w:rPr>
          <w:rFonts w:ascii="Times New Roman" w:eastAsia="標楷體" w:hint="eastAsia"/>
          <w:spacing w:val="-2"/>
          <w:sz w:val="24"/>
          <w:szCs w:val="24"/>
        </w:rPr>
        <w:t xml:space="preserve"> if M2 growth registers outside the 2.5%-6.5% </w:t>
      </w:r>
      <w:r w:rsidR="004B6EC5">
        <w:rPr>
          <w:rFonts w:ascii="Times New Roman" w:eastAsia="標楷體" w:hint="eastAsia"/>
          <w:spacing w:val="-2"/>
          <w:sz w:val="24"/>
          <w:szCs w:val="24"/>
        </w:rPr>
        <w:t>reference range (for instance,</w:t>
      </w:r>
      <w:r w:rsidR="009872C0">
        <w:rPr>
          <w:rFonts w:ascii="Times New Roman" w:eastAsia="標楷體" w:hint="eastAsia"/>
          <w:spacing w:val="-2"/>
          <w:sz w:val="24"/>
          <w:szCs w:val="24"/>
        </w:rPr>
        <w:t xml:space="preserve"> a faster-than-6.5% growth pushed up by strong credit growth</w:t>
      </w:r>
      <w:r w:rsidR="004B6EC5">
        <w:rPr>
          <w:rFonts w:ascii="Times New Roman" w:eastAsia="標楷體" w:hint="eastAsia"/>
          <w:spacing w:val="-2"/>
          <w:sz w:val="24"/>
          <w:szCs w:val="24"/>
        </w:rPr>
        <w:t>) for an extended period of time (for instance,</w:t>
      </w:r>
      <w:r w:rsidR="009872C0">
        <w:rPr>
          <w:rFonts w:ascii="Times New Roman" w:eastAsia="標楷體" w:hint="eastAsia"/>
          <w:spacing w:val="-2"/>
          <w:sz w:val="24"/>
          <w:szCs w:val="24"/>
        </w:rPr>
        <w:t xml:space="preserve"> for six months in a row</w:t>
      </w:r>
      <w:r w:rsidR="004B6EC5">
        <w:rPr>
          <w:rFonts w:ascii="Times New Roman" w:eastAsia="標楷體" w:hint="eastAsia"/>
          <w:spacing w:val="-2"/>
          <w:sz w:val="24"/>
          <w:szCs w:val="24"/>
        </w:rPr>
        <w:t xml:space="preserve"> or even over a year)</w:t>
      </w:r>
      <w:r w:rsidR="009872C0">
        <w:rPr>
          <w:rFonts w:ascii="Times New Roman" w:eastAsia="標楷體" w:hint="eastAsia"/>
          <w:spacing w:val="-2"/>
          <w:sz w:val="24"/>
          <w:szCs w:val="24"/>
        </w:rPr>
        <w:t xml:space="preserve">, </w:t>
      </w:r>
      <w:r w:rsidR="00276056">
        <w:rPr>
          <w:rFonts w:ascii="Times New Roman" w:eastAsia="標楷體" w:hint="eastAsia"/>
          <w:spacing w:val="-2"/>
          <w:sz w:val="24"/>
          <w:szCs w:val="24"/>
        </w:rPr>
        <w:t xml:space="preserve">it could imply that </w:t>
      </w:r>
      <w:r w:rsidR="00276056">
        <w:rPr>
          <w:rFonts w:ascii="Times New Roman" w:eastAsia="標楷體"/>
          <w:spacing w:val="-2"/>
          <w:sz w:val="24"/>
          <w:szCs w:val="24"/>
        </w:rPr>
        <w:t>structural</w:t>
      </w:r>
      <w:r w:rsidR="00276056">
        <w:rPr>
          <w:rFonts w:ascii="Times New Roman" w:eastAsia="標楷體" w:hint="eastAsia"/>
          <w:spacing w:val="-2"/>
          <w:sz w:val="24"/>
          <w:szCs w:val="24"/>
        </w:rPr>
        <w:t xml:space="preserve"> changes have taken shape and the Bank would reexamine the reference range in this light. Furthermore, the Bank will continu</w:t>
      </w:r>
      <w:r w:rsidR="009E02AF">
        <w:rPr>
          <w:rFonts w:ascii="Times New Roman" w:eastAsia="標楷體" w:hint="eastAsia"/>
          <w:spacing w:val="-2"/>
          <w:sz w:val="24"/>
          <w:szCs w:val="24"/>
        </w:rPr>
        <w:t xml:space="preserve">e to examine its monetary policy framework. </w:t>
      </w:r>
      <w:r w:rsidR="009E02AF" w:rsidRPr="00CE62E7">
        <w:rPr>
          <w:rFonts w:ascii="Times New Roman" w:eastAsia="標楷體" w:hint="eastAsia"/>
          <w:spacing w:val="-2"/>
          <w:sz w:val="24"/>
          <w:szCs w:val="28"/>
        </w:rPr>
        <w:t>And,</w:t>
      </w:r>
      <w:r w:rsidR="009E02AF">
        <w:rPr>
          <w:rFonts w:ascii="Times New Roman" w:eastAsia="標楷體" w:hint="eastAsia"/>
          <w:spacing w:val="-2"/>
          <w:sz w:val="24"/>
          <w:szCs w:val="28"/>
        </w:rPr>
        <w:t xml:space="preserve"> if</w:t>
      </w:r>
      <w:r w:rsidR="009E02AF" w:rsidRPr="00CE62E7">
        <w:rPr>
          <w:rFonts w:ascii="Times New Roman" w:eastAsia="標楷體" w:hint="eastAsia"/>
          <w:spacing w:val="-2"/>
          <w:sz w:val="24"/>
          <w:szCs w:val="28"/>
        </w:rPr>
        <w:t xml:space="preserve"> any </w:t>
      </w:r>
      <w:r w:rsidR="009E02AF" w:rsidRPr="00CE62E7">
        <w:rPr>
          <w:rFonts w:ascii="Times New Roman" w:eastAsia="標楷體"/>
          <w:spacing w:val="-2"/>
          <w:sz w:val="24"/>
          <w:szCs w:val="28"/>
        </w:rPr>
        <w:t>adjustment</w:t>
      </w:r>
      <w:r w:rsidR="009E02AF" w:rsidRPr="00CE62E7">
        <w:rPr>
          <w:rFonts w:ascii="Times New Roman" w:eastAsia="標楷體" w:hint="eastAsia"/>
          <w:spacing w:val="-2"/>
          <w:sz w:val="24"/>
          <w:szCs w:val="28"/>
        </w:rPr>
        <w:t xml:space="preserve"> is </w:t>
      </w:r>
      <w:r w:rsidR="004A31B9">
        <w:rPr>
          <w:rFonts w:ascii="Times New Roman" w:eastAsia="標楷體" w:hint="eastAsia"/>
          <w:spacing w:val="-2"/>
          <w:sz w:val="24"/>
          <w:szCs w:val="28"/>
        </w:rPr>
        <w:t>deemed</w:t>
      </w:r>
      <w:r w:rsidR="009E02AF" w:rsidRPr="00CE62E7">
        <w:rPr>
          <w:rFonts w:ascii="Times New Roman" w:eastAsia="標楷體" w:hint="eastAsia"/>
          <w:spacing w:val="-2"/>
          <w:sz w:val="24"/>
          <w:szCs w:val="28"/>
        </w:rPr>
        <w:t xml:space="preserve"> required, the Bank would submit such issues for discussion in the Board Meetings, as well as inviting input from experts and the academia and strengthening communication with the general public.</w:t>
      </w:r>
    </w:p>
    <w:p w:rsidR="009E02AF" w:rsidRDefault="009E02AF" w:rsidP="001C52CC">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Another board director pointed out that</w:t>
      </w:r>
      <w:r w:rsidR="004C140D">
        <w:rPr>
          <w:rFonts w:ascii="Times New Roman" w:eastAsia="標楷體" w:hint="eastAsia"/>
          <w:spacing w:val="-2"/>
          <w:sz w:val="24"/>
          <w:szCs w:val="28"/>
        </w:rPr>
        <w:t>,</w:t>
      </w:r>
      <w:r w:rsidR="004C140D" w:rsidRPr="004C140D">
        <w:rPr>
          <w:rFonts w:ascii="Times New Roman" w:eastAsia="標楷體" w:hint="eastAsia"/>
          <w:spacing w:val="-2"/>
          <w:sz w:val="24"/>
          <w:szCs w:val="28"/>
        </w:rPr>
        <w:t xml:space="preserve"> </w:t>
      </w:r>
      <w:r w:rsidR="004C140D">
        <w:rPr>
          <w:rFonts w:ascii="Times New Roman" w:eastAsia="標楷體" w:hint="eastAsia"/>
          <w:spacing w:val="-2"/>
          <w:sz w:val="24"/>
          <w:szCs w:val="28"/>
        </w:rPr>
        <w:t>at a symposium held in 2008, where the Bank invited experts and the academia to revisit its monetary targeting regime,</w:t>
      </w:r>
      <w:r>
        <w:rPr>
          <w:rFonts w:ascii="Times New Roman" w:eastAsia="標楷體" w:hint="eastAsia"/>
          <w:spacing w:val="-2"/>
          <w:sz w:val="24"/>
          <w:szCs w:val="28"/>
        </w:rPr>
        <w:t xml:space="preserve"> the idea of adopting a reference range for M2 growth was </w:t>
      </w:r>
      <w:r>
        <w:rPr>
          <w:rFonts w:ascii="Times New Roman" w:eastAsia="標楷體"/>
          <w:spacing w:val="-2"/>
          <w:sz w:val="24"/>
          <w:szCs w:val="28"/>
        </w:rPr>
        <w:t>proposed</w:t>
      </w:r>
      <w:r>
        <w:rPr>
          <w:rFonts w:ascii="Times New Roman" w:eastAsia="標楷體" w:hint="eastAsia"/>
          <w:spacing w:val="-2"/>
          <w:sz w:val="24"/>
          <w:szCs w:val="28"/>
        </w:rPr>
        <w:t xml:space="preserve"> </w:t>
      </w:r>
      <w:r w:rsidR="00520985">
        <w:rPr>
          <w:rFonts w:ascii="Times New Roman" w:eastAsia="標楷體" w:hint="eastAsia"/>
          <w:spacing w:val="-2"/>
          <w:sz w:val="24"/>
          <w:szCs w:val="28"/>
        </w:rPr>
        <w:t xml:space="preserve">but not put into action. </w:t>
      </w:r>
      <w:r w:rsidR="00F24B25">
        <w:rPr>
          <w:rFonts w:ascii="Times New Roman" w:eastAsia="標楷體" w:hint="eastAsia"/>
          <w:spacing w:val="-2"/>
          <w:sz w:val="24"/>
          <w:szCs w:val="28"/>
        </w:rPr>
        <w:t>In addition, according to the money demand function, Taiwan</w:t>
      </w:r>
      <w:r w:rsidR="00F24B25">
        <w:rPr>
          <w:rFonts w:ascii="Times New Roman" w:eastAsia="標楷體"/>
          <w:spacing w:val="-2"/>
          <w:sz w:val="24"/>
          <w:szCs w:val="28"/>
        </w:rPr>
        <w:t>’</w:t>
      </w:r>
      <w:r w:rsidR="00F24B25">
        <w:rPr>
          <w:rFonts w:ascii="Times New Roman" w:eastAsia="標楷體" w:hint="eastAsia"/>
          <w:spacing w:val="-2"/>
          <w:sz w:val="24"/>
          <w:szCs w:val="28"/>
        </w:rPr>
        <w:t xml:space="preserve">s M2 growth is mainly affected by the change in </w:t>
      </w:r>
      <w:r w:rsidR="004A31B9">
        <w:rPr>
          <w:rFonts w:ascii="Times New Roman" w:eastAsia="標楷體" w:hint="eastAsia"/>
          <w:spacing w:val="-2"/>
          <w:sz w:val="24"/>
          <w:szCs w:val="28"/>
        </w:rPr>
        <w:t xml:space="preserve">the </w:t>
      </w:r>
      <w:r w:rsidR="00F24B25">
        <w:rPr>
          <w:rFonts w:ascii="Times New Roman" w:eastAsia="標楷體" w:hint="eastAsia"/>
          <w:spacing w:val="-2"/>
          <w:sz w:val="24"/>
          <w:szCs w:val="28"/>
        </w:rPr>
        <w:t xml:space="preserve">M2 </w:t>
      </w:r>
      <w:r w:rsidR="00F24B25">
        <w:rPr>
          <w:rFonts w:ascii="Times New Roman" w:eastAsia="標楷體" w:hint="eastAsia"/>
          <w:spacing w:val="-2"/>
          <w:sz w:val="24"/>
          <w:szCs w:val="28"/>
        </w:rPr>
        <w:lastRenderedPageBreak/>
        <w:t xml:space="preserve">value of the preceding period, while changes in income and prices tend to have relatively smaller effects; in this view, it was expected that </w:t>
      </w:r>
      <w:r w:rsidR="009A4F3D">
        <w:rPr>
          <w:rFonts w:ascii="Times New Roman" w:eastAsia="標楷體" w:hint="eastAsia"/>
          <w:spacing w:val="-2"/>
          <w:sz w:val="24"/>
          <w:szCs w:val="28"/>
        </w:rPr>
        <w:t xml:space="preserve">the current range of M2 growth would continue to suffice in the near term. </w:t>
      </w:r>
    </w:p>
    <w:p w:rsidR="00B05AD1" w:rsidRDefault="007B20B4" w:rsidP="00B05AD1">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Several board directors expressed support for adopting a reference range for M2 growth. One board director stated that this would add to flexibility in monetary policymaking. Another board </w:t>
      </w:r>
      <w:r>
        <w:rPr>
          <w:rFonts w:ascii="Times New Roman" w:eastAsia="標楷體"/>
          <w:spacing w:val="-2"/>
          <w:sz w:val="24"/>
          <w:szCs w:val="28"/>
        </w:rPr>
        <w:t>director</w:t>
      </w:r>
      <w:r>
        <w:rPr>
          <w:rFonts w:ascii="Times New Roman" w:eastAsia="標楷體" w:hint="eastAsia"/>
          <w:spacing w:val="-2"/>
          <w:sz w:val="24"/>
          <w:szCs w:val="28"/>
        </w:rPr>
        <w:t xml:space="preserve"> noted that the target range of 2.5%-6.5%, spanning four percentage points</w:t>
      </w:r>
      <w:r w:rsidR="007D3A1A">
        <w:rPr>
          <w:rFonts w:ascii="Times New Roman" w:eastAsia="標楷體" w:hint="eastAsia"/>
          <w:spacing w:val="-2"/>
          <w:sz w:val="24"/>
          <w:szCs w:val="28"/>
        </w:rPr>
        <w:t xml:space="preserve">, was in effect a reference range. After </w:t>
      </w:r>
      <w:r w:rsidR="004A31B9">
        <w:rPr>
          <w:rFonts w:ascii="Times New Roman" w:eastAsia="標楷體" w:hint="eastAsia"/>
          <w:spacing w:val="-2"/>
          <w:sz w:val="24"/>
          <w:szCs w:val="28"/>
        </w:rPr>
        <w:t xml:space="preserve">being </w:t>
      </w:r>
      <w:r w:rsidR="007D3A1A">
        <w:rPr>
          <w:rFonts w:ascii="Times New Roman" w:eastAsia="標楷體" w:hint="eastAsia"/>
          <w:spacing w:val="-2"/>
          <w:sz w:val="24"/>
          <w:szCs w:val="28"/>
        </w:rPr>
        <w:t>renamed as the</w:t>
      </w:r>
      <w:r w:rsidR="00161838">
        <w:rPr>
          <w:rFonts w:ascii="Times New Roman" w:eastAsia="標楷體" w:hint="eastAsia"/>
          <w:spacing w:val="-2"/>
          <w:sz w:val="24"/>
          <w:szCs w:val="28"/>
        </w:rPr>
        <w:t xml:space="preserve"> reference range, it would not be announced on an annual basis</w:t>
      </w:r>
      <w:r w:rsidR="00130C94">
        <w:rPr>
          <w:rFonts w:ascii="Times New Roman" w:eastAsia="標楷體" w:hint="eastAsia"/>
          <w:spacing w:val="-2"/>
          <w:sz w:val="24"/>
          <w:szCs w:val="28"/>
        </w:rPr>
        <w:t xml:space="preserve">, which could prevent the kind of public postulation (such as wondering if raising the upper band implies policy easing) likely to follow the annual announcement of the target range. </w:t>
      </w:r>
      <w:r w:rsidR="00B05AD1">
        <w:rPr>
          <w:rFonts w:ascii="Times New Roman" w:eastAsia="標楷體" w:hint="eastAsia"/>
          <w:spacing w:val="-2"/>
          <w:sz w:val="24"/>
          <w:szCs w:val="28"/>
        </w:rPr>
        <w:t>While monetary policymaking is carried out for the fulfillment of the central bank</w:t>
      </w:r>
      <w:r w:rsidR="00B05AD1">
        <w:rPr>
          <w:rFonts w:ascii="Times New Roman" w:eastAsia="標楷體"/>
          <w:spacing w:val="-2"/>
          <w:sz w:val="24"/>
          <w:szCs w:val="28"/>
        </w:rPr>
        <w:t>’</w:t>
      </w:r>
      <w:r w:rsidR="00B05AD1">
        <w:rPr>
          <w:rFonts w:ascii="Times New Roman" w:eastAsia="標楷體" w:hint="eastAsia"/>
          <w:spacing w:val="-2"/>
          <w:sz w:val="24"/>
          <w:szCs w:val="28"/>
        </w:rPr>
        <w:t xml:space="preserve">s mandate, it also needs to </w:t>
      </w:r>
      <w:r w:rsidR="005A3F68">
        <w:rPr>
          <w:rFonts w:ascii="Times New Roman" w:eastAsia="標楷體" w:hint="eastAsia"/>
          <w:spacing w:val="-2"/>
          <w:sz w:val="24"/>
          <w:szCs w:val="28"/>
        </w:rPr>
        <w:t xml:space="preserve">consider </w:t>
      </w:r>
      <w:r w:rsidR="00B05AD1">
        <w:rPr>
          <w:rFonts w:ascii="Times New Roman" w:eastAsia="標楷體" w:hint="eastAsia"/>
          <w:spacing w:val="-2"/>
          <w:sz w:val="24"/>
          <w:szCs w:val="28"/>
        </w:rPr>
        <w:t xml:space="preserve">public perception. </w:t>
      </w:r>
      <w:r w:rsidR="00E106A9">
        <w:rPr>
          <w:rFonts w:ascii="Times New Roman" w:eastAsia="標楷體" w:hint="eastAsia"/>
          <w:spacing w:val="-2"/>
          <w:sz w:val="24"/>
          <w:szCs w:val="28"/>
        </w:rPr>
        <w:t xml:space="preserve">Furthermore, while the Bank will cease to hold official discussions with experts and the academia each year to set the annual targets for M2 growth, it would continue to conduct money demand function estimation and relevant reviews thereof. Based on the aforementioned views, this board director supported the reference range proposition. </w:t>
      </w:r>
    </w:p>
    <w:p w:rsidR="008B5333" w:rsidRDefault="008B5333" w:rsidP="003A20B2">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One board director also expressed support, stating that i</w:t>
      </w:r>
      <w:r w:rsidR="00F1543C">
        <w:rPr>
          <w:rFonts w:ascii="Times New Roman" w:eastAsia="標楷體" w:hint="eastAsia"/>
          <w:spacing w:val="-2"/>
          <w:sz w:val="24"/>
          <w:szCs w:val="28"/>
        </w:rPr>
        <w:t>t was a justified</w:t>
      </w:r>
      <w:r>
        <w:rPr>
          <w:rFonts w:ascii="Times New Roman" w:eastAsia="標楷體" w:hint="eastAsia"/>
          <w:spacing w:val="-2"/>
          <w:sz w:val="24"/>
          <w:szCs w:val="28"/>
        </w:rPr>
        <w:t xml:space="preserve"> move to change</w:t>
      </w:r>
      <w:r w:rsidRPr="008B5333">
        <w:rPr>
          <w:rFonts w:ascii="Times New Roman" w:eastAsia="標楷體"/>
          <w:spacing w:val="-2"/>
          <w:sz w:val="24"/>
          <w:szCs w:val="28"/>
        </w:rPr>
        <w:t xml:space="preserve"> the M2 growth target range </w:t>
      </w:r>
      <w:r>
        <w:rPr>
          <w:rFonts w:ascii="Times New Roman" w:eastAsia="標楷體" w:hint="eastAsia"/>
          <w:spacing w:val="-2"/>
          <w:sz w:val="24"/>
          <w:szCs w:val="28"/>
        </w:rPr>
        <w:t>in</w:t>
      </w:r>
      <w:r w:rsidRPr="008B5333">
        <w:rPr>
          <w:rFonts w:ascii="Times New Roman" w:eastAsia="標楷體"/>
          <w:spacing w:val="-2"/>
          <w:sz w:val="24"/>
          <w:szCs w:val="28"/>
        </w:rPr>
        <w:t xml:space="preserve">to </w:t>
      </w:r>
      <w:r w:rsidR="004A31B9">
        <w:rPr>
          <w:rFonts w:ascii="Times New Roman" w:eastAsia="標楷體" w:hint="eastAsia"/>
          <w:spacing w:val="-2"/>
          <w:sz w:val="24"/>
          <w:szCs w:val="28"/>
        </w:rPr>
        <w:t xml:space="preserve">a </w:t>
      </w:r>
      <w:r w:rsidRPr="008B5333">
        <w:rPr>
          <w:rFonts w:ascii="Times New Roman" w:eastAsia="標楷體"/>
          <w:spacing w:val="-2"/>
          <w:sz w:val="24"/>
          <w:szCs w:val="28"/>
        </w:rPr>
        <w:t>reference range</w:t>
      </w:r>
      <w:r w:rsidR="00F1543C">
        <w:rPr>
          <w:rFonts w:ascii="Times New Roman" w:eastAsia="標楷體" w:hint="eastAsia"/>
          <w:spacing w:val="-2"/>
          <w:sz w:val="24"/>
          <w:szCs w:val="28"/>
        </w:rPr>
        <w:t xml:space="preserve"> based on</w:t>
      </w:r>
      <w:r>
        <w:rPr>
          <w:rFonts w:ascii="Times New Roman" w:eastAsia="標楷體" w:hint="eastAsia"/>
          <w:spacing w:val="-2"/>
          <w:sz w:val="24"/>
          <w:szCs w:val="28"/>
        </w:rPr>
        <w:t xml:space="preserve"> two main reasons. First, </w:t>
      </w:r>
      <w:r w:rsidR="004D4C24">
        <w:rPr>
          <w:rFonts w:ascii="Times New Roman" w:eastAsia="標楷體" w:hint="eastAsia"/>
          <w:spacing w:val="-2"/>
          <w:sz w:val="24"/>
          <w:szCs w:val="28"/>
        </w:rPr>
        <w:t>while monetary policy is generally conducted through influencing</w:t>
      </w:r>
      <w:r w:rsidR="004D4C24" w:rsidRPr="004D4C24">
        <w:rPr>
          <w:rFonts w:ascii="Times New Roman" w:eastAsia="標楷體" w:hint="eastAsia"/>
          <w:spacing w:val="-2"/>
          <w:sz w:val="24"/>
          <w:szCs w:val="28"/>
        </w:rPr>
        <w:t xml:space="preserve"> </w:t>
      </w:r>
      <w:r w:rsidR="004D4C24">
        <w:rPr>
          <w:rFonts w:ascii="Times New Roman" w:eastAsia="標楷體" w:hint="eastAsia"/>
          <w:spacing w:val="-2"/>
          <w:sz w:val="24"/>
          <w:szCs w:val="28"/>
        </w:rPr>
        <w:t>either interest rates or money supply</w:t>
      </w:r>
      <w:r w:rsidR="00F1543C">
        <w:rPr>
          <w:rFonts w:ascii="Times New Roman" w:eastAsia="標楷體" w:hint="eastAsia"/>
          <w:spacing w:val="-2"/>
          <w:sz w:val="24"/>
          <w:szCs w:val="28"/>
        </w:rPr>
        <w:t>, the dominant trend in the world</w:t>
      </w:r>
      <w:r w:rsidR="00392048">
        <w:rPr>
          <w:rFonts w:ascii="Times New Roman" w:eastAsia="標楷體" w:hint="eastAsia"/>
          <w:spacing w:val="-2"/>
          <w:sz w:val="24"/>
          <w:szCs w:val="28"/>
        </w:rPr>
        <w:t xml:space="preserve"> was </w:t>
      </w:r>
      <w:r w:rsidR="00F1543C">
        <w:rPr>
          <w:rFonts w:ascii="Times New Roman" w:eastAsia="標楷體" w:hint="eastAsia"/>
          <w:spacing w:val="-2"/>
          <w:sz w:val="24"/>
          <w:szCs w:val="28"/>
        </w:rPr>
        <w:t xml:space="preserve">to use the former rather than the latter. As with this trend, the Bank conducts monetary policy through </w:t>
      </w:r>
      <w:r w:rsidR="00F1543C">
        <w:rPr>
          <w:rFonts w:ascii="Times New Roman" w:eastAsia="標楷體"/>
          <w:spacing w:val="-2"/>
          <w:sz w:val="24"/>
          <w:szCs w:val="28"/>
        </w:rPr>
        <w:t>interest</w:t>
      </w:r>
      <w:r w:rsidR="00F1543C">
        <w:rPr>
          <w:rFonts w:ascii="Times New Roman" w:eastAsia="標楷體" w:hint="eastAsia"/>
          <w:spacing w:val="-2"/>
          <w:sz w:val="24"/>
          <w:szCs w:val="28"/>
        </w:rPr>
        <w:t xml:space="preserve"> rate-setting and takes into consideration the developments in money growth. Second, Taiwan</w:t>
      </w:r>
      <w:r w:rsidR="00F1543C">
        <w:rPr>
          <w:rFonts w:ascii="Times New Roman" w:eastAsia="標楷體"/>
          <w:spacing w:val="-2"/>
          <w:sz w:val="24"/>
          <w:szCs w:val="28"/>
        </w:rPr>
        <w:t>’</w:t>
      </w:r>
      <w:r w:rsidR="00F1543C">
        <w:rPr>
          <w:rFonts w:ascii="Times New Roman" w:eastAsia="標楷體" w:hint="eastAsia"/>
          <w:spacing w:val="-2"/>
          <w:sz w:val="24"/>
          <w:szCs w:val="28"/>
        </w:rPr>
        <w:t>s money demand function has been stable</w:t>
      </w:r>
      <w:r w:rsidR="007547C9">
        <w:rPr>
          <w:rFonts w:ascii="Times New Roman" w:eastAsia="標楷體" w:hint="eastAsia"/>
          <w:spacing w:val="-2"/>
          <w:sz w:val="24"/>
          <w:szCs w:val="28"/>
        </w:rPr>
        <w:t xml:space="preserve"> for these years</w:t>
      </w:r>
      <w:r w:rsidR="00F1543C">
        <w:rPr>
          <w:rFonts w:ascii="Times New Roman" w:eastAsia="標楷體" w:hint="eastAsia"/>
          <w:spacing w:val="-2"/>
          <w:sz w:val="24"/>
          <w:szCs w:val="28"/>
        </w:rPr>
        <w:t xml:space="preserve">, with a very high </w:t>
      </w:r>
      <w:r w:rsidR="00F1543C" w:rsidRPr="00F1543C">
        <w:rPr>
          <w:rFonts w:ascii="Times New Roman" w:eastAsia="標楷體"/>
          <w:spacing w:val="-2"/>
          <w:sz w:val="24"/>
          <w:szCs w:val="28"/>
        </w:rPr>
        <w:t>coefficient of determination (denoted by R</w:t>
      </w:r>
      <w:r w:rsidR="00F1543C" w:rsidRPr="00F1543C">
        <w:rPr>
          <w:rFonts w:ascii="Times New Roman" w:eastAsia="標楷體"/>
          <w:spacing w:val="-2"/>
          <w:sz w:val="24"/>
          <w:szCs w:val="28"/>
          <w:vertAlign w:val="superscript"/>
        </w:rPr>
        <w:t>2</w:t>
      </w:r>
      <w:r w:rsidR="00F1543C" w:rsidRPr="00F1543C">
        <w:rPr>
          <w:rFonts w:ascii="Times New Roman" w:eastAsia="標楷體"/>
          <w:spacing w:val="-2"/>
          <w:sz w:val="24"/>
          <w:szCs w:val="28"/>
        </w:rPr>
        <w:t>)</w:t>
      </w:r>
      <w:r w:rsidR="00300C95">
        <w:rPr>
          <w:rFonts w:ascii="Times New Roman" w:eastAsia="標楷體" w:hint="eastAsia"/>
          <w:spacing w:val="-2"/>
          <w:sz w:val="24"/>
          <w:szCs w:val="28"/>
        </w:rPr>
        <w:t>; in the past</w:t>
      </w:r>
      <w:r w:rsidR="007547C9">
        <w:rPr>
          <w:rFonts w:ascii="Times New Roman" w:eastAsia="標楷體" w:hint="eastAsia"/>
          <w:spacing w:val="-2"/>
          <w:sz w:val="24"/>
          <w:szCs w:val="28"/>
        </w:rPr>
        <w:t xml:space="preserve"> three years, the M2 growth rate registered around 3%. </w:t>
      </w:r>
      <w:r w:rsidR="00392048">
        <w:rPr>
          <w:rFonts w:ascii="Times New Roman" w:eastAsia="標楷體" w:hint="eastAsia"/>
          <w:spacing w:val="-2"/>
          <w:sz w:val="24"/>
          <w:szCs w:val="28"/>
        </w:rPr>
        <w:t xml:space="preserve">Adopting a reference range of M2 growth </w:t>
      </w:r>
      <w:r w:rsidR="003A20B2">
        <w:rPr>
          <w:rFonts w:ascii="Times New Roman" w:eastAsia="標楷體" w:hint="eastAsia"/>
          <w:spacing w:val="-2"/>
          <w:sz w:val="24"/>
          <w:szCs w:val="28"/>
        </w:rPr>
        <w:t xml:space="preserve">would show that the Bank not only would be </w:t>
      </w:r>
      <w:r w:rsidR="002D65BA">
        <w:rPr>
          <w:rFonts w:ascii="Times New Roman" w:eastAsia="標楷體" w:hint="eastAsia"/>
          <w:spacing w:val="-2"/>
          <w:sz w:val="24"/>
          <w:szCs w:val="28"/>
        </w:rPr>
        <w:t>keep</w:t>
      </w:r>
      <w:r w:rsidR="003A20B2">
        <w:rPr>
          <w:rFonts w:ascii="Times New Roman" w:eastAsia="標楷體" w:hint="eastAsia"/>
          <w:spacing w:val="-2"/>
          <w:sz w:val="24"/>
          <w:szCs w:val="28"/>
        </w:rPr>
        <w:t>ing</w:t>
      </w:r>
      <w:r w:rsidR="002D65BA">
        <w:rPr>
          <w:rFonts w:ascii="Times New Roman" w:eastAsia="標楷體" w:hint="eastAsia"/>
          <w:spacing w:val="-2"/>
          <w:sz w:val="24"/>
          <w:szCs w:val="28"/>
        </w:rPr>
        <w:t xml:space="preserve"> track of M2 growth trends but also recognizes the need to </w:t>
      </w:r>
      <w:r w:rsidR="007547C9">
        <w:rPr>
          <w:rFonts w:ascii="Times New Roman" w:eastAsia="標楷體" w:hint="eastAsia"/>
          <w:spacing w:val="-2"/>
          <w:sz w:val="24"/>
          <w:szCs w:val="28"/>
        </w:rPr>
        <w:t xml:space="preserve">continue studying the factors affecting money growth and will make </w:t>
      </w:r>
      <w:r w:rsidR="007547C9">
        <w:rPr>
          <w:rFonts w:ascii="Times New Roman" w:eastAsia="標楷體"/>
          <w:spacing w:val="-2"/>
          <w:sz w:val="24"/>
          <w:szCs w:val="28"/>
        </w:rPr>
        <w:t>adjustment</w:t>
      </w:r>
      <w:r w:rsidR="007547C9">
        <w:rPr>
          <w:rFonts w:ascii="Times New Roman" w:eastAsia="標楷體" w:hint="eastAsia"/>
          <w:spacing w:val="-2"/>
          <w:sz w:val="24"/>
          <w:szCs w:val="28"/>
        </w:rPr>
        <w:t>s as needed.</w:t>
      </w:r>
    </w:p>
    <w:p w:rsidR="00D15484" w:rsidRDefault="007547C9" w:rsidP="008B5333">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Another board director pointed out that monetary targeting </w:t>
      </w:r>
      <w:r w:rsidR="006B6EF4">
        <w:rPr>
          <w:rFonts w:ascii="Times New Roman" w:eastAsia="標楷體" w:hint="eastAsia"/>
          <w:spacing w:val="-2"/>
          <w:sz w:val="24"/>
          <w:szCs w:val="28"/>
        </w:rPr>
        <w:t>has become more obsolete as many economies</w:t>
      </w:r>
      <w:r w:rsidR="00D81689">
        <w:rPr>
          <w:rFonts w:ascii="Times New Roman" w:eastAsia="標楷體" w:hint="eastAsia"/>
          <w:spacing w:val="-2"/>
          <w:sz w:val="24"/>
          <w:szCs w:val="28"/>
        </w:rPr>
        <w:t xml:space="preserve"> </w:t>
      </w:r>
      <w:r w:rsidR="00D15484">
        <w:rPr>
          <w:rFonts w:ascii="Times New Roman" w:eastAsia="標楷體" w:hint="eastAsia"/>
          <w:spacing w:val="-2"/>
          <w:sz w:val="24"/>
          <w:szCs w:val="28"/>
        </w:rPr>
        <w:t>use</w:t>
      </w:r>
      <w:r w:rsidR="00D81689">
        <w:rPr>
          <w:rFonts w:ascii="Times New Roman" w:eastAsia="標楷體" w:hint="eastAsia"/>
          <w:spacing w:val="-2"/>
          <w:sz w:val="24"/>
          <w:szCs w:val="28"/>
        </w:rPr>
        <w:t xml:space="preserve"> inflation</w:t>
      </w:r>
      <w:r w:rsidR="00D15484">
        <w:rPr>
          <w:rFonts w:ascii="Times New Roman" w:eastAsia="標楷體" w:hint="eastAsia"/>
          <w:spacing w:val="-2"/>
          <w:sz w:val="24"/>
          <w:szCs w:val="28"/>
        </w:rPr>
        <w:t xml:space="preserve"> instead of</w:t>
      </w:r>
      <w:r w:rsidR="00D81689">
        <w:rPr>
          <w:rFonts w:ascii="Times New Roman" w:eastAsia="標楷體" w:hint="eastAsia"/>
          <w:spacing w:val="-2"/>
          <w:sz w:val="24"/>
          <w:szCs w:val="28"/>
        </w:rPr>
        <w:t xml:space="preserve"> monetary aggregates</w:t>
      </w:r>
      <w:r w:rsidR="00D15484">
        <w:rPr>
          <w:rFonts w:ascii="Times New Roman" w:eastAsia="標楷體" w:hint="eastAsia"/>
          <w:spacing w:val="-2"/>
          <w:sz w:val="24"/>
          <w:szCs w:val="28"/>
        </w:rPr>
        <w:t xml:space="preserve"> as targets</w:t>
      </w:r>
      <w:r w:rsidR="00D81689">
        <w:rPr>
          <w:rFonts w:ascii="Times New Roman" w:eastAsia="標楷體" w:hint="eastAsia"/>
          <w:spacing w:val="-2"/>
          <w:sz w:val="24"/>
          <w:szCs w:val="28"/>
        </w:rPr>
        <w:t xml:space="preserve">. </w:t>
      </w:r>
      <w:r w:rsidR="00D15484">
        <w:rPr>
          <w:rFonts w:ascii="Times New Roman" w:eastAsia="標楷體" w:hint="eastAsia"/>
          <w:spacing w:val="-2"/>
          <w:sz w:val="24"/>
          <w:szCs w:val="28"/>
        </w:rPr>
        <w:t xml:space="preserve">On the other hand, though, dropping the name of the target range could be construed as renouncing the target </w:t>
      </w:r>
      <w:r w:rsidR="00D15484" w:rsidRPr="00D15484">
        <w:rPr>
          <w:rFonts w:ascii="Times New Roman" w:eastAsia="標楷體"/>
          <w:spacing w:val="-2"/>
          <w:sz w:val="24"/>
          <w:szCs w:val="28"/>
        </w:rPr>
        <w:t>definitively</w:t>
      </w:r>
      <w:r w:rsidR="00E37175">
        <w:rPr>
          <w:rFonts w:ascii="Times New Roman" w:eastAsia="標楷體" w:hint="eastAsia"/>
          <w:spacing w:val="-2"/>
          <w:sz w:val="24"/>
          <w:szCs w:val="28"/>
        </w:rPr>
        <w:t xml:space="preserve">. </w:t>
      </w:r>
      <w:r w:rsidR="00D15484">
        <w:rPr>
          <w:rFonts w:ascii="Times New Roman" w:eastAsia="標楷體" w:hint="eastAsia"/>
          <w:spacing w:val="-2"/>
          <w:sz w:val="24"/>
          <w:szCs w:val="28"/>
        </w:rPr>
        <w:t xml:space="preserve">Therefore, this board director </w:t>
      </w:r>
      <w:r w:rsidR="0068641F">
        <w:rPr>
          <w:rFonts w:ascii="Times New Roman" w:eastAsia="標楷體" w:hint="eastAsia"/>
          <w:spacing w:val="-2"/>
          <w:sz w:val="24"/>
          <w:szCs w:val="28"/>
        </w:rPr>
        <w:t xml:space="preserve">had </w:t>
      </w:r>
      <w:bookmarkStart w:id="1" w:name="_GoBack"/>
      <w:bookmarkEnd w:id="1"/>
      <w:r w:rsidR="003A20B2">
        <w:rPr>
          <w:rFonts w:ascii="Times New Roman" w:eastAsia="標楷體" w:hint="eastAsia"/>
          <w:spacing w:val="-2"/>
          <w:sz w:val="24"/>
          <w:szCs w:val="28"/>
        </w:rPr>
        <w:t>reservations</w:t>
      </w:r>
      <w:r w:rsidR="00E37175">
        <w:rPr>
          <w:rFonts w:ascii="Times New Roman" w:eastAsia="標楷體" w:hint="eastAsia"/>
          <w:spacing w:val="-2"/>
          <w:sz w:val="24"/>
          <w:szCs w:val="28"/>
        </w:rPr>
        <w:t xml:space="preserve"> </w:t>
      </w:r>
      <w:r w:rsidR="003A20B2">
        <w:rPr>
          <w:rFonts w:ascii="Times New Roman" w:eastAsia="標楷體" w:hint="eastAsia"/>
          <w:spacing w:val="-2"/>
          <w:sz w:val="24"/>
          <w:szCs w:val="28"/>
        </w:rPr>
        <w:t>about</w:t>
      </w:r>
      <w:r w:rsidR="00E37175">
        <w:rPr>
          <w:rFonts w:ascii="Times New Roman" w:eastAsia="標楷體" w:hint="eastAsia"/>
          <w:spacing w:val="-2"/>
          <w:sz w:val="24"/>
          <w:szCs w:val="28"/>
        </w:rPr>
        <w:t xml:space="preserve"> the proposed adjustment. </w:t>
      </w:r>
    </w:p>
    <w:p w:rsidR="007D3A1A" w:rsidRPr="00703893" w:rsidRDefault="00E37175" w:rsidP="001C52CC">
      <w:pPr>
        <w:pStyle w:val="6"/>
        <w:overflowPunct w:val="0"/>
        <w:snapToGrid w:val="0"/>
        <w:spacing w:after="0" w:line="440" w:lineRule="exact"/>
        <w:ind w:left="0" w:firstLineChars="200" w:firstLine="472"/>
        <w:textDirection w:val="lrTbV"/>
        <w:rPr>
          <w:rFonts w:ascii="Times New Roman" w:eastAsia="標楷體"/>
          <w:spacing w:val="-2"/>
          <w:sz w:val="24"/>
          <w:szCs w:val="24"/>
        </w:rPr>
      </w:pPr>
      <w:r>
        <w:rPr>
          <w:rFonts w:ascii="Times New Roman" w:eastAsia="標楷體" w:hint="eastAsia"/>
          <w:spacing w:val="-2"/>
          <w:sz w:val="24"/>
          <w:szCs w:val="28"/>
        </w:rPr>
        <w:lastRenderedPageBreak/>
        <w:t xml:space="preserve">One board director expressed the view that the target range approach needs to </w:t>
      </w:r>
      <w:r w:rsidR="00512157">
        <w:rPr>
          <w:rFonts w:ascii="Times New Roman" w:eastAsia="標楷體" w:hint="eastAsia"/>
          <w:spacing w:val="-2"/>
          <w:sz w:val="24"/>
          <w:szCs w:val="28"/>
        </w:rPr>
        <w:t>evolve</w:t>
      </w:r>
      <w:r>
        <w:rPr>
          <w:rFonts w:ascii="Times New Roman" w:eastAsia="標楷體" w:hint="eastAsia"/>
          <w:spacing w:val="-2"/>
          <w:sz w:val="24"/>
          <w:szCs w:val="28"/>
        </w:rPr>
        <w:t xml:space="preserve"> with time. And </w:t>
      </w:r>
      <w:r w:rsidR="000C7645">
        <w:rPr>
          <w:rFonts w:ascii="Times New Roman" w:eastAsia="標楷體" w:hint="eastAsia"/>
          <w:spacing w:val="-2"/>
          <w:sz w:val="24"/>
          <w:szCs w:val="28"/>
        </w:rPr>
        <w:t xml:space="preserve">since </w:t>
      </w:r>
      <w:r w:rsidR="00512157">
        <w:rPr>
          <w:rFonts w:ascii="Times New Roman" w:eastAsia="標楷體" w:hint="eastAsia"/>
          <w:spacing w:val="-2"/>
          <w:sz w:val="24"/>
          <w:szCs w:val="28"/>
        </w:rPr>
        <w:t>the adjustment of</w:t>
      </w:r>
      <w:r>
        <w:rPr>
          <w:rFonts w:ascii="Times New Roman" w:eastAsia="標楷體" w:hint="eastAsia"/>
          <w:spacing w:val="-2"/>
          <w:sz w:val="24"/>
          <w:szCs w:val="28"/>
        </w:rPr>
        <w:t xml:space="preserve"> the target range</w:t>
      </w:r>
      <w:r w:rsidR="000C7645">
        <w:rPr>
          <w:rFonts w:ascii="Times New Roman" w:eastAsia="標楷體" w:hint="eastAsia"/>
          <w:spacing w:val="-2"/>
          <w:sz w:val="24"/>
          <w:szCs w:val="28"/>
        </w:rPr>
        <w:t xml:space="preserve"> of M2 growth</w:t>
      </w:r>
      <w:r>
        <w:rPr>
          <w:rFonts w:ascii="Times New Roman" w:eastAsia="標楷體" w:hint="eastAsia"/>
          <w:spacing w:val="-2"/>
          <w:sz w:val="24"/>
          <w:szCs w:val="28"/>
        </w:rPr>
        <w:t xml:space="preserve"> </w:t>
      </w:r>
      <w:r w:rsidR="00512157">
        <w:rPr>
          <w:rFonts w:ascii="Times New Roman" w:eastAsia="標楷體" w:hint="eastAsia"/>
          <w:spacing w:val="-2"/>
          <w:sz w:val="24"/>
          <w:szCs w:val="28"/>
        </w:rPr>
        <w:t>into</w:t>
      </w:r>
      <w:r>
        <w:rPr>
          <w:rFonts w:ascii="Times New Roman" w:eastAsia="標楷體" w:hint="eastAsia"/>
          <w:spacing w:val="-2"/>
          <w:sz w:val="24"/>
          <w:szCs w:val="28"/>
        </w:rPr>
        <w:t xml:space="preserve"> the reference range </w:t>
      </w:r>
      <w:r w:rsidR="000C7645">
        <w:rPr>
          <w:rFonts w:ascii="Times New Roman" w:eastAsia="標楷體" w:hint="eastAsia"/>
          <w:spacing w:val="-2"/>
          <w:sz w:val="24"/>
          <w:szCs w:val="28"/>
        </w:rPr>
        <w:t xml:space="preserve">is an important announcement to be made, the considerations behind this change should be clearly </w:t>
      </w:r>
      <w:r w:rsidR="00120C73">
        <w:rPr>
          <w:rFonts w:ascii="Times New Roman" w:eastAsia="標楷體" w:hint="eastAsia"/>
          <w:spacing w:val="-2"/>
          <w:sz w:val="24"/>
          <w:szCs w:val="28"/>
        </w:rPr>
        <w:t xml:space="preserve">stated. Another board director noted that the Bank has started revisiting the M2 growth target range since 2008. </w:t>
      </w:r>
      <w:r w:rsidR="00512157">
        <w:rPr>
          <w:rFonts w:ascii="Times New Roman" w:eastAsia="標楷體" w:hint="eastAsia"/>
          <w:spacing w:val="-2"/>
          <w:sz w:val="24"/>
          <w:szCs w:val="28"/>
        </w:rPr>
        <w:t>Although t</w:t>
      </w:r>
      <w:r w:rsidR="00120C73">
        <w:rPr>
          <w:rFonts w:ascii="Times New Roman" w:eastAsia="標楷體" w:hint="eastAsia"/>
          <w:spacing w:val="-2"/>
          <w:sz w:val="24"/>
          <w:szCs w:val="28"/>
        </w:rPr>
        <w:t>he short-term relationship between M2 and prices has weakened in Taiwan in the years after the global financial crisis</w:t>
      </w:r>
      <w:r w:rsidR="00512157">
        <w:rPr>
          <w:rFonts w:ascii="Times New Roman" w:eastAsia="標楷體" w:hint="eastAsia"/>
          <w:spacing w:val="-2"/>
          <w:sz w:val="24"/>
          <w:szCs w:val="28"/>
        </w:rPr>
        <w:t>, the mid- to long-term relationship has stayed stable.</w:t>
      </w:r>
      <w:r w:rsidR="003A0A8E">
        <w:rPr>
          <w:rFonts w:ascii="Times New Roman" w:eastAsia="標楷體" w:hint="eastAsia"/>
          <w:spacing w:val="-2"/>
          <w:sz w:val="24"/>
          <w:szCs w:val="28"/>
        </w:rPr>
        <w:t xml:space="preserve"> Therefore, </w:t>
      </w:r>
      <w:r w:rsidR="00512157">
        <w:rPr>
          <w:rFonts w:ascii="Times New Roman" w:eastAsia="標楷體" w:hint="eastAsia"/>
          <w:spacing w:val="-2"/>
          <w:sz w:val="24"/>
          <w:szCs w:val="28"/>
        </w:rPr>
        <w:t>by revisiting, and adjusting, the target range approach,</w:t>
      </w:r>
      <w:r w:rsidR="003A0A8E">
        <w:rPr>
          <w:rFonts w:ascii="Times New Roman" w:eastAsia="標楷體" w:hint="eastAsia"/>
          <w:spacing w:val="-2"/>
          <w:sz w:val="24"/>
          <w:szCs w:val="28"/>
        </w:rPr>
        <w:t xml:space="preserve"> </w:t>
      </w:r>
      <w:r w:rsidR="00512157">
        <w:rPr>
          <w:rFonts w:ascii="Times New Roman" w:eastAsia="標楷體" w:hint="eastAsia"/>
          <w:spacing w:val="-2"/>
          <w:sz w:val="24"/>
          <w:szCs w:val="28"/>
        </w:rPr>
        <w:t>it wo</w:t>
      </w:r>
      <w:r w:rsidR="003A0A8E">
        <w:rPr>
          <w:rFonts w:ascii="Times New Roman" w:eastAsia="標楷體" w:hint="eastAsia"/>
          <w:spacing w:val="-2"/>
          <w:sz w:val="24"/>
          <w:szCs w:val="28"/>
        </w:rPr>
        <w:t xml:space="preserve">uld better reflect the </w:t>
      </w:r>
      <w:r w:rsidR="003A0A8E">
        <w:rPr>
          <w:rFonts w:ascii="Times New Roman" w:eastAsia="標楷體"/>
          <w:spacing w:val="-2"/>
          <w:sz w:val="24"/>
          <w:szCs w:val="28"/>
        </w:rPr>
        <w:t>flexibility</w:t>
      </w:r>
      <w:r w:rsidR="003A0A8E">
        <w:rPr>
          <w:rFonts w:ascii="Times New Roman" w:eastAsia="標楷體" w:hint="eastAsia"/>
          <w:spacing w:val="-2"/>
          <w:sz w:val="24"/>
          <w:szCs w:val="28"/>
        </w:rPr>
        <w:t xml:space="preserve"> shown in practice. </w:t>
      </w:r>
    </w:p>
    <w:p w:rsidR="00C05E67" w:rsidRPr="00703893" w:rsidRDefault="00C05E67" w:rsidP="00B04114">
      <w:pPr>
        <w:pStyle w:val="6"/>
        <w:numPr>
          <w:ilvl w:val="0"/>
          <w:numId w:val="16"/>
        </w:numPr>
        <w:overflowPunct w:val="0"/>
        <w:snapToGrid w:val="0"/>
        <w:spacing w:after="0" w:line="440" w:lineRule="exact"/>
        <w:textDirection w:val="lrTbV"/>
        <w:rPr>
          <w:rFonts w:ascii="Times New Roman" w:eastAsia="標楷體"/>
          <w:spacing w:val="-2"/>
          <w:sz w:val="24"/>
          <w:szCs w:val="28"/>
        </w:rPr>
      </w:pPr>
      <w:r w:rsidRPr="00703893">
        <w:rPr>
          <w:rFonts w:ascii="Times New Roman" w:eastAsia="標楷體" w:hint="eastAsia"/>
          <w:spacing w:val="-2"/>
          <w:sz w:val="24"/>
          <w:szCs w:val="28"/>
        </w:rPr>
        <w:t xml:space="preserve">Discussion on </w:t>
      </w:r>
      <w:r w:rsidRPr="00703893">
        <w:rPr>
          <w:rFonts w:ascii="Times New Roman" w:eastAsia="標楷體"/>
          <w:spacing w:val="-2"/>
          <w:sz w:val="24"/>
          <w:szCs w:val="28"/>
        </w:rPr>
        <w:t xml:space="preserve">the </w:t>
      </w:r>
      <w:r w:rsidRPr="00703893">
        <w:rPr>
          <w:rFonts w:ascii="Times New Roman" w:eastAsia="標楷體" w:hint="eastAsia"/>
          <w:spacing w:val="-2"/>
          <w:sz w:val="24"/>
          <w:szCs w:val="28"/>
        </w:rPr>
        <w:t xml:space="preserve">implications </w:t>
      </w:r>
      <w:r w:rsidR="00703893" w:rsidRPr="00703893">
        <w:rPr>
          <w:rFonts w:ascii="Times New Roman" w:eastAsia="標楷體" w:hint="eastAsia"/>
          <w:spacing w:val="-2"/>
          <w:sz w:val="24"/>
          <w:szCs w:val="28"/>
        </w:rPr>
        <w:t>regarding monetary aggregates</w:t>
      </w:r>
    </w:p>
    <w:p w:rsidR="003A0A8E" w:rsidRDefault="00020E28" w:rsidP="00684D17">
      <w:pPr>
        <w:pStyle w:val="6"/>
        <w:overflowPunct w:val="0"/>
        <w:snapToGrid w:val="0"/>
        <w:spacing w:after="0" w:line="440" w:lineRule="exact"/>
        <w:ind w:left="0" w:firstLineChars="200" w:firstLine="480"/>
        <w:textDirection w:val="lrTbV"/>
        <w:rPr>
          <w:rFonts w:ascii="Times New Roman" w:eastAsia="標楷體"/>
          <w:spacing w:val="0"/>
          <w:sz w:val="24"/>
          <w:szCs w:val="24"/>
        </w:rPr>
      </w:pPr>
      <w:r w:rsidRPr="003A0A8E">
        <w:rPr>
          <w:rFonts w:ascii="Times New Roman" w:eastAsia="標楷體" w:hint="eastAsia"/>
          <w:spacing w:val="0"/>
          <w:sz w:val="24"/>
          <w:szCs w:val="24"/>
        </w:rPr>
        <w:t xml:space="preserve">One board director </w:t>
      </w:r>
      <w:r w:rsidR="003A0A8E">
        <w:rPr>
          <w:rFonts w:ascii="Times New Roman" w:eastAsia="標楷體" w:hint="eastAsia"/>
          <w:spacing w:val="0"/>
          <w:sz w:val="24"/>
          <w:szCs w:val="24"/>
        </w:rPr>
        <w:t xml:space="preserve">noted that predicting the demand for money is </w:t>
      </w:r>
      <w:r w:rsidR="004967E3">
        <w:rPr>
          <w:rFonts w:ascii="Times New Roman" w:eastAsia="標楷體" w:hint="eastAsia"/>
          <w:spacing w:val="0"/>
          <w:sz w:val="24"/>
          <w:szCs w:val="24"/>
        </w:rPr>
        <w:t xml:space="preserve">to reckon how much supply there should be to meet the demand while taking into account price trends. Given that after the global financial crisis the relationship between M2 and prices was weaker for the short term but steady for the longer term, the Bank needs to take another look at how the overall economic structural changes affects transmission of M2 growth to prices. Another board director pointed out that the definition of M2 also needs to be adjusted to stay contemporary because times have changed and electronic payment and virtual currency have played more prominent roles. </w:t>
      </w:r>
    </w:p>
    <w:p w:rsidR="003A0A8E" w:rsidRDefault="004967E3" w:rsidP="00684D17">
      <w:pPr>
        <w:pStyle w:val="6"/>
        <w:overflowPunct w:val="0"/>
        <w:snapToGrid w:val="0"/>
        <w:spacing w:after="0" w:line="440" w:lineRule="exact"/>
        <w:ind w:left="0" w:firstLineChars="200" w:firstLine="480"/>
        <w:textDirection w:val="lrTbV"/>
        <w:rPr>
          <w:rFonts w:ascii="Times New Roman" w:eastAsia="標楷體"/>
          <w:spacing w:val="0"/>
          <w:sz w:val="24"/>
          <w:szCs w:val="24"/>
        </w:rPr>
      </w:pPr>
      <w:r>
        <w:rPr>
          <w:rFonts w:ascii="Times New Roman" w:eastAsia="標楷體" w:hint="eastAsia"/>
          <w:spacing w:val="0"/>
          <w:sz w:val="24"/>
          <w:szCs w:val="24"/>
        </w:rPr>
        <w:t xml:space="preserve">One board director </w:t>
      </w:r>
      <w:r w:rsidR="00C005E8">
        <w:rPr>
          <w:rFonts w:ascii="Times New Roman" w:eastAsia="標楷體" w:hint="eastAsia"/>
          <w:spacing w:val="0"/>
          <w:sz w:val="24"/>
          <w:szCs w:val="24"/>
        </w:rPr>
        <w:t xml:space="preserve">stated that advanced economies have struggled with defining money supply with M1 or M2 since the 1980s, mainly because of (1) the </w:t>
      </w:r>
      <w:r w:rsidR="0059546D">
        <w:rPr>
          <w:rFonts w:ascii="Times New Roman" w:eastAsia="標楷體" w:hint="eastAsia"/>
          <w:spacing w:val="0"/>
          <w:sz w:val="24"/>
          <w:szCs w:val="24"/>
        </w:rPr>
        <w:t>strained</w:t>
      </w:r>
      <w:r w:rsidR="00C005E8">
        <w:rPr>
          <w:rFonts w:ascii="Times New Roman" w:eastAsia="標楷體" w:hint="eastAsia"/>
          <w:spacing w:val="0"/>
          <w:sz w:val="24"/>
          <w:szCs w:val="24"/>
        </w:rPr>
        <w:t xml:space="preserve"> availability of statistics representative of money as a medium of exchange since late 1970s when financial liberalization came </w:t>
      </w:r>
      <w:r w:rsidR="00C005E8" w:rsidRPr="00C005E8">
        <w:rPr>
          <w:rFonts w:ascii="Times New Roman" w:eastAsia="標楷體"/>
          <w:spacing w:val="0"/>
          <w:sz w:val="24"/>
          <w:szCs w:val="24"/>
        </w:rPr>
        <w:t>burgeoning</w:t>
      </w:r>
      <w:r w:rsidR="0059546D">
        <w:rPr>
          <w:rFonts w:ascii="Times New Roman" w:eastAsia="標楷體" w:hint="eastAsia"/>
          <w:spacing w:val="0"/>
          <w:sz w:val="24"/>
          <w:szCs w:val="24"/>
        </w:rPr>
        <w:t xml:space="preserve"> and thus obscured the role of money</w:t>
      </w:r>
      <w:r w:rsidR="00C005E8">
        <w:rPr>
          <w:rFonts w:ascii="Times New Roman" w:eastAsia="標楷體" w:hint="eastAsia"/>
          <w:spacing w:val="0"/>
          <w:sz w:val="24"/>
          <w:szCs w:val="24"/>
        </w:rPr>
        <w:t xml:space="preserve">, and (2) the enormous change </w:t>
      </w:r>
      <w:r w:rsidR="0059546D">
        <w:rPr>
          <w:rFonts w:ascii="Times New Roman" w:eastAsia="標楷體" w:hint="eastAsia"/>
          <w:spacing w:val="0"/>
          <w:sz w:val="24"/>
          <w:szCs w:val="24"/>
        </w:rPr>
        <w:t xml:space="preserve">in payment methods since 1995 with the rise of internet and smartphone uses. These two reasons prevented advanced economies from finding significant money demand functions, and Taiwan, having seen increasing signs of such changes, could face that challenge in the future. Nevertheless, the current M2 demand equation remains robust and continues to serve </w:t>
      </w:r>
      <w:r w:rsidR="00F32291">
        <w:rPr>
          <w:rFonts w:ascii="Times New Roman" w:eastAsia="標楷體" w:hint="eastAsia"/>
          <w:spacing w:val="0"/>
          <w:sz w:val="24"/>
          <w:szCs w:val="24"/>
        </w:rPr>
        <w:t xml:space="preserve">as </w:t>
      </w:r>
      <w:r w:rsidR="0059546D">
        <w:rPr>
          <w:rFonts w:ascii="Times New Roman" w:eastAsia="標楷體" w:hint="eastAsia"/>
          <w:spacing w:val="0"/>
          <w:sz w:val="24"/>
          <w:szCs w:val="24"/>
        </w:rPr>
        <w:t xml:space="preserve">a useful reference. </w:t>
      </w:r>
    </w:p>
    <w:p w:rsidR="00D367E0" w:rsidRPr="002D740A" w:rsidRDefault="006B62AE" w:rsidP="002D740A">
      <w:pPr>
        <w:numPr>
          <w:ilvl w:val="0"/>
          <w:numId w:val="10"/>
        </w:numPr>
        <w:overflowPunct w:val="0"/>
        <w:autoSpaceDE w:val="0"/>
        <w:autoSpaceDN w:val="0"/>
        <w:snapToGrid w:val="0"/>
        <w:spacing w:before="120" w:line="440" w:lineRule="exact"/>
        <w:ind w:left="426" w:hanging="426"/>
        <w:jc w:val="both"/>
        <w:textDirection w:val="lrTbV"/>
        <w:rPr>
          <w:rFonts w:eastAsia="標楷體"/>
          <w:b/>
          <w:spacing w:val="-2"/>
          <w:sz w:val="24"/>
          <w:szCs w:val="24"/>
        </w:rPr>
      </w:pPr>
      <w:r w:rsidRPr="002D740A">
        <w:rPr>
          <w:rFonts w:eastAsia="標楷體" w:hint="eastAsia"/>
          <w:b/>
          <w:spacing w:val="-2"/>
          <w:sz w:val="24"/>
          <w:szCs w:val="24"/>
        </w:rPr>
        <w:t>Decision on</w:t>
      </w:r>
      <w:r w:rsidR="002D740A" w:rsidRPr="002D740A">
        <w:rPr>
          <w:rFonts w:eastAsia="標楷體"/>
          <w:b/>
          <w:spacing w:val="-2"/>
          <w:sz w:val="24"/>
          <w:szCs w:val="24"/>
        </w:rPr>
        <w:t xml:space="preserve"> changing the M2 growth target range to reference range</w:t>
      </w:r>
    </w:p>
    <w:p w:rsidR="00AA6988" w:rsidRPr="002D740A" w:rsidRDefault="006B62AE" w:rsidP="002D740A">
      <w:pPr>
        <w:overflowPunct w:val="0"/>
        <w:autoSpaceDE w:val="0"/>
        <w:autoSpaceDN w:val="0"/>
        <w:snapToGrid w:val="0"/>
        <w:spacing w:before="120" w:line="440" w:lineRule="exact"/>
        <w:ind w:left="426"/>
        <w:jc w:val="both"/>
        <w:textDirection w:val="lrTbV"/>
        <w:rPr>
          <w:rFonts w:eastAsia="標楷體"/>
          <w:sz w:val="24"/>
          <w:szCs w:val="24"/>
        </w:rPr>
      </w:pPr>
      <w:r w:rsidRPr="002D740A">
        <w:rPr>
          <w:rFonts w:eastAsia="標楷體" w:hint="eastAsia"/>
          <w:spacing w:val="-2"/>
          <w:sz w:val="24"/>
          <w:szCs w:val="24"/>
        </w:rPr>
        <w:t xml:space="preserve">The </w:t>
      </w:r>
      <w:r w:rsidR="00C05E67" w:rsidRPr="002D740A">
        <w:rPr>
          <w:rFonts w:eastAsia="標楷體" w:hint="eastAsia"/>
          <w:spacing w:val="-2"/>
          <w:sz w:val="24"/>
          <w:szCs w:val="24"/>
        </w:rPr>
        <w:t xml:space="preserve">board </w:t>
      </w:r>
      <w:r w:rsidRPr="002D740A">
        <w:rPr>
          <w:rFonts w:eastAsia="標楷體" w:hint="eastAsia"/>
          <w:spacing w:val="-2"/>
          <w:sz w:val="24"/>
          <w:szCs w:val="24"/>
        </w:rPr>
        <w:t xml:space="preserve">directors </w:t>
      </w:r>
      <w:r w:rsidR="002D740A" w:rsidRPr="002D740A">
        <w:rPr>
          <w:rFonts w:eastAsia="標楷體" w:hint="eastAsia"/>
          <w:spacing w:val="-2"/>
          <w:sz w:val="24"/>
          <w:szCs w:val="24"/>
        </w:rPr>
        <w:t xml:space="preserve">approved the proposition that, starting from year 2020, the target range of M2 growth would become the reference range. </w:t>
      </w:r>
    </w:p>
    <w:p w:rsidR="005E27CD" w:rsidRPr="007F6F77" w:rsidRDefault="00AA6988" w:rsidP="00FA173A">
      <w:pPr>
        <w:adjustRightInd/>
        <w:snapToGrid w:val="0"/>
        <w:spacing w:before="120" w:line="440" w:lineRule="exact"/>
        <w:ind w:left="1302" w:hanging="1302"/>
        <w:jc w:val="both"/>
        <w:textDirection w:val="lrTbV"/>
        <w:rPr>
          <w:rFonts w:eastAsia="標楷體"/>
          <w:b/>
          <w:sz w:val="24"/>
          <w:szCs w:val="24"/>
        </w:rPr>
      </w:pPr>
      <w:r w:rsidRPr="007F6F77">
        <w:rPr>
          <w:rFonts w:eastAsia="標楷體"/>
          <w:b/>
          <w:sz w:val="24"/>
          <w:szCs w:val="24"/>
        </w:rPr>
        <w:br w:type="page"/>
      </w:r>
    </w:p>
    <w:p w:rsidR="002570BA" w:rsidRPr="007F6F77" w:rsidRDefault="008F7E41" w:rsidP="00FA173A">
      <w:pPr>
        <w:adjustRightInd/>
        <w:snapToGrid w:val="0"/>
        <w:spacing w:before="120" w:line="440" w:lineRule="exact"/>
        <w:jc w:val="both"/>
        <w:textDirection w:val="lrTbV"/>
        <w:rPr>
          <w:rFonts w:eastAsia="標楷體"/>
          <w:sz w:val="28"/>
          <w:szCs w:val="28"/>
        </w:rPr>
      </w:pPr>
      <w:r w:rsidRPr="007F6F77">
        <w:rPr>
          <w:rFonts w:eastAsia="標楷體"/>
          <w:b/>
          <w:sz w:val="28"/>
          <w:szCs w:val="28"/>
        </w:rPr>
        <w:lastRenderedPageBreak/>
        <w:t>AGENDA ITEM 2: ECONOMIC AND FINANCIAL CONDITIONS AND MONETARY POLICY DECISION</w:t>
      </w:r>
    </w:p>
    <w:p w:rsidR="002570BA" w:rsidRPr="009605CF" w:rsidRDefault="00653A10" w:rsidP="009605CF">
      <w:pPr>
        <w:pStyle w:val="afff6"/>
        <w:numPr>
          <w:ilvl w:val="2"/>
          <w:numId w:val="26"/>
        </w:numPr>
        <w:adjustRightInd/>
        <w:snapToGrid w:val="0"/>
        <w:spacing w:before="120" w:line="440" w:lineRule="exact"/>
        <w:ind w:leftChars="0" w:left="426" w:hanging="426"/>
        <w:rPr>
          <w:rFonts w:ascii="Times New Roman" w:eastAsia="標楷體"/>
          <w:b/>
          <w:sz w:val="28"/>
          <w:szCs w:val="28"/>
        </w:rPr>
      </w:pPr>
      <w:r w:rsidRPr="009605CF">
        <w:rPr>
          <w:rFonts w:ascii="Times New Roman" w:eastAsia="標楷體"/>
          <w:b/>
          <w:sz w:val="28"/>
          <w:szCs w:val="28"/>
        </w:rPr>
        <w:t xml:space="preserve">Review of </w:t>
      </w:r>
      <w:r w:rsidR="008F7E41" w:rsidRPr="009605CF">
        <w:rPr>
          <w:rFonts w:ascii="Times New Roman" w:eastAsia="標楷體"/>
          <w:b/>
          <w:sz w:val="28"/>
          <w:szCs w:val="28"/>
        </w:rPr>
        <w:t xml:space="preserve">economic </w:t>
      </w:r>
      <w:r w:rsidR="002570BA" w:rsidRPr="009605CF">
        <w:rPr>
          <w:rFonts w:ascii="Times New Roman" w:eastAsia="標楷體"/>
          <w:b/>
          <w:sz w:val="28"/>
          <w:szCs w:val="28"/>
        </w:rPr>
        <w:t>a</w:t>
      </w:r>
      <w:r w:rsidR="008F7E41" w:rsidRPr="009605CF">
        <w:rPr>
          <w:rFonts w:ascii="Times New Roman" w:eastAsia="標楷體"/>
          <w:b/>
          <w:sz w:val="28"/>
          <w:szCs w:val="28"/>
        </w:rPr>
        <w:t xml:space="preserve">nd financial conditions </w:t>
      </w:r>
    </w:p>
    <w:p w:rsidR="00EB1763" w:rsidRPr="007F6F77" w:rsidRDefault="0043506F" w:rsidP="00FA173A">
      <w:pPr>
        <w:adjustRightInd/>
        <w:snapToGrid w:val="0"/>
        <w:spacing w:before="120" w:line="440" w:lineRule="exact"/>
        <w:jc w:val="both"/>
        <w:textDirection w:val="lrTbV"/>
        <w:rPr>
          <w:rFonts w:eastAsia="標楷體"/>
          <w:sz w:val="24"/>
          <w:szCs w:val="28"/>
        </w:rPr>
      </w:pPr>
      <w:r w:rsidRPr="007F6F77">
        <w:rPr>
          <w:rFonts w:eastAsia="標楷體" w:hint="eastAsia"/>
          <w:sz w:val="24"/>
          <w:szCs w:val="28"/>
        </w:rPr>
        <w:t xml:space="preserve">The </w:t>
      </w:r>
      <w:r w:rsidR="00EB1763" w:rsidRPr="007F6F77">
        <w:rPr>
          <w:rFonts w:eastAsia="標楷體" w:hint="eastAsia"/>
          <w:sz w:val="24"/>
          <w:szCs w:val="28"/>
        </w:rPr>
        <w:t xml:space="preserve">Department of Economic Research </w:t>
      </w:r>
      <w:r w:rsidR="00653A10" w:rsidRPr="007F6F77">
        <w:rPr>
          <w:rFonts w:eastAsia="標楷體" w:hint="eastAsia"/>
          <w:sz w:val="24"/>
          <w:szCs w:val="28"/>
        </w:rPr>
        <w:t xml:space="preserve">presented </w:t>
      </w:r>
      <w:r w:rsidRPr="007F6F77">
        <w:rPr>
          <w:rFonts w:eastAsia="標楷體" w:hint="eastAsia"/>
          <w:sz w:val="24"/>
          <w:szCs w:val="28"/>
        </w:rPr>
        <w:t>the following review</w:t>
      </w:r>
      <w:r w:rsidR="00653A10" w:rsidRPr="007F6F77">
        <w:rPr>
          <w:rFonts w:eastAsia="標楷體" w:hint="eastAsia"/>
          <w:sz w:val="24"/>
          <w:szCs w:val="28"/>
        </w:rPr>
        <w:t>:</w:t>
      </w:r>
      <w:r w:rsidRPr="007F6F77">
        <w:rPr>
          <w:rFonts w:eastAsia="標楷體" w:hint="eastAsia"/>
          <w:sz w:val="24"/>
          <w:szCs w:val="28"/>
        </w:rPr>
        <w:t xml:space="preserve"> </w:t>
      </w:r>
    </w:p>
    <w:p w:rsidR="00EB1763" w:rsidRPr="007F6F77" w:rsidRDefault="00EB1763" w:rsidP="00B04114">
      <w:pPr>
        <w:numPr>
          <w:ilvl w:val="0"/>
          <w:numId w:val="9"/>
        </w:numPr>
        <w:overflowPunct w:val="0"/>
        <w:autoSpaceDE w:val="0"/>
        <w:autoSpaceDN w:val="0"/>
        <w:snapToGrid w:val="0"/>
        <w:spacing w:before="120" w:line="440" w:lineRule="exact"/>
        <w:ind w:left="426" w:hanging="426"/>
        <w:jc w:val="both"/>
        <w:rPr>
          <w:rFonts w:eastAsia="標楷體"/>
          <w:b/>
          <w:spacing w:val="-2"/>
          <w:sz w:val="24"/>
          <w:szCs w:val="28"/>
        </w:rPr>
      </w:pPr>
      <w:r w:rsidRPr="007F6F77">
        <w:rPr>
          <w:rFonts w:eastAsia="標楷體" w:hint="eastAsia"/>
          <w:b/>
          <w:spacing w:val="-2"/>
          <w:sz w:val="24"/>
          <w:szCs w:val="28"/>
        </w:rPr>
        <w:t xml:space="preserve">International </w:t>
      </w:r>
      <w:r w:rsidRPr="007F6F77">
        <w:rPr>
          <w:rFonts w:eastAsia="標楷體"/>
          <w:b/>
          <w:spacing w:val="-2"/>
          <w:sz w:val="24"/>
          <w:szCs w:val="28"/>
        </w:rPr>
        <w:t xml:space="preserve">Economic </w:t>
      </w:r>
      <w:r w:rsidRPr="007F6F77">
        <w:rPr>
          <w:rFonts w:eastAsia="標楷體" w:hint="eastAsia"/>
          <w:b/>
          <w:spacing w:val="-2"/>
          <w:sz w:val="24"/>
          <w:szCs w:val="28"/>
        </w:rPr>
        <w:t>a</w:t>
      </w:r>
      <w:r w:rsidRPr="007F6F77">
        <w:rPr>
          <w:rFonts w:eastAsia="標楷體"/>
          <w:b/>
          <w:spacing w:val="-2"/>
          <w:sz w:val="24"/>
          <w:szCs w:val="28"/>
        </w:rPr>
        <w:t>nd Financial Conditions</w:t>
      </w:r>
    </w:p>
    <w:p w:rsidR="00D203B7" w:rsidRDefault="00ED7CDB" w:rsidP="00ED7CDB">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In the period after </w:t>
      </w:r>
      <w:r w:rsidR="00D9159B" w:rsidRPr="007F6F77">
        <w:rPr>
          <w:rFonts w:ascii="Times New Roman" w:eastAsia="標楷體" w:hint="eastAsia"/>
          <w:spacing w:val="0"/>
          <w:sz w:val="24"/>
          <w:szCs w:val="24"/>
        </w:rPr>
        <w:t xml:space="preserve">the </w:t>
      </w:r>
      <w:r w:rsidR="00062DAF" w:rsidRPr="007F6F77">
        <w:rPr>
          <w:rFonts w:ascii="Times New Roman" w:eastAsia="標楷體" w:hint="eastAsia"/>
          <w:spacing w:val="0"/>
          <w:sz w:val="24"/>
          <w:szCs w:val="24"/>
        </w:rPr>
        <w:t>September</w:t>
      </w:r>
      <w:r w:rsidR="00D9159B" w:rsidRPr="007F6F77">
        <w:rPr>
          <w:rFonts w:ascii="Times New Roman" w:eastAsia="標楷體" w:hint="eastAsia"/>
          <w:spacing w:val="0"/>
          <w:sz w:val="24"/>
          <w:szCs w:val="24"/>
        </w:rPr>
        <w:t xml:space="preserve"> </w:t>
      </w:r>
      <w:r w:rsidR="00062DAF" w:rsidRPr="007F6F77">
        <w:rPr>
          <w:rFonts w:ascii="Times New Roman" w:eastAsia="標楷體" w:hint="eastAsia"/>
          <w:spacing w:val="0"/>
          <w:sz w:val="24"/>
          <w:szCs w:val="24"/>
        </w:rPr>
        <w:t>B</w:t>
      </w:r>
      <w:r w:rsidR="00D9159B" w:rsidRPr="007F6F77">
        <w:rPr>
          <w:rFonts w:ascii="Times New Roman" w:eastAsia="標楷體" w:hint="eastAsia"/>
          <w:spacing w:val="0"/>
          <w:sz w:val="24"/>
          <w:szCs w:val="24"/>
        </w:rPr>
        <w:t xml:space="preserve">oard </w:t>
      </w:r>
      <w:r w:rsidR="00062DAF" w:rsidRPr="007F6F77">
        <w:rPr>
          <w:rFonts w:ascii="Times New Roman" w:eastAsia="標楷體" w:hint="eastAsia"/>
          <w:spacing w:val="0"/>
          <w:sz w:val="24"/>
          <w:szCs w:val="24"/>
        </w:rPr>
        <w:t>M</w:t>
      </w:r>
      <w:r w:rsidR="00D9159B" w:rsidRPr="007F6F77">
        <w:rPr>
          <w:rFonts w:ascii="Times New Roman" w:eastAsia="標楷體" w:hint="eastAsia"/>
          <w:spacing w:val="0"/>
          <w:sz w:val="24"/>
          <w:szCs w:val="24"/>
        </w:rPr>
        <w:t>eeting</w:t>
      </w:r>
      <w:r w:rsidR="00EA2602" w:rsidRPr="007F6F77">
        <w:rPr>
          <w:rFonts w:ascii="Times New Roman" w:eastAsia="標楷體" w:hint="eastAsia"/>
          <w:spacing w:val="0"/>
          <w:sz w:val="24"/>
          <w:szCs w:val="24"/>
        </w:rPr>
        <w:t xml:space="preserve">, </w:t>
      </w:r>
      <w:r w:rsidR="00DC6060">
        <w:rPr>
          <w:rFonts w:ascii="Times New Roman" w:eastAsia="標楷體" w:hint="eastAsia"/>
          <w:spacing w:val="0"/>
          <w:sz w:val="24"/>
          <w:szCs w:val="24"/>
        </w:rPr>
        <w:t xml:space="preserve">global economic growth </w:t>
      </w:r>
      <w:r>
        <w:rPr>
          <w:rFonts w:ascii="Times New Roman" w:eastAsia="標楷體" w:hint="eastAsia"/>
          <w:spacing w:val="0"/>
          <w:sz w:val="24"/>
          <w:szCs w:val="24"/>
        </w:rPr>
        <w:t xml:space="preserve">was </w:t>
      </w:r>
      <w:r w:rsidR="00DC6060">
        <w:rPr>
          <w:rFonts w:ascii="Times New Roman" w:eastAsia="標楷體" w:hint="eastAsia"/>
          <w:spacing w:val="0"/>
          <w:sz w:val="24"/>
          <w:szCs w:val="24"/>
        </w:rPr>
        <w:t>moderate owing to unabated</w:t>
      </w:r>
      <w:r>
        <w:rPr>
          <w:rFonts w:ascii="Times New Roman" w:eastAsia="標楷體" w:hint="eastAsia"/>
          <w:spacing w:val="0"/>
          <w:sz w:val="24"/>
          <w:szCs w:val="24"/>
        </w:rPr>
        <w:t xml:space="preserve"> trade policy uncertainty. I</w:t>
      </w:r>
      <w:r w:rsidR="004F1312" w:rsidRPr="007F6F77">
        <w:rPr>
          <w:rFonts w:ascii="Times New Roman" w:eastAsia="標楷體" w:hint="eastAsia"/>
          <w:spacing w:val="0"/>
          <w:sz w:val="24"/>
          <w:szCs w:val="24"/>
        </w:rPr>
        <w:t>nternational forecasting institutions project</w:t>
      </w:r>
      <w:r w:rsidR="00A54623" w:rsidRPr="007F6F77">
        <w:rPr>
          <w:rFonts w:ascii="Times New Roman" w:eastAsia="標楷體" w:hint="eastAsia"/>
          <w:spacing w:val="0"/>
          <w:sz w:val="24"/>
          <w:szCs w:val="24"/>
        </w:rPr>
        <w:t>ed</w:t>
      </w:r>
      <w:r w:rsidR="004F1312" w:rsidRPr="007F6F77">
        <w:rPr>
          <w:rFonts w:ascii="Times New Roman" w:eastAsia="標楷體" w:hint="eastAsia"/>
          <w:spacing w:val="0"/>
          <w:sz w:val="24"/>
          <w:szCs w:val="24"/>
        </w:rPr>
        <w:t xml:space="preserve"> that </w:t>
      </w:r>
      <w:r>
        <w:rPr>
          <w:rFonts w:ascii="Times New Roman" w:eastAsia="標楷體" w:hint="eastAsia"/>
          <w:spacing w:val="0"/>
          <w:sz w:val="24"/>
          <w:szCs w:val="24"/>
        </w:rPr>
        <w:t>the global economy would expand at a slightly slower pace in 2020 than 2019. As for world trade growth, which slackened considerably this year owing to trade tensions, a rebound was forecast</w:t>
      </w:r>
      <w:r w:rsidR="003E0907">
        <w:rPr>
          <w:rFonts w:ascii="Times New Roman" w:eastAsia="標楷體" w:hint="eastAsia"/>
          <w:spacing w:val="0"/>
          <w:sz w:val="24"/>
          <w:szCs w:val="24"/>
        </w:rPr>
        <w:t>ed</w:t>
      </w:r>
      <w:r>
        <w:rPr>
          <w:rFonts w:ascii="Times New Roman" w:eastAsia="標楷體" w:hint="eastAsia"/>
          <w:spacing w:val="0"/>
          <w:sz w:val="24"/>
          <w:szCs w:val="24"/>
        </w:rPr>
        <w:t xml:space="preserve"> for the </w:t>
      </w:r>
      <w:r w:rsidR="006F4E5D">
        <w:rPr>
          <w:rFonts w:ascii="Times New Roman" w:eastAsia="標楷體" w:hint="eastAsia"/>
          <w:spacing w:val="0"/>
          <w:sz w:val="24"/>
          <w:szCs w:val="24"/>
        </w:rPr>
        <w:t xml:space="preserve">next </w:t>
      </w:r>
      <w:r>
        <w:rPr>
          <w:rFonts w:ascii="Times New Roman" w:eastAsia="標楷體" w:hint="eastAsia"/>
          <w:spacing w:val="0"/>
          <w:sz w:val="24"/>
          <w:szCs w:val="24"/>
        </w:rPr>
        <w:t xml:space="preserve">year. </w:t>
      </w:r>
    </w:p>
    <w:p w:rsidR="006F4E5D" w:rsidRDefault="006F4E5D" w:rsidP="00ED7CDB">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Trade policy uncertainty also caused most major economies to experience slower growth this year</w:t>
      </w:r>
      <w:r w:rsidR="00A27EF0">
        <w:rPr>
          <w:rFonts w:ascii="Times New Roman" w:eastAsia="標楷體" w:hint="eastAsia"/>
          <w:spacing w:val="0"/>
          <w:sz w:val="24"/>
          <w:szCs w:val="24"/>
        </w:rPr>
        <w:t>, with China</w:t>
      </w:r>
      <w:r w:rsidR="00A27EF0">
        <w:rPr>
          <w:rFonts w:ascii="Times New Roman" w:eastAsia="標楷體"/>
          <w:spacing w:val="0"/>
          <w:sz w:val="24"/>
          <w:szCs w:val="24"/>
        </w:rPr>
        <w:t>’</w:t>
      </w:r>
      <w:r w:rsidR="00A27EF0">
        <w:rPr>
          <w:rFonts w:ascii="Times New Roman" w:eastAsia="標楷體" w:hint="eastAsia"/>
          <w:spacing w:val="0"/>
          <w:sz w:val="24"/>
          <w:szCs w:val="24"/>
        </w:rPr>
        <w:t>s slowdown more significant than expected, taking</w:t>
      </w:r>
      <w:r w:rsidR="006F0FD9">
        <w:rPr>
          <w:rFonts w:ascii="Times New Roman" w:eastAsia="標楷體" w:hint="eastAsia"/>
          <w:spacing w:val="0"/>
          <w:sz w:val="24"/>
          <w:szCs w:val="24"/>
        </w:rPr>
        <w:t xml:space="preserve"> its</w:t>
      </w:r>
      <w:r w:rsidR="00A27EF0">
        <w:rPr>
          <w:rFonts w:ascii="Times New Roman" w:eastAsia="標楷體" w:hint="eastAsia"/>
          <w:spacing w:val="0"/>
          <w:sz w:val="24"/>
          <w:szCs w:val="24"/>
        </w:rPr>
        <w:t xml:space="preserve"> toll </w:t>
      </w:r>
      <w:r w:rsidR="006F0FD9">
        <w:rPr>
          <w:rFonts w:ascii="Times New Roman" w:eastAsia="標楷體" w:hint="eastAsia"/>
          <w:spacing w:val="0"/>
          <w:sz w:val="24"/>
          <w:szCs w:val="24"/>
        </w:rPr>
        <w:t xml:space="preserve">on emerging market economies. For the year of 2020, it was projected that major </w:t>
      </w:r>
      <w:r w:rsidR="006F0FD9">
        <w:rPr>
          <w:rFonts w:ascii="Times New Roman" w:eastAsia="標楷體"/>
          <w:spacing w:val="0"/>
          <w:sz w:val="24"/>
          <w:szCs w:val="24"/>
        </w:rPr>
        <w:t>economies</w:t>
      </w:r>
      <w:r w:rsidR="006F0FD9">
        <w:rPr>
          <w:rFonts w:ascii="Times New Roman" w:eastAsia="標楷體" w:hint="eastAsia"/>
          <w:spacing w:val="0"/>
          <w:sz w:val="24"/>
          <w:szCs w:val="24"/>
        </w:rPr>
        <w:t xml:space="preserve"> would register mild growth. </w:t>
      </w:r>
    </w:p>
    <w:p w:rsidR="003E0907" w:rsidRDefault="00C166DD" w:rsidP="003E0907">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International oil prices, despite an upswing since October, were expected to stay </w:t>
      </w:r>
      <w:r w:rsidR="00AA6DA7">
        <w:rPr>
          <w:rFonts w:ascii="Times New Roman" w:eastAsia="標楷體" w:hint="eastAsia"/>
          <w:spacing w:val="0"/>
          <w:sz w:val="24"/>
          <w:szCs w:val="24"/>
        </w:rPr>
        <w:t xml:space="preserve">low in 2020 </w:t>
      </w:r>
      <w:r>
        <w:rPr>
          <w:rFonts w:ascii="Times New Roman" w:eastAsia="標楷體" w:hint="eastAsia"/>
          <w:spacing w:val="0"/>
          <w:sz w:val="24"/>
          <w:szCs w:val="24"/>
        </w:rPr>
        <w:t xml:space="preserve">below </w:t>
      </w:r>
      <w:r w:rsidR="00AA6DA7">
        <w:rPr>
          <w:rFonts w:ascii="Times New Roman" w:eastAsia="標楷體" w:hint="eastAsia"/>
          <w:spacing w:val="0"/>
          <w:sz w:val="24"/>
          <w:szCs w:val="24"/>
        </w:rPr>
        <w:t>this year</w:t>
      </w:r>
      <w:r w:rsidR="00AA6DA7">
        <w:rPr>
          <w:rFonts w:ascii="Times New Roman" w:eastAsia="標楷體"/>
          <w:spacing w:val="0"/>
          <w:sz w:val="24"/>
          <w:szCs w:val="24"/>
        </w:rPr>
        <w:t>’</w:t>
      </w:r>
      <w:r w:rsidR="00AA6DA7">
        <w:rPr>
          <w:rFonts w:ascii="Times New Roman" w:eastAsia="標楷體" w:hint="eastAsia"/>
          <w:spacing w:val="0"/>
          <w:sz w:val="24"/>
          <w:szCs w:val="24"/>
        </w:rPr>
        <w:t>s</w:t>
      </w:r>
      <w:r>
        <w:rPr>
          <w:rFonts w:ascii="Times New Roman" w:eastAsia="標楷體" w:hint="eastAsia"/>
          <w:spacing w:val="0"/>
          <w:sz w:val="24"/>
          <w:szCs w:val="24"/>
        </w:rPr>
        <w:t xml:space="preserve"> level</w:t>
      </w:r>
      <w:r w:rsidR="00AA6DA7">
        <w:rPr>
          <w:rFonts w:ascii="Times New Roman" w:eastAsia="標楷體" w:hint="eastAsia"/>
          <w:spacing w:val="0"/>
          <w:sz w:val="24"/>
          <w:szCs w:val="24"/>
        </w:rPr>
        <w:t xml:space="preserve"> </w:t>
      </w:r>
      <w:r>
        <w:rPr>
          <w:rFonts w:ascii="Times New Roman" w:eastAsia="標楷體" w:hint="eastAsia"/>
          <w:spacing w:val="0"/>
          <w:sz w:val="24"/>
          <w:szCs w:val="24"/>
        </w:rPr>
        <w:t xml:space="preserve">amid a likely rise in global crude inventory and a moderate global economy. Given this projection of subdued </w:t>
      </w:r>
      <w:r w:rsidR="003E0907">
        <w:rPr>
          <w:rFonts w:ascii="Times New Roman" w:eastAsia="標楷體" w:hint="eastAsia"/>
          <w:spacing w:val="0"/>
          <w:sz w:val="24"/>
          <w:szCs w:val="24"/>
        </w:rPr>
        <w:t xml:space="preserve">crude </w:t>
      </w:r>
      <w:r>
        <w:rPr>
          <w:rFonts w:ascii="Times New Roman" w:eastAsia="標楷體" w:hint="eastAsia"/>
          <w:spacing w:val="0"/>
          <w:sz w:val="24"/>
          <w:szCs w:val="24"/>
        </w:rPr>
        <w:t>oil prices</w:t>
      </w:r>
      <w:r w:rsidR="00AA6DA7">
        <w:rPr>
          <w:rFonts w:ascii="Times New Roman" w:eastAsia="標楷體" w:hint="eastAsia"/>
          <w:spacing w:val="0"/>
          <w:sz w:val="24"/>
          <w:szCs w:val="24"/>
        </w:rPr>
        <w:t xml:space="preserve"> </w:t>
      </w:r>
      <w:r w:rsidR="003E0907">
        <w:rPr>
          <w:rFonts w:ascii="Times New Roman" w:eastAsia="標楷體" w:hint="eastAsia"/>
          <w:spacing w:val="0"/>
          <w:sz w:val="24"/>
          <w:szCs w:val="24"/>
        </w:rPr>
        <w:t xml:space="preserve">and a soft world </w:t>
      </w:r>
      <w:r w:rsidR="003E0907">
        <w:rPr>
          <w:rFonts w:ascii="Times New Roman" w:eastAsia="標楷體"/>
          <w:spacing w:val="0"/>
          <w:sz w:val="24"/>
          <w:szCs w:val="24"/>
        </w:rPr>
        <w:t>economic</w:t>
      </w:r>
      <w:r w:rsidR="003E0907">
        <w:rPr>
          <w:rFonts w:ascii="Times New Roman" w:eastAsia="標楷體" w:hint="eastAsia"/>
          <w:spacing w:val="0"/>
          <w:sz w:val="24"/>
          <w:szCs w:val="24"/>
        </w:rPr>
        <w:t xml:space="preserve"> outlook, g</w:t>
      </w:r>
      <w:r>
        <w:rPr>
          <w:rFonts w:ascii="Times New Roman" w:eastAsia="標楷體" w:hint="eastAsia"/>
          <w:spacing w:val="0"/>
          <w:sz w:val="24"/>
          <w:szCs w:val="24"/>
        </w:rPr>
        <w:t>lobal inflation was expected to be mild next year</w:t>
      </w:r>
      <w:r w:rsidR="003E0907">
        <w:rPr>
          <w:rFonts w:ascii="Times New Roman" w:eastAsia="標楷體" w:hint="eastAsia"/>
          <w:spacing w:val="0"/>
          <w:sz w:val="24"/>
          <w:szCs w:val="24"/>
        </w:rPr>
        <w:t xml:space="preserve">. International institutions forecasted that the 2020 global inflation rate would remain </w:t>
      </w:r>
      <w:r w:rsidR="0061520E">
        <w:rPr>
          <w:rFonts w:ascii="Times New Roman" w:eastAsia="標楷體" w:hint="eastAsia"/>
          <w:spacing w:val="0"/>
          <w:sz w:val="24"/>
          <w:szCs w:val="24"/>
        </w:rPr>
        <w:t>similar to the trend this year.</w:t>
      </w:r>
    </w:p>
    <w:p w:rsidR="0061520E" w:rsidRDefault="0061520E" w:rsidP="00046AB9">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Meanwhile, the U.S. Federal Reserve and some Asian central banks reduced policy rates </w:t>
      </w:r>
      <w:r w:rsidR="0069638E">
        <w:rPr>
          <w:rFonts w:ascii="Times New Roman" w:eastAsia="標楷體" w:hint="eastAsia"/>
          <w:spacing w:val="0"/>
          <w:sz w:val="24"/>
          <w:szCs w:val="24"/>
        </w:rPr>
        <w:t xml:space="preserve">in recent months </w:t>
      </w:r>
      <w:r w:rsidR="009B7779">
        <w:rPr>
          <w:rFonts w:ascii="Times New Roman" w:eastAsia="標楷體" w:hint="eastAsia"/>
          <w:spacing w:val="0"/>
          <w:sz w:val="24"/>
          <w:szCs w:val="24"/>
        </w:rPr>
        <w:t xml:space="preserve">as the economic prospects were dimmed by international factors and inflation was </w:t>
      </w:r>
      <w:r w:rsidR="004A31B9">
        <w:rPr>
          <w:rFonts w:ascii="Times New Roman" w:eastAsia="標楷體" w:hint="eastAsia"/>
          <w:spacing w:val="0"/>
          <w:sz w:val="24"/>
          <w:szCs w:val="24"/>
        </w:rPr>
        <w:t>sup</w:t>
      </w:r>
      <w:r w:rsidR="009B7779">
        <w:rPr>
          <w:rFonts w:ascii="Times New Roman" w:eastAsia="標楷體" w:hint="eastAsia"/>
          <w:spacing w:val="0"/>
          <w:sz w:val="24"/>
          <w:szCs w:val="24"/>
        </w:rPr>
        <w:t xml:space="preserve">pressed. </w:t>
      </w:r>
      <w:r w:rsidR="00756A3C">
        <w:rPr>
          <w:rFonts w:ascii="Times New Roman" w:eastAsia="標楷體" w:hint="eastAsia"/>
          <w:spacing w:val="0"/>
          <w:sz w:val="24"/>
          <w:szCs w:val="24"/>
        </w:rPr>
        <w:t xml:space="preserve">In general, an accommodative monetary policy stance would remain in place, with </w:t>
      </w:r>
      <w:r w:rsidR="0069638E">
        <w:rPr>
          <w:rFonts w:ascii="Times New Roman" w:eastAsia="標楷體" w:hint="eastAsia"/>
          <w:spacing w:val="0"/>
          <w:sz w:val="24"/>
          <w:szCs w:val="24"/>
        </w:rPr>
        <w:t xml:space="preserve">the U.S., the euro area, and Japan all </w:t>
      </w:r>
      <w:r w:rsidR="000A4246">
        <w:rPr>
          <w:rFonts w:ascii="Times New Roman" w:eastAsia="標楷體" w:hint="eastAsia"/>
          <w:spacing w:val="0"/>
          <w:sz w:val="24"/>
          <w:szCs w:val="24"/>
        </w:rPr>
        <w:t>keeping rates unchanged</w:t>
      </w:r>
      <w:r w:rsidR="00756A3C">
        <w:rPr>
          <w:rFonts w:ascii="Times New Roman" w:eastAsia="標楷體" w:hint="eastAsia"/>
          <w:spacing w:val="0"/>
          <w:sz w:val="24"/>
          <w:szCs w:val="24"/>
        </w:rPr>
        <w:t xml:space="preserve"> in December. </w:t>
      </w:r>
    </w:p>
    <w:p w:rsidR="0061520E" w:rsidRDefault="000A4246" w:rsidP="00046AB9">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International </w:t>
      </w:r>
      <w:r w:rsidR="00355228">
        <w:rPr>
          <w:rFonts w:ascii="Times New Roman" w:eastAsia="標楷體" w:hint="eastAsia"/>
          <w:spacing w:val="0"/>
          <w:sz w:val="24"/>
          <w:szCs w:val="24"/>
        </w:rPr>
        <w:t xml:space="preserve">financial </w:t>
      </w:r>
      <w:r>
        <w:rPr>
          <w:rFonts w:ascii="Times New Roman" w:eastAsia="標楷體" w:hint="eastAsia"/>
          <w:spacing w:val="0"/>
          <w:sz w:val="24"/>
          <w:szCs w:val="24"/>
        </w:rPr>
        <w:t>markets stabilized as the U.S.-China trade conflicts had eased since October.</w:t>
      </w:r>
      <w:r w:rsidR="00AD0963">
        <w:rPr>
          <w:rFonts w:ascii="Times New Roman" w:eastAsia="標楷體" w:hint="eastAsia"/>
          <w:spacing w:val="0"/>
          <w:sz w:val="24"/>
          <w:szCs w:val="24"/>
        </w:rPr>
        <w:t xml:space="preserve"> M</w:t>
      </w:r>
      <w:r>
        <w:rPr>
          <w:rFonts w:ascii="Times New Roman" w:eastAsia="標楷體" w:hint="eastAsia"/>
          <w:spacing w:val="0"/>
          <w:sz w:val="24"/>
          <w:szCs w:val="24"/>
        </w:rPr>
        <w:t xml:space="preserve">ajor equity indices rose and </w:t>
      </w:r>
      <w:r w:rsidR="00355228">
        <w:rPr>
          <w:rFonts w:ascii="Times New Roman" w:eastAsia="標楷體" w:hint="eastAsia"/>
          <w:spacing w:val="0"/>
          <w:sz w:val="24"/>
          <w:szCs w:val="24"/>
        </w:rPr>
        <w:t>major currencies broadly appreciated against the U.S. dollar</w:t>
      </w:r>
      <w:r w:rsidR="00AD0963">
        <w:rPr>
          <w:rFonts w:ascii="Times New Roman" w:eastAsia="標楷體" w:hint="eastAsia"/>
          <w:spacing w:val="0"/>
          <w:sz w:val="24"/>
          <w:szCs w:val="24"/>
        </w:rPr>
        <w:t xml:space="preserve">, including the previously devalued renminbi, which rebounded </w:t>
      </w:r>
      <w:r w:rsidR="00AD0963">
        <w:rPr>
          <w:rFonts w:ascii="Times New Roman" w:eastAsia="標楷體"/>
          <w:spacing w:val="0"/>
          <w:sz w:val="24"/>
          <w:szCs w:val="24"/>
        </w:rPr>
        <w:t>vis-à-vis</w:t>
      </w:r>
      <w:r w:rsidR="00AD0963">
        <w:rPr>
          <w:rFonts w:ascii="Times New Roman" w:eastAsia="標楷體" w:hint="eastAsia"/>
          <w:spacing w:val="0"/>
          <w:sz w:val="24"/>
          <w:szCs w:val="24"/>
        </w:rPr>
        <w:t xml:space="preserve"> the U.S. dollar</w:t>
      </w:r>
      <w:r w:rsidR="00355228">
        <w:rPr>
          <w:rFonts w:ascii="Times New Roman" w:eastAsia="標楷體" w:hint="eastAsia"/>
          <w:spacing w:val="0"/>
          <w:sz w:val="24"/>
          <w:szCs w:val="24"/>
        </w:rPr>
        <w:t xml:space="preserve">. </w:t>
      </w:r>
      <w:r w:rsidR="000310B5">
        <w:rPr>
          <w:rFonts w:ascii="Times New Roman" w:eastAsia="標楷體" w:hint="eastAsia"/>
          <w:spacing w:val="0"/>
          <w:sz w:val="24"/>
          <w:szCs w:val="24"/>
        </w:rPr>
        <w:t xml:space="preserve">In a world where </w:t>
      </w:r>
      <w:r w:rsidR="00AD0963">
        <w:rPr>
          <w:rFonts w:ascii="Times New Roman" w:eastAsia="標楷體" w:hint="eastAsia"/>
          <w:spacing w:val="0"/>
          <w:sz w:val="24"/>
          <w:szCs w:val="24"/>
        </w:rPr>
        <w:t>interest rates were generally low</w:t>
      </w:r>
      <w:r w:rsidR="000310B5">
        <w:rPr>
          <w:rFonts w:ascii="Times New Roman" w:eastAsia="標楷體" w:hint="eastAsia"/>
          <w:spacing w:val="0"/>
          <w:sz w:val="24"/>
          <w:szCs w:val="24"/>
        </w:rPr>
        <w:t xml:space="preserve"> and the size of negative-yielding bonds reached historical levels, along with increased activity of leveraged investment, </w:t>
      </w:r>
      <w:r w:rsidR="00DD641D">
        <w:rPr>
          <w:rFonts w:ascii="Times New Roman" w:eastAsia="標楷體" w:hint="eastAsia"/>
          <w:spacing w:val="0"/>
          <w:sz w:val="24"/>
          <w:szCs w:val="24"/>
        </w:rPr>
        <w:t xml:space="preserve">both China and the U.S. had seen their non-financial corporate debt rising and credit quality </w:t>
      </w:r>
      <w:r w:rsidR="00DD641D">
        <w:rPr>
          <w:rFonts w:ascii="Times New Roman" w:eastAsia="標楷體" w:hint="eastAsia"/>
          <w:spacing w:val="0"/>
          <w:sz w:val="24"/>
          <w:szCs w:val="24"/>
        </w:rPr>
        <w:lastRenderedPageBreak/>
        <w:t xml:space="preserve">deteriorating. </w:t>
      </w:r>
      <w:r w:rsidR="00876B69">
        <w:rPr>
          <w:rFonts w:ascii="Times New Roman" w:eastAsia="標楷體" w:hint="eastAsia"/>
          <w:spacing w:val="0"/>
          <w:sz w:val="24"/>
          <w:szCs w:val="24"/>
        </w:rPr>
        <w:t xml:space="preserve">Global financial fragility continued building up. </w:t>
      </w:r>
    </w:p>
    <w:p w:rsidR="0081226D" w:rsidRPr="007F6F77" w:rsidRDefault="00876B69" w:rsidP="006F4C5B">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Looking ahead, several downside </w:t>
      </w:r>
      <w:r w:rsidR="000015F2" w:rsidRPr="007F6F77">
        <w:rPr>
          <w:rFonts w:ascii="Times New Roman" w:eastAsia="標楷體" w:hint="eastAsia"/>
          <w:spacing w:val="0"/>
          <w:sz w:val="24"/>
          <w:szCs w:val="24"/>
        </w:rPr>
        <w:t xml:space="preserve">risks </w:t>
      </w:r>
      <w:r>
        <w:rPr>
          <w:rFonts w:ascii="Times New Roman" w:eastAsia="標楷體" w:hint="eastAsia"/>
          <w:spacing w:val="0"/>
          <w:sz w:val="24"/>
          <w:szCs w:val="24"/>
        </w:rPr>
        <w:t xml:space="preserve">could dampen </w:t>
      </w:r>
      <w:r w:rsidR="000015F2" w:rsidRPr="007F6F77">
        <w:rPr>
          <w:rFonts w:ascii="Times New Roman" w:eastAsia="標楷體" w:hint="eastAsia"/>
          <w:spacing w:val="0"/>
          <w:sz w:val="24"/>
          <w:szCs w:val="24"/>
        </w:rPr>
        <w:t xml:space="preserve">the global </w:t>
      </w:r>
      <w:r w:rsidR="000015F2" w:rsidRPr="007F6F77">
        <w:rPr>
          <w:rFonts w:ascii="Times New Roman" w:eastAsia="標楷體"/>
          <w:spacing w:val="0"/>
          <w:sz w:val="24"/>
          <w:szCs w:val="24"/>
        </w:rPr>
        <w:t>econom</w:t>
      </w:r>
      <w:r w:rsidR="008A58E0" w:rsidRPr="007F6F77">
        <w:rPr>
          <w:rFonts w:ascii="Times New Roman" w:eastAsia="標楷體" w:hint="eastAsia"/>
          <w:spacing w:val="0"/>
          <w:sz w:val="24"/>
          <w:szCs w:val="24"/>
        </w:rPr>
        <w:t>ic outlook</w:t>
      </w:r>
      <w:r>
        <w:rPr>
          <w:rFonts w:ascii="Times New Roman" w:eastAsia="標楷體" w:hint="eastAsia"/>
          <w:spacing w:val="0"/>
          <w:sz w:val="24"/>
          <w:szCs w:val="24"/>
        </w:rPr>
        <w:t>, including</w:t>
      </w:r>
      <w:r w:rsidR="004435A0" w:rsidRPr="007F6F77">
        <w:rPr>
          <w:rFonts w:ascii="Times New Roman" w:eastAsia="標楷體" w:hint="eastAsia"/>
          <w:spacing w:val="0"/>
          <w:sz w:val="24"/>
          <w:szCs w:val="24"/>
        </w:rPr>
        <w:t>:</w:t>
      </w:r>
      <w:r w:rsidR="000015F2" w:rsidRPr="007F6F77">
        <w:rPr>
          <w:rFonts w:ascii="Times New Roman" w:eastAsia="標楷體" w:hint="eastAsia"/>
          <w:spacing w:val="0"/>
          <w:sz w:val="24"/>
          <w:szCs w:val="24"/>
        </w:rPr>
        <w:t xml:space="preserve"> (1) </w:t>
      </w:r>
      <w:r w:rsidR="003E6E94">
        <w:rPr>
          <w:rFonts w:ascii="Times New Roman" w:eastAsia="標楷體" w:hint="eastAsia"/>
          <w:spacing w:val="0"/>
          <w:sz w:val="24"/>
          <w:szCs w:val="24"/>
        </w:rPr>
        <w:t xml:space="preserve">unrelenting U.S.-led trade friction; (2) a slowing Chinese economy, combined with rising economic and financial risks; (3) a further build-up of global financial fragility, amidst growing non-financial corporate debt and worsening credit quality, as well as </w:t>
      </w:r>
      <w:r w:rsidR="006F4C5B">
        <w:rPr>
          <w:rFonts w:ascii="Times New Roman" w:eastAsia="標楷體" w:hint="eastAsia"/>
          <w:spacing w:val="0"/>
          <w:sz w:val="24"/>
          <w:szCs w:val="24"/>
        </w:rPr>
        <w:t xml:space="preserve">increased high-risk alternative investments made by insurers and pension funds; (4) persistent geopolitical risks. All these could weigh on global financial market stability and the economic and trade outlook. </w:t>
      </w:r>
    </w:p>
    <w:p w:rsidR="00D46F1E" w:rsidRPr="00583901" w:rsidRDefault="00D46F1E" w:rsidP="00B04114">
      <w:pPr>
        <w:numPr>
          <w:ilvl w:val="0"/>
          <w:numId w:val="9"/>
        </w:numPr>
        <w:overflowPunct w:val="0"/>
        <w:autoSpaceDE w:val="0"/>
        <w:autoSpaceDN w:val="0"/>
        <w:snapToGrid w:val="0"/>
        <w:spacing w:before="120" w:line="440" w:lineRule="exact"/>
        <w:ind w:left="426" w:hanging="426"/>
        <w:rPr>
          <w:rFonts w:eastAsia="標楷體"/>
          <w:b/>
          <w:spacing w:val="-2"/>
          <w:sz w:val="24"/>
          <w:szCs w:val="28"/>
        </w:rPr>
      </w:pPr>
      <w:r w:rsidRPr="00583901">
        <w:rPr>
          <w:rFonts w:eastAsia="標楷體" w:hint="eastAsia"/>
          <w:b/>
          <w:spacing w:val="-2"/>
          <w:sz w:val="24"/>
          <w:szCs w:val="28"/>
        </w:rPr>
        <w:t>Domestic</w:t>
      </w:r>
      <w:r w:rsidRPr="00583901">
        <w:rPr>
          <w:rFonts w:eastAsia="標楷體"/>
          <w:b/>
          <w:spacing w:val="-2"/>
          <w:sz w:val="24"/>
          <w:szCs w:val="28"/>
        </w:rPr>
        <w:t xml:space="preserve"> Economic </w:t>
      </w:r>
      <w:r w:rsidRPr="00583901">
        <w:rPr>
          <w:rFonts w:eastAsia="標楷體" w:hint="eastAsia"/>
          <w:b/>
          <w:spacing w:val="-2"/>
          <w:sz w:val="24"/>
          <w:szCs w:val="28"/>
        </w:rPr>
        <w:t>a</w:t>
      </w:r>
      <w:r w:rsidRPr="00583901">
        <w:rPr>
          <w:rFonts w:eastAsia="標楷體"/>
          <w:b/>
          <w:spacing w:val="-2"/>
          <w:sz w:val="24"/>
          <w:szCs w:val="28"/>
        </w:rPr>
        <w:t>nd Financial Conditions</w:t>
      </w:r>
    </w:p>
    <w:p w:rsidR="00D46F1E" w:rsidRPr="007F6F77" w:rsidRDefault="00D46F1E" w:rsidP="00FA173A">
      <w:pPr>
        <w:adjustRightInd/>
        <w:spacing w:before="120" w:line="440" w:lineRule="exact"/>
        <w:textAlignment w:val="auto"/>
        <w:rPr>
          <w:rFonts w:eastAsia="標楷體"/>
          <w:spacing w:val="-2"/>
          <w:kern w:val="2"/>
          <w:sz w:val="24"/>
          <w:szCs w:val="28"/>
        </w:rPr>
      </w:pPr>
      <w:r w:rsidRPr="00583901">
        <w:rPr>
          <w:rFonts w:eastAsia="標楷體"/>
          <w:spacing w:val="-2"/>
          <w:kern w:val="2"/>
          <w:sz w:val="24"/>
          <w:szCs w:val="28"/>
        </w:rPr>
        <w:t>(</w:t>
      </w:r>
      <w:r w:rsidRPr="00583901">
        <w:rPr>
          <w:rFonts w:eastAsia="標楷體" w:hint="eastAsia"/>
          <w:spacing w:val="-2"/>
          <w:kern w:val="2"/>
          <w:sz w:val="24"/>
          <w:szCs w:val="28"/>
        </w:rPr>
        <w:t>1</w:t>
      </w:r>
      <w:r w:rsidRPr="00583901">
        <w:rPr>
          <w:rFonts w:eastAsia="標楷體"/>
          <w:spacing w:val="-2"/>
          <w:kern w:val="2"/>
          <w:sz w:val="24"/>
          <w:szCs w:val="28"/>
        </w:rPr>
        <w:t>)</w:t>
      </w:r>
      <w:r w:rsidR="00583901">
        <w:rPr>
          <w:rFonts w:eastAsia="標楷體" w:hint="eastAsia"/>
          <w:spacing w:val="-2"/>
          <w:kern w:val="2"/>
          <w:sz w:val="24"/>
          <w:szCs w:val="28"/>
        </w:rPr>
        <w:t xml:space="preserve"> Economic situation</w:t>
      </w:r>
    </w:p>
    <w:p w:rsidR="002D7D52" w:rsidRDefault="00583901" w:rsidP="00FA173A">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Indicators for domestic economic outlook showed that both leading and coincident indicators continued to rise, while the </w:t>
      </w:r>
      <w:r w:rsidR="002D7D52">
        <w:rPr>
          <w:rFonts w:ascii="Times New Roman" w:eastAsia="標楷體" w:hint="eastAsia"/>
          <w:spacing w:val="0"/>
          <w:sz w:val="24"/>
          <w:szCs w:val="24"/>
        </w:rPr>
        <w:t xml:space="preserve">Taiwan </w:t>
      </w:r>
      <w:r w:rsidR="002D7D52" w:rsidRPr="002D7D52">
        <w:rPr>
          <w:rFonts w:ascii="Times New Roman" w:eastAsia="標楷體"/>
          <w:spacing w:val="0"/>
          <w:sz w:val="24"/>
          <w:szCs w:val="24"/>
        </w:rPr>
        <w:t>Manufacturing PMI</w:t>
      </w:r>
      <w:r w:rsidR="002D7D52">
        <w:rPr>
          <w:rFonts w:ascii="Times New Roman" w:eastAsia="標楷體" w:hint="eastAsia"/>
          <w:spacing w:val="0"/>
          <w:sz w:val="24"/>
          <w:szCs w:val="24"/>
        </w:rPr>
        <w:t xml:space="preserve"> (Purchasing Managers</w:t>
      </w:r>
      <w:r w:rsidR="002D7D52">
        <w:rPr>
          <w:rFonts w:ascii="Times New Roman" w:eastAsia="標楷體"/>
          <w:spacing w:val="0"/>
          <w:sz w:val="24"/>
          <w:szCs w:val="24"/>
        </w:rPr>
        <w:t>’</w:t>
      </w:r>
      <w:r w:rsidR="002D7D52">
        <w:rPr>
          <w:rFonts w:ascii="Times New Roman" w:eastAsia="標楷體" w:hint="eastAsia"/>
          <w:spacing w:val="0"/>
          <w:sz w:val="24"/>
          <w:szCs w:val="24"/>
        </w:rPr>
        <w:t xml:space="preserve"> Index)</w:t>
      </w:r>
      <w:r w:rsidR="002D7D52" w:rsidRPr="002D7D52">
        <w:rPr>
          <w:rFonts w:ascii="Times New Roman" w:eastAsia="標楷體"/>
          <w:spacing w:val="0"/>
          <w:sz w:val="24"/>
          <w:szCs w:val="24"/>
        </w:rPr>
        <w:t xml:space="preserve"> </w:t>
      </w:r>
      <w:r>
        <w:rPr>
          <w:rFonts w:ascii="Times New Roman" w:eastAsia="標楷體" w:hint="eastAsia"/>
          <w:spacing w:val="0"/>
          <w:sz w:val="24"/>
          <w:szCs w:val="24"/>
        </w:rPr>
        <w:t xml:space="preserve">and </w:t>
      </w:r>
      <w:r w:rsidR="002D7D52" w:rsidRPr="002D7D52">
        <w:rPr>
          <w:rFonts w:ascii="Times New Roman" w:eastAsia="標楷體"/>
          <w:spacing w:val="0"/>
          <w:sz w:val="24"/>
          <w:szCs w:val="24"/>
        </w:rPr>
        <w:t xml:space="preserve">the Taiwan NMI </w:t>
      </w:r>
      <w:r w:rsidR="002D7D52">
        <w:rPr>
          <w:rFonts w:ascii="Times New Roman" w:eastAsia="標楷體" w:hint="eastAsia"/>
          <w:spacing w:val="0"/>
          <w:sz w:val="24"/>
          <w:szCs w:val="24"/>
        </w:rPr>
        <w:t>(</w:t>
      </w:r>
      <w:r w:rsidR="002D7D52" w:rsidRPr="002D7D52">
        <w:rPr>
          <w:rFonts w:ascii="Times New Roman" w:eastAsia="標楷體"/>
          <w:spacing w:val="0"/>
          <w:sz w:val="24"/>
          <w:szCs w:val="24"/>
        </w:rPr>
        <w:t>Non-Manufacturing Index</w:t>
      </w:r>
      <w:r w:rsidR="002D7D52">
        <w:rPr>
          <w:rFonts w:ascii="Times New Roman" w:eastAsia="標楷體" w:hint="eastAsia"/>
          <w:spacing w:val="0"/>
          <w:sz w:val="24"/>
          <w:szCs w:val="24"/>
        </w:rPr>
        <w:t xml:space="preserve">) both pointed to expansion. Overall, the business climate was stable. </w:t>
      </w:r>
    </w:p>
    <w:p w:rsidR="002D7D52" w:rsidRDefault="00C331A4" w:rsidP="001A0B9F">
      <w:pPr>
        <w:pStyle w:val="6"/>
        <w:overflowPunct w:val="0"/>
        <w:snapToGrid w:val="0"/>
        <w:spacing w:after="0" w:line="440" w:lineRule="exact"/>
        <w:ind w:left="0" w:firstLineChars="200" w:firstLine="480"/>
        <w:rPr>
          <w:rFonts w:ascii="Times New Roman" w:eastAsia="標楷體"/>
          <w:spacing w:val="0"/>
          <w:sz w:val="24"/>
          <w:szCs w:val="24"/>
        </w:rPr>
      </w:pPr>
      <w:r w:rsidRPr="007F6F77">
        <w:rPr>
          <w:rFonts w:ascii="Times New Roman" w:eastAsia="標楷體" w:hint="eastAsia"/>
          <w:spacing w:val="0"/>
          <w:sz w:val="24"/>
          <w:szCs w:val="24"/>
        </w:rPr>
        <w:t>In terms of external demand,</w:t>
      </w:r>
      <w:r w:rsidR="00A25C8C" w:rsidRPr="007F6F77">
        <w:rPr>
          <w:rFonts w:ascii="Times New Roman" w:eastAsia="標楷體" w:hint="eastAsia"/>
          <w:spacing w:val="0"/>
          <w:sz w:val="24"/>
          <w:szCs w:val="24"/>
        </w:rPr>
        <w:t xml:space="preserve"> </w:t>
      </w:r>
      <w:r w:rsidR="004B4D63">
        <w:rPr>
          <w:rFonts w:ascii="Times New Roman" w:eastAsia="標楷體" w:hint="eastAsia"/>
          <w:spacing w:val="0"/>
          <w:sz w:val="24"/>
          <w:szCs w:val="24"/>
        </w:rPr>
        <w:t>major Asian economies recorded year-on-year declines in total exports owing to weak growth momentum</w:t>
      </w:r>
      <w:r w:rsidR="004A31B9">
        <w:rPr>
          <w:rFonts w:ascii="Times New Roman" w:eastAsia="標楷體" w:hint="eastAsia"/>
          <w:spacing w:val="0"/>
          <w:sz w:val="24"/>
          <w:szCs w:val="24"/>
        </w:rPr>
        <w:t xml:space="preserve"> in</w:t>
      </w:r>
      <w:r w:rsidR="004B4D63">
        <w:rPr>
          <w:rFonts w:ascii="Times New Roman" w:eastAsia="標楷體" w:hint="eastAsia"/>
          <w:spacing w:val="0"/>
          <w:sz w:val="24"/>
          <w:szCs w:val="24"/>
        </w:rPr>
        <w:t xml:space="preserve"> the global economy and falling international raw material prices. </w:t>
      </w:r>
      <w:r w:rsidR="00CD2FD1">
        <w:rPr>
          <w:rFonts w:ascii="Times New Roman" w:eastAsia="標楷體" w:hint="eastAsia"/>
          <w:spacing w:val="0"/>
          <w:sz w:val="24"/>
          <w:szCs w:val="24"/>
        </w:rPr>
        <w:t xml:space="preserve">Against this backdrop, </w:t>
      </w:r>
      <w:r w:rsidR="00111F6A">
        <w:rPr>
          <w:rFonts w:ascii="Times New Roman" w:eastAsia="標楷體" w:hint="eastAsia"/>
          <w:spacing w:val="0"/>
          <w:sz w:val="24"/>
          <w:szCs w:val="24"/>
        </w:rPr>
        <w:t>Taiwan</w:t>
      </w:r>
      <w:r w:rsidR="00111F6A">
        <w:rPr>
          <w:rFonts w:ascii="Times New Roman" w:eastAsia="標楷體"/>
          <w:spacing w:val="0"/>
          <w:sz w:val="24"/>
          <w:szCs w:val="24"/>
        </w:rPr>
        <w:t>’</w:t>
      </w:r>
      <w:r w:rsidR="00111F6A">
        <w:rPr>
          <w:rFonts w:ascii="Times New Roman" w:eastAsia="標楷體" w:hint="eastAsia"/>
          <w:spacing w:val="0"/>
          <w:sz w:val="24"/>
          <w:szCs w:val="24"/>
        </w:rPr>
        <w:t>s exports decrease</w:t>
      </w:r>
      <w:r w:rsidR="00F32291">
        <w:rPr>
          <w:rFonts w:ascii="Times New Roman" w:eastAsia="標楷體" w:hint="eastAsia"/>
          <w:spacing w:val="0"/>
          <w:sz w:val="24"/>
          <w:szCs w:val="24"/>
        </w:rPr>
        <w:t>d</w:t>
      </w:r>
      <w:r w:rsidR="00111F6A">
        <w:rPr>
          <w:rFonts w:ascii="Times New Roman" w:eastAsia="標楷體" w:hint="eastAsia"/>
          <w:spacing w:val="0"/>
          <w:sz w:val="24"/>
          <w:szCs w:val="24"/>
        </w:rPr>
        <w:t xml:space="preserve"> over the previous year</w:t>
      </w:r>
      <w:r w:rsidR="00F32291">
        <w:rPr>
          <w:rFonts w:ascii="Times New Roman" w:eastAsia="標楷體" w:hint="eastAsia"/>
          <w:spacing w:val="0"/>
          <w:sz w:val="24"/>
          <w:szCs w:val="24"/>
        </w:rPr>
        <w:t>, dragged down by export price drops</w:t>
      </w:r>
      <w:r w:rsidR="00111F6A">
        <w:rPr>
          <w:rFonts w:ascii="Times New Roman" w:eastAsia="標楷體" w:hint="eastAsia"/>
          <w:spacing w:val="0"/>
          <w:sz w:val="24"/>
          <w:szCs w:val="24"/>
        </w:rPr>
        <w:t xml:space="preserve">. </w:t>
      </w:r>
      <w:r w:rsidR="00C32361">
        <w:rPr>
          <w:rFonts w:ascii="Times New Roman" w:eastAsia="標楷體" w:hint="eastAsia"/>
          <w:spacing w:val="0"/>
          <w:sz w:val="24"/>
          <w:szCs w:val="24"/>
        </w:rPr>
        <w:t xml:space="preserve">For the year to date, </w:t>
      </w:r>
      <w:r w:rsidR="00CD2FD1">
        <w:rPr>
          <w:rFonts w:ascii="Times New Roman" w:eastAsia="標楷體" w:hint="eastAsia"/>
          <w:spacing w:val="0"/>
          <w:sz w:val="24"/>
          <w:szCs w:val="24"/>
        </w:rPr>
        <w:t>most of Taiwan</w:t>
      </w:r>
      <w:r w:rsidR="00CD2FD1">
        <w:rPr>
          <w:rFonts w:ascii="Times New Roman" w:eastAsia="標楷體"/>
          <w:spacing w:val="0"/>
          <w:sz w:val="24"/>
          <w:szCs w:val="24"/>
        </w:rPr>
        <w:t>’</w:t>
      </w:r>
      <w:r w:rsidR="00CD2FD1">
        <w:rPr>
          <w:rFonts w:ascii="Times New Roman" w:eastAsia="標楷體" w:hint="eastAsia"/>
          <w:spacing w:val="0"/>
          <w:sz w:val="24"/>
          <w:szCs w:val="24"/>
        </w:rPr>
        <w:t xml:space="preserve">s </w:t>
      </w:r>
      <w:r w:rsidR="00C32361">
        <w:rPr>
          <w:rFonts w:ascii="Times New Roman" w:eastAsia="標楷體" w:hint="eastAsia"/>
          <w:spacing w:val="0"/>
          <w:sz w:val="24"/>
          <w:szCs w:val="24"/>
        </w:rPr>
        <w:t xml:space="preserve">major export products showed negative growth </w:t>
      </w:r>
      <w:r w:rsidR="00CD2FD1">
        <w:rPr>
          <w:rFonts w:ascii="Times New Roman" w:eastAsia="標楷體" w:hint="eastAsia"/>
          <w:spacing w:val="0"/>
          <w:sz w:val="24"/>
          <w:szCs w:val="24"/>
        </w:rPr>
        <w:t xml:space="preserve">in value terms, except for two categories </w:t>
      </w:r>
      <w:r w:rsidR="00CD2FD1">
        <w:rPr>
          <w:rFonts w:ascii="Times New Roman" w:eastAsia="標楷體"/>
          <w:spacing w:val="0"/>
          <w:sz w:val="24"/>
          <w:szCs w:val="24"/>
        </w:rPr>
        <w:t>–</w:t>
      </w:r>
      <w:r w:rsidR="00CD2FD1">
        <w:rPr>
          <w:rFonts w:ascii="Times New Roman" w:eastAsia="標楷體" w:hint="eastAsia"/>
          <w:spacing w:val="0"/>
          <w:sz w:val="24"/>
          <w:szCs w:val="24"/>
        </w:rPr>
        <w:t xml:space="preserve"> </w:t>
      </w:r>
      <w:r w:rsidR="00CD2FD1" w:rsidRPr="00CD2FD1">
        <w:rPr>
          <w:rFonts w:ascii="Times New Roman" w:eastAsia="標楷體"/>
          <w:spacing w:val="0"/>
          <w:sz w:val="24"/>
          <w:szCs w:val="24"/>
        </w:rPr>
        <w:t>information, communication and audio-video products</w:t>
      </w:r>
      <w:r w:rsidR="00CD2FD1">
        <w:rPr>
          <w:rFonts w:ascii="Times New Roman" w:eastAsia="標楷體" w:hint="eastAsia"/>
          <w:spacing w:val="0"/>
          <w:sz w:val="24"/>
          <w:szCs w:val="24"/>
        </w:rPr>
        <w:t xml:space="preserve"> and electronic product parts </w:t>
      </w:r>
      <w:r w:rsidR="00CD2FD1">
        <w:rPr>
          <w:rFonts w:ascii="Times New Roman" w:eastAsia="標楷體"/>
          <w:spacing w:val="0"/>
          <w:sz w:val="24"/>
          <w:szCs w:val="24"/>
        </w:rPr>
        <w:t>–</w:t>
      </w:r>
      <w:r w:rsidR="00CD2FD1">
        <w:rPr>
          <w:rFonts w:ascii="Times New Roman" w:eastAsia="標楷體" w:hint="eastAsia"/>
          <w:spacing w:val="0"/>
          <w:sz w:val="24"/>
          <w:szCs w:val="24"/>
        </w:rPr>
        <w:t xml:space="preserve"> which continued to grow. By market</w:t>
      </w:r>
      <w:r w:rsidR="004A31B9">
        <w:rPr>
          <w:rFonts w:ascii="Times New Roman" w:eastAsia="標楷體" w:hint="eastAsia"/>
          <w:spacing w:val="0"/>
          <w:sz w:val="24"/>
          <w:szCs w:val="24"/>
        </w:rPr>
        <w:t xml:space="preserve"> destination</w:t>
      </w:r>
      <w:r w:rsidR="00CD2FD1">
        <w:rPr>
          <w:rFonts w:ascii="Times New Roman" w:eastAsia="標楷體" w:hint="eastAsia"/>
          <w:spacing w:val="0"/>
          <w:sz w:val="24"/>
          <w:szCs w:val="24"/>
        </w:rPr>
        <w:t xml:space="preserve">, exports to the U.S. </w:t>
      </w:r>
      <w:r w:rsidR="000B4F96">
        <w:rPr>
          <w:rFonts w:ascii="Times New Roman" w:eastAsia="標楷體" w:hint="eastAsia"/>
          <w:spacing w:val="0"/>
          <w:sz w:val="24"/>
          <w:szCs w:val="24"/>
        </w:rPr>
        <w:t>increased markedly wh</w:t>
      </w:r>
      <w:r w:rsidR="001A0B9F">
        <w:rPr>
          <w:rFonts w:ascii="Times New Roman" w:eastAsia="標楷體" w:hint="eastAsia"/>
          <w:spacing w:val="0"/>
          <w:sz w:val="24"/>
          <w:szCs w:val="24"/>
        </w:rPr>
        <w:t xml:space="preserve">ereas </w:t>
      </w:r>
      <w:r w:rsidR="000B4F96">
        <w:rPr>
          <w:rFonts w:ascii="Times New Roman" w:eastAsia="標楷體" w:hint="eastAsia"/>
          <w:spacing w:val="0"/>
          <w:sz w:val="24"/>
          <w:szCs w:val="24"/>
        </w:rPr>
        <w:t>exports to China</w:t>
      </w:r>
      <w:r w:rsidR="001A0B9F">
        <w:rPr>
          <w:rFonts w:ascii="Times New Roman" w:eastAsia="標楷體" w:hint="eastAsia"/>
          <w:spacing w:val="0"/>
          <w:sz w:val="24"/>
          <w:szCs w:val="24"/>
        </w:rPr>
        <w:t xml:space="preserve"> made</w:t>
      </w:r>
      <w:r w:rsidR="000B4F96">
        <w:rPr>
          <w:rFonts w:ascii="Times New Roman" w:eastAsia="標楷體" w:hint="eastAsia"/>
          <w:spacing w:val="0"/>
          <w:sz w:val="24"/>
          <w:szCs w:val="24"/>
        </w:rPr>
        <w:t xml:space="preserve"> the largest negative contribution</w:t>
      </w:r>
      <w:r w:rsidR="001A0B9F">
        <w:rPr>
          <w:rFonts w:ascii="Times New Roman" w:eastAsia="標楷體" w:hint="eastAsia"/>
          <w:spacing w:val="0"/>
          <w:sz w:val="24"/>
          <w:szCs w:val="24"/>
        </w:rPr>
        <w:t xml:space="preserve"> to export performance</w:t>
      </w:r>
      <w:r w:rsidR="000B4F96">
        <w:rPr>
          <w:rFonts w:ascii="Times New Roman" w:eastAsia="標楷體" w:hint="eastAsia"/>
          <w:spacing w:val="0"/>
          <w:sz w:val="24"/>
          <w:szCs w:val="24"/>
        </w:rPr>
        <w:t xml:space="preserve">. </w:t>
      </w:r>
      <w:r w:rsidR="001A0B9F">
        <w:rPr>
          <w:rFonts w:ascii="Times New Roman" w:eastAsia="標楷體" w:hint="eastAsia"/>
          <w:spacing w:val="0"/>
          <w:sz w:val="24"/>
          <w:szCs w:val="24"/>
        </w:rPr>
        <w:t xml:space="preserve">Looking ahead to next year, the Bank forecasted that real exports (imports) growth would be better than this year as world trade volume was expected to </w:t>
      </w:r>
      <w:r w:rsidR="001A0B9F">
        <w:rPr>
          <w:rFonts w:ascii="Times New Roman" w:eastAsia="標楷體"/>
          <w:spacing w:val="0"/>
          <w:sz w:val="24"/>
          <w:szCs w:val="24"/>
        </w:rPr>
        <w:t>grow</w:t>
      </w:r>
      <w:r w:rsidR="001A0B9F">
        <w:rPr>
          <w:rFonts w:ascii="Times New Roman" w:eastAsia="標楷體" w:hint="eastAsia"/>
          <w:spacing w:val="0"/>
          <w:sz w:val="24"/>
          <w:szCs w:val="24"/>
        </w:rPr>
        <w:t xml:space="preserve"> faster than this year, combined with a reshuffle in global information/communication supply chain and </w:t>
      </w:r>
      <w:r w:rsidR="001A0B9F" w:rsidRPr="001A0B9F">
        <w:rPr>
          <w:rFonts w:ascii="Times New Roman" w:eastAsia="標楷體"/>
          <w:spacing w:val="0"/>
          <w:sz w:val="24"/>
          <w:szCs w:val="24"/>
        </w:rPr>
        <w:t>a cyclical upturn in the semiconductor industry</w:t>
      </w:r>
      <w:r w:rsidR="00D420A4">
        <w:rPr>
          <w:rFonts w:ascii="Times New Roman" w:eastAsia="標楷體" w:hint="eastAsia"/>
          <w:spacing w:val="0"/>
          <w:sz w:val="24"/>
          <w:szCs w:val="24"/>
        </w:rPr>
        <w:t xml:space="preserve">. </w:t>
      </w:r>
    </w:p>
    <w:p w:rsidR="00A1468E" w:rsidRDefault="00C331A4" w:rsidP="00A1468E">
      <w:pPr>
        <w:pStyle w:val="6"/>
        <w:overflowPunct w:val="0"/>
        <w:snapToGrid w:val="0"/>
        <w:spacing w:after="0" w:line="440" w:lineRule="exact"/>
        <w:ind w:left="0" w:firstLineChars="200" w:firstLine="480"/>
        <w:rPr>
          <w:rFonts w:ascii="Times New Roman" w:eastAsia="標楷體"/>
          <w:spacing w:val="0"/>
          <w:sz w:val="24"/>
          <w:szCs w:val="24"/>
        </w:rPr>
      </w:pPr>
      <w:r w:rsidRPr="007F6F77">
        <w:rPr>
          <w:rFonts w:ascii="Times New Roman" w:eastAsia="標楷體" w:hint="eastAsia"/>
          <w:spacing w:val="0"/>
          <w:sz w:val="24"/>
          <w:szCs w:val="24"/>
        </w:rPr>
        <w:t xml:space="preserve">With respect to domestic demand, </w:t>
      </w:r>
      <w:r w:rsidR="00A1468E">
        <w:rPr>
          <w:rFonts w:ascii="Times New Roman" w:eastAsia="標楷體" w:hint="eastAsia"/>
          <w:spacing w:val="0"/>
          <w:sz w:val="24"/>
          <w:szCs w:val="24"/>
        </w:rPr>
        <w:t xml:space="preserve">private investment gained momentum as machinery equipment and construction expanded further and the government made robust efforts with programs to encourage investments. </w:t>
      </w:r>
      <w:r w:rsidR="00B4156D">
        <w:rPr>
          <w:rFonts w:ascii="Times New Roman" w:eastAsia="標楷體" w:hint="eastAsia"/>
          <w:spacing w:val="0"/>
          <w:sz w:val="24"/>
          <w:szCs w:val="24"/>
        </w:rPr>
        <w:t xml:space="preserve">However, given a higher base effect, the Bank projected that real growth in private investment would be somewhat slower next year than this year. In </w:t>
      </w:r>
      <w:r w:rsidR="00B4156D">
        <w:rPr>
          <w:rFonts w:ascii="Times New Roman" w:eastAsia="標楷體" w:hint="eastAsia"/>
          <w:spacing w:val="0"/>
          <w:sz w:val="24"/>
          <w:szCs w:val="24"/>
        </w:rPr>
        <w:lastRenderedPageBreak/>
        <w:t xml:space="preserve">terms of private consumption, </w:t>
      </w:r>
      <w:r w:rsidR="00CC700A">
        <w:rPr>
          <w:rFonts w:ascii="Times New Roman" w:eastAsia="標楷體" w:hint="eastAsia"/>
          <w:spacing w:val="0"/>
          <w:sz w:val="24"/>
          <w:szCs w:val="24"/>
        </w:rPr>
        <w:t xml:space="preserve">although </w:t>
      </w:r>
      <w:r w:rsidR="0086406C">
        <w:rPr>
          <w:rFonts w:ascii="Times New Roman" w:eastAsia="標楷體" w:hint="eastAsia"/>
          <w:spacing w:val="0"/>
          <w:sz w:val="24"/>
          <w:szCs w:val="24"/>
        </w:rPr>
        <w:t>monthly and hourly base wage</w:t>
      </w:r>
      <w:r w:rsidR="007A3259">
        <w:rPr>
          <w:rFonts w:ascii="Times New Roman" w:eastAsia="標楷體" w:hint="eastAsia"/>
          <w:spacing w:val="0"/>
          <w:sz w:val="24"/>
          <w:szCs w:val="24"/>
        </w:rPr>
        <w:t xml:space="preserve"> hike</w:t>
      </w:r>
      <w:r w:rsidR="0086406C">
        <w:rPr>
          <w:rFonts w:ascii="Times New Roman" w:eastAsia="標楷體" w:hint="eastAsia"/>
          <w:spacing w:val="0"/>
          <w:sz w:val="24"/>
          <w:szCs w:val="24"/>
        </w:rPr>
        <w:t>s</w:t>
      </w:r>
      <w:r w:rsidR="007A3259">
        <w:rPr>
          <w:rFonts w:ascii="Times New Roman" w:eastAsia="標楷體" w:hint="eastAsia"/>
          <w:spacing w:val="0"/>
          <w:sz w:val="24"/>
          <w:szCs w:val="24"/>
        </w:rPr>
        <w:t xml:space="preserve"> next year</w:t>
      </w:r>
      <w:r w:rsidR="0086406C">
        <w:rPr>
          <w:rFonts w:ascii="Times New Roman" w:eastAsia="標楷體" w:hint="eastAsia"/>
          <w:spacing w:val="0"/>
          <w:sz w:val="24"/>
          <w:szCs w:val="24"/>
        </w:rPr>
        <w:t xml:space="preserve"> </w:t>
      </w:r>
      <w:r w:rsidR="00CC700A">
        <w:rPr>
          <w:rFonts w:ascii="Times New Roman" w:eastAsia="標楷體" w:hint="eastAsia"/>
          <w:spacing w:val="0"/>
          <w:sz w:val="24"/>
          <w:szCs w:val="24"/>
        </w:rPr>
        <w:t xml:space="preserve">would help shore up consumer spending, </w:t>
      </w:r>
      <w:r w:rsidR="007A3259">
        <w:rPr>
          <w:rFonts w:ascii="Times New Roman" w:eastAsia="標楷體" w:hint="eastAsia"/>
          <w:spacing w:val="0"/>
          <w:sz w:val="24"/>
          <w:szCs w:val="24"/>
        </w:rPr>
        <w:t>publicly-traded companies saw slower profit growth this year and wage only increased gradually. Therefore, p</w:t>
      </w:r>
      <w:r w:rsidR="00CC700A">
        <w:rPr>
          <w:rFonts w:ascii="Times New Roman" w:eastAsia="標楷體" w:hint="eastAsia"/>
          <w:spacing w:val="0"/>
          <w:sz w:val="24"/>
          <w:szCs w:val="24"/>
        </w:rPr>
        <w:t xml:space="preserve">rivate consumption was forecasted to </w:t>
      </w:r>
      <w:r w:rsidR="007A3259">
        <w:rPr>
          <w:rFonts w:ascii="Times New Roman" w:eastAsia="標楷體" w:hint="eastAsia"/>
          <w:spacing w:val="0"/>
          <w:sz w:val="24"/>
          <w:szCs w:val="24"/>
        </w:rPr>
        <w:t xml:space="preserve">grow </w:t>
      </w:r>
      <w:r w:rsidR="00CC700A">
        <w:rPr>
          <w:rFonts w:ascii="Times New Roman" w:eastAsia="標楷體" w:hint="eastAsia"/>
          <w:spacing w:val="0"/>
          <w:sz w:val="24"/>
          <w:szCs w:val="24"/>
        </w:rPr>
        <w:t>moderate</w:t>
      </w:r>
      <w:r w:rsidR="007A3259">
        <w:rPr>
          <w:rFonts w:ascii="Times New Roman" w:eastAsia="標楷體" w:hint="eastAsia"/>
          <w:spacing w:val="0"/>
          <w:sz w:val="24"/>
          <w:szCs w:val="24"/>
        </w:rPr>
        <w:t>ly</w:t>
      </w:r>
      <w:r w:rsidR="00CC700A">
        <w:rPr>
          <w:rFonts w:ascii="Times New Roman" w:eastAsia="標楷體" w:hint="eastAsia"/>
          <w:spacing w:val="0"/>
          <w:sz w:val="24"/>
          <w:szCs w:val="24"/>
        </w:rPr>
        <w:t xml:space="preserve"> in real terms next year. </w:t>
      </w:r>
    </w:p>
    <w:p w:rsidR="007A3259" w:rsidRDefault="007A3259" w:rsidP="00607438">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Meanwhile, </w:t>
      </w:r>
      <w:r w:rsidR="00AD48A7" w:rsidRPr="007F6F77">
        <w:rPr>
          <w:rFonts w:ascii="Times New Roman" w:eastAsia="標楷體" w:hint="eastAsia"/>
          <w:spacing w:val="0"/>
          <w:sz w:val="24"/>
          <w:szCs w:val="24"/>
        </w:rPr>
        <w:t xml:space="preserve">labor market conditions were stable. </w:t>
      </w:r>
      <w:r>
        <w:rPr>
          <w:rFonts w:ascii="Times New Roman" w:eastAsia="標楷體" w:hint="eastAsia"/>
          <w:spacing w:val="0"/>
          <w:sz w:val="24"/>
          <w:szCs w:val="24"/>
        </w:rPr>
        <w:t xml:space="preserve">The unemployment rate rose modestly in the year to date compared to the same period the previous year, while wage growth slowed slightly. </w:t>
      </w:r>
    </w:p>
    <w:p w:rsidR="00635F26" w:rsidRDefault="007A3259" w:rsidP="00B64996">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All in all, </w:t>
      </w:r>
      <w:r w:rsidR="00635F26">
        <w:rPr>
          <w:rFonts w:ascii="Times New Roman" w:eastAsia="標楷體" w:hint="eastAsia"/>
          <w:spacing w:val="0"/>
          <w:sz w:val="24"/>
          <w:szCs w:val="24"/>
        </w:rPr>
        <w:t xml:space="preserve">private consumption was expected to sustain growth at a similar pace this year and the next, while private investment growth, albeit solid, would be somewhat weaker over this year owing to a higher base effect. The Bank </w:t>
      </w:r>
      <w:r w:rsidR="00A04488">
        <w:rPr>
          <w:rFonts w:ascii="Times New Roman" w:eastAsia="標楷體" w:hint="eastAsia"/>
          <w:spacing w:val="0"/>
          <w:sz w:val="24"/>
          <w:szCs w:val="24"/>
        </w:rPr>
        <w:t>forecast</w:t>
      </w:r>
      <w:r w:rsidR="00635F26">
        <w:rPr>
          <w:rFonts w:ascii="Times New Roman" w:eastAsia="標楷體" w:hint="eastAsia"/>
          <w:spacing w:val="0"/>
          <w:sz w:val="24"/>
          <w:szCs w:val="24"/>
        </w:rPr>
        <w:t>ed that Taiwan</w:t>
      </w:r>
      <w:r w:rsidR="00635F26">
        <w:rPr>
          <w:rFonts w:ascii="Times New Roman" w:eastAsia="標楷體"/>
          <w:spacing w:val="0"/>
          <w:sz w:val="24"/>
          <w:szCs w:val="24"/>
        </w:rPr>
        <w:t>’</w:t>
      </w:r>
      <w:r w:rsidR="00635F26">
        <w:rPr>
          <w:rFonts w:ascii="Times New Roman" w:eastAsia="標楷體" w:hint="eastAsia"/>
          <w:spacing w:val="0"/>
          <w:sz w:val="24"/>
          <w:szCs w:val="24"/>
        </w:rPr>
        <w:t>s economy would expand by 2.57% next year compared to this year</w:t>
      </w:r>
      <w:r w:rsidR="00635F26">
        <w:rPr>
          <w:rFonts w:ascii="Times New Roman" w:eastAsia="標楷體"/>
          <w:spacing w:val="0"/>
          <w:sz w:val="24"/>
          <w:szCs w:val="24"/>
        </w:rPr>
        <w:t>’</w:t>
      </w:r>
      <w:r w:rsidR="00635F26">
        <w:rPr>
          <w:rFonts w:ascii="Times New Roman" w:eastAsia="標楷體" w:hint="eastAsia"/>
          <w:spacing w:val="0"/>
          <w:sz w:val="24"/>
          <w:szCs w:val="24"/>
        </w:rPr>
        <w:t>s 2.60%</w:t>
      </w:r>
      <w:r w:rsidR="00A04488">
        <w:rPr>
          <w:rFonts w:ascii="Times New Roman" w:eastAsia="標楷體" w:hint="eastAsia"/>
          <w:spacing w:val="0"/>
          <w:sz w:val="24"/>
          <w:szCs w:val="24"/>
        </w:rPr>
        <w:t>, while m</w:t>
      </w:r>
      <w:r w:rsidR="00635F26">
        <w:rPr>
          <w:rFonts w:ascii="Times New Roman" w:eastAsia="標楷體" w:hint="eastAsia"/>
          <w:spacing w:val="0"/>
          <w:sz w:val="24"/>
          <w:szCs w:val="24"/>
        </w:rPr>
        <w:t xml:space="preserve">ajor forecasting institutions </w:t>
      </w:r>
      <w:r w:rsidR="00B64996">
        <w:rPr>
          <w:rFonts w:ascii="Times New Roman" w:eastAsia="標楷體" w:hint="eastAsia"/>
          <w:spacing w:val="0"/>
          <w:sz w:val="24"/>
          <w:szCs w:val="24"/>
        </w:rPr>
        <w:t xml:space="preserve">made growth projections of </w:t>
      </w:r>
      <w:r w:rsidR="00635F26">
        <w:rPr>
          <w:rFonts w:ascii="Times New Roman" w:eastAsia="標楷體" w:hint="eastAsia"/>
          <w:spacing w:val="0"/>
          <w:sz w:val="24"/>
          <w:szCs w:val="24"/>
        </w:rPr>
        <w:t xml:space="preserve">2.45%-2.64% for this year and 2.23%-2.72% for the year of 2020. </w:t>
      </w:r>
    </w:p>
    <w:p w:rsidR="00750B45" w:rsidRPr="007F6F77" w:rsidRDefault="00D46F1E" w:rsidP="00FA173A">
      <w:pPr>
        <w:adjustRightInd/>
        <w:spacing w:before="120" w:line="440" w:lineRule="exact"/>
        <w:textAlignment w:val="auto"/>
        <w:rPr>
          <w:rFonts w:eastAsia="標楷體"/>
          <w:spacing w:val="-2"/>
          <w:sz w:val="28"/>
          <w:szCs w:val="24"/>
        </w:rPr>
      </w:pPr>
      <w:r w:rsidRPr="007F6F77">
        <w:rPr>
          <w:rFonts w:eastAsia="標楷體" w:hint="eastAsia"/>
          <w:spacing w:val="-2"/>
          <w:sz w:val="24"/>
          <w:szCs w:val="28"/>
        </w:rPr>
        <w:t>(2) Financial conditions</w:t>
      </w:r>
      <w:r w:rsidR="00590406" w:rsidRPr="007F6F77">
        <w:rPr>
          <w:rFonts w:eastAsia="標楷體"/>
          <w:spacing w:val="-2"/>
          <w:sz w:val="28"/>
          <w:szCs w:val="24"/>
        </w:rPr>
        <w:t xml:space="preserve"> </w:t>
      </w:r>
    </w:p>
    <w:p w:rsidR="00B3275B" w:rsidRDefault="00B3275B" w:rsidP="00D569AE">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spacing w:val="0"/>
          <w:sz w:val="24"/>
          <w:szCs w:val="24"/>
        </w:rPr>
        <w:t>I</w:t>
      </w:r>
      <w:r>
        <w:rPr>
          <w:rFonts w:ascii="Times New Roman" w:eastAsia="標楷體" w:hint="eastAsia"/>
          <w:spacing w:val="0"/>
          <w:sz w:val="24"/>
          <w:szCs w:val="24"/>
        </w:rPr>
        <w:t>n</w:t>
      </w:r>
      <w:r w:rsidR="004A31B9">
        <w:rPr>
          <w:rFonts w:ascii="Times New Roman" w:eastAsia="標楷體" w:hint="eastAsia"/>
          <w:spacing w:val="0"/>
          <w:sz w:val="24"/>
          <w:szCs w:val="24"/>
        </w:rPr>
        <w:t xml:space="preserve"> the</w:t>
      </w:r>
      <w:r>
        <w:rPr>
          <w:rFonts w:ascii="Times New Roman" w:eastAsia="標楷體" w:hint="eastAsia"/>
          <w:spacing w:val="0"/>
          <w:sz w:val="24"/>
          <w:szCs w:val="24"/>
        </w:rPr>
        <w:t xml:space="preserve"> weeks since late November, </w:t>
      </w:r>
      <w:r w:rsidR="00D569AE">
        <w:rPr>
          <w:rFonts w:ascii="Times New Roman" w:eastAsia="標楷體" w:hint="eastAsia"/>
          <w:spacing w:val="0"/>
          <w:sz w:val="24"/>
          <w:szCs w:val="24"/>
        </w:rPr>
        <w:t xml:space="preserve">banks were more </w:t>
      </w:r>
      <w:r w:rsidR="004A31B9">
        <w:rPr>
          <w:rFonts w:ascii="Times New Roman" w:eastAsia="標楷體" w:hint="eastAsia"/>
          <w:spacing w:val="0"/>
          <w:sz w:val="24"/>
          <w:szCs w:val="24"/>
        </w:rPr>
        <w:t>conservative</w:t>
      </w:r>
      <w:r w:rsidR="00D569AE">
        <w:rPr>
          <w:rFonts w:ascii="Times New Roman" w:eastAsia="標楷體" w:hint="eastAsia"/>
          <w:spacing w:val="0"/>
          <w:sz w:val="24"/>
          <w:szCs w:val="24"/>
        </w:rPr>
        <w:t xml:space="preserve"> in liquidity management ahead of a seasonal upsurge in</w:t>
      </w:r>
      <w:r w:rsidR="00A04420">
        <w:rPr>
          <w:rFonts w:ascii="Times New Roman" w:eastAsia="標楷體" w:hint="eastAsia"/>
          <w:spacing w:val="0"/>
          <w:sz w:val="24"/>
          <w:szCs w:val="24"/>
        </w:rPr>
        <w:t xml:space="preserve"> demand for funds</w:t>
      </w:r>
      <w:r w:rsidR="00D569AE">
        <w:rPr>
          <w:rFonts w:ascii="Times New Roman" w:eastAsia="標楷體" w:hint="eastAsia"/>
          <w:spacing w:val="0"/>
          <w:sz w:val="24"/>
          <w:szCs w:val="24"/>
        </w:rPr>
        <w:t xml:space="preserve"> towards the year-end. Nevertheless, with ample liquidity in the market, short-term interest rates fluctuated rather mildly. </w:t>
      </w:r>
      <w:r w:rsidR="00255FAC">
        <w:rPr>
          <w:rFonts w:ascii="Times New Roman" w:eastAsia="標楷體" w:hint="eastAsia"/>
          <w:spacing w:val="0"/>
          <w:sz w:val="24"/>
          <w:szCs w:val="24"/>
        </w:rPr>
        <w:t>Meanwhile, b</w:t>
      </w:r>
      <w:r w:rsidR="00255FAC">
        <w:rPr>
          <w:rFonts w:ascii="Times New Roman" w:eastAsia="標楷體"/>
          <w:spacing w:val="0"/>
          <w:sz w:val="24"/>
          <w:szCs w:val="24"/>
        </w:rPr>
        <w:t>anks’</w:t>
      </w:r>
      <w:r w:rsidR="00255FAC" w:rsidRPr="00255FAC">
        <w:rPr>
          <w:rFonts w:ascii="Times New Roman" w:eastAsia="標楷體"/>
          <w:spacing w:val="0"/>
          <w:sz w:val="24"/>
          <w:szCs w:val="24"/>
        </w:rPr>
        <w:t xml:space="preserve"> excess reserves stayed around the level of NT$40 billion</w:t>
      </w:r>
      <w:r w:rsidR="00255FAC">
        <w:rPr>
          <w:rFonts w:ascii="Times New Roman" w:eastAsia="標楷體" w:hint="eastAsia"/>
          <w:spacing w:val="0"/>
          <w:sz w:val="24"/>
          <w:szCs w:val="24"/>
        </w:rPr>
        <w:t xml:space="preserve"> in recent months. Compared to major economies, Taiwan</w:t>
      </w:r>
      <w:r w:rsidR="00255FAC">
        <w:rPr>
          <w:rFonts w:ascii="Times New Roman" w:eastAsia="標楷體"/>
          <w:spacing w:val="0"/>
          <w:sz w:val="24"/>
          <w:szCs w:val="24"/>
        </w:rPr>
        <w:t>’</w:t>
      </w:r>
      <w:r w:rsidR="00255FAC">
        <w:rPr>
          <w:rFonts w:ascii="Times New Roman" w:eastAsia="標楷體" w:hint="eastAsia"/>
          <w:spacing w:val="0"/>
          <w:sz w:val="24"/>
          <w:szCs w:val="24"/>
        </w:rPr>
        <w:t>s real deposit interest rates we</w:t>
      </w:r>
      <w:r w:rsidR="004A31B9">
        <w:rPr>
          <w:rFonts w:ascii="Times New Roman" w:eastAsia="標楷體" w:hint="eastAsia"/>
          <w:spacing w:val="0"/>
          <w:sz w:val="24"/>
          <w:szCs w:val="24"/>
        </w:rPr>
        <w:t>re in</w:t>
      </w:r>
      <w:r w:rsidR="00255FAC">
        <w:rPr>
          <w:rFonts w:ascii="Times New Roman" w:eastAsia="標楷體" w:hint="eastAsia"/>
          <w:spacing w:val="0"/>
          <w:sz w:val="24"/>
          <w:szCs w:val="24"/>
        </w:rPr>
        <w:t xml:space="preserve"> the middle </w:t>
      </w:r>
      <w:r w:rsidR="004A31B9">
        <w:rPr>
          <w:rFonts w:ascii="Times New Roman" w:eastAsia="標楷體" w:hint="eastAsia"/>
          <w:spacing w:val="0"/>
          <w:sz w:val="24"/>
          <w:szCs w:val="24"/>
        </w:rPr>
        <w:t xml:space="preserve">of the </w:t>
      </w:r>
      <w:r w:rsidR="00255FAC">
        <w:rPr>
          <w:rFonts w:ascii="Times New Roman" w:eastAsia="標楷體" w:hint="eastAsia"/>
          <w:spacing w:val="0"/>
          <w:sz w:val="24"/>
          <w:szCs w:val="24"/>
        </w:rPr>
        <w:t xml:space="preserve">range. </w:t>
      </w:r>
    </w:p>
    <w:p w:rsidR="00255FAC" w:rsidRDefault="00255FAC" w:rsidP="00FA173A">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In respect of money supply</w:t>
      </w:r>
      <w:r w:rsidR="00A96186">
        <w:rPr>
          <w:rFonts w:ascii="Times New Roman" w:eastAsia="標楷體" w:hint="eastAsia"/>
          <w:spacing w:val="0"/>
          <w:sz w:val="24"/>
          <w:szCs w:val="24"/>
        </w:rPr>
        <w:t xml:space="preserve"> and credit conditions</w:t>
      </w:r>
      <w:r>
        <w:rPr>
          <w:rFonts w:ascii="Times New Roman" w:eastAsia="標楷體" w:hint="eastAsia"/>
          <w:spacing w:val="0"/>
          <w:sz w:val="24"/>
          <w:szCs w:val="24"/>
        </w:rPr>
        <w:t xml:space="preserve">, the annual </w:t>
      </w:r>
      <w:r w:rsidR="00336E96" w:rsidRPr="007F6F77">
        <w:rPr>
          <w:rFonts w:ascii="Times New Roman" w:eastAsia="標楷體" w:hint="eastAsia"/>
          <w:spacing w:val="0"/>
          <w:sz w:val="24"/>
          <w:szCs w:val="24"/>
        </w:rPr>
        <w:t xml:space="preserve">M2 growth </w:t>
      </w:r>
      <w:r>
        <w:rPr>
          <w:rFonts w:ascii="Times New Roman" w:eastAsia="標楷體" w:hint="eastAsia"/>
          <w:spacing w:val="0"/>
          <w:sz w:val="24"/>
          <w:szCs w:val="24"/>
        </w:rPr>
        <w:t xml:space="preserve">rate </w:t>
      </w:r>
      <w:r w:rsidR="00336E96" w:rsidRPr="007F6F77">
        <w:rPr>
          <w:rFonts w:ascii="Times New Roman" w:eastAsia="標楷體" w:hint="eastAsia"/>
          <w:spacing w:val="0"/>
          <w:sz w:val="24"/>
          <w:szCs w:val="24"/>
        </w:rPr>
        <w:t>averaged 3.</w:t>
      </w:r>
      <w:r>
        <w:rPr>
          <w:rFonts w:ascii="Times New Roman" w:eastAsia="標楷體" w:hint="eastAsia"/>
          <w:spacing w:val="0"/>
          <w:sz w:val="24"/>
          <w:szCs w:val="24"/>
        </w:rPr>
        <w:t>40</w:t>
      </w:r>
      <w:r w:rsidR="00336E96" w:rsidRPr="007F6F77">
        <w:rPr>
          <w:rFonts w:ascii="Times New Roman" w:eastAsia="標楷體" w:hint="eastAsia"/>
          <w:spacing w:val="0"/>
          <w:sz w:val="24"/>
          <w:szCs w:val="24"/>
        </w:rPr>
        <w:t xml:space="preserve">% for the first eleven </w:t>
      </w:r>
      <w:r w:rsidR="00F5322F" w:rsidRPr="007F6F77">
        <w:rPr>
          <w:rFonts w:ascii="Times New Roman" w:eastAsia="標楷體" w:hint="eastAsia"/>
          <w:spacing w:val="0"/>
          <w:sz w:val="24"/>
          <w:szCs w:val="24"/>
        </w:rPr>
        <w:t xml:space="preserve">months of year, </w:t>
      </w:r>
      <w:r w:rsidR="00A04420">
        <w:rPr>
          <w:rFonts w:ascii="Times New Roman" w:eastAsia="標楷體" w:hint="eastAsia"/>
          <w:spacing w:val="0"/>
          <w:sz w:val="24"/>
          <w:szCs w:val="24"/>
        </w:rPr>
        <w:t xml:space="preserve">maintaining a pace considered befitting. </w:t>
      </w:r>
      <w:r w:rsidR="00A96186">
        <w:rPr>
          <w:rFonts w:ascii="Times New Roman" w:eastAsia="標楷體" w:hint="eastAsia"/>
          <w:spacing w:val="0"/>
          <w:sz w:val="24"/>
          <w:szCs w:val="24"/>
        </w:rPr>
        <w:t xml:space="preserve">Bank loans increased </w:t>
      </w:r>
      <w:r w:rsidR="00A04420">
        <w:rPr>
          <w:rFonts w:ascii="Times New Roman" w:eastAsia="標楷體" w:hint="eastAsia"/>
          <w:spacing w:val="0"/>
          <w:sz w:val="24"/>
          <w:szCs w:val="24"/>
        </w:rPr>
        <w:t xml:space="preserve">against a backdrop of solid economic growth in the second half of the year </w:t>
      </w:r>
      <w:r w:rsidR="00A96186">
        <w:rPr>
          <w:rFonts w:ascii="Times New Roman" w:eastAsia="標楷體" w:hint="eastAsia"/>
          <w:spacing w:val="0"/>
          <w:sz w:val="24"/>
          <w:szCs w:val="24"/>
        </w:rPr>
        <w:t xml:space="preserve">as well as rising demand for </w:t>
      </w:r>
      <w:r w:rsidR="00A04420">
        <w:rPr>
          <w:rFonts w:ascii="Times New Roman" w:eastAsia="標楷體"/>
          <w:spacing w:val="0"/>
          <w:sz w:val="24"/>
          <w:szCs w:val="24"/>
        </w:rPr>
        <w:t>manufacturing</w:t>
      </w:r>
      <w:r w:rsidR="00A04420">
        <w:rPr>
          <w:rFonts w:ascii="Times New Roman" w:eastAsia="標楷體" w:hint="eastAsia"/>
          <w:spacing w:val="0"/>
          <w:sz w:val="24"/>
          <w:szCs w:val="24"/>
        </w:rPr>
        <w:t xml:space="preserve"> </w:t>
      </w:r>
      <w:r w:rsidR="00A96186">
        <w:rPr>
          <w:rFonts w:ascii="Times New Roman" w:eastAsia="標楷體" w:hint="eastAsia"/>
          <w:spacing w:val="0"/>
          <w:sz w:val="24"/>
          <w:szCs w:val="24"/>
        </w:rPr>
        <w:t xml:space="preserve">finance and loans for land and construction. </w:t>
      </w:r>
      <w:r w:rsidR="00AE03D8">
        <w:rPr>
          <w:rFonts w:ascii="Times New Roman" w:eastAsia="標楷體" w:hint="eastAsia"/>
          <w:spacing w:val="0"/>
          <w:sz w:val="24"/>
          <w:szCs w:val="24"/>
        </w:rPr>
        <w:t xml:space="preserve">With growth in M2 </w:t>
      </w:r>
      <w:r w:rsidR="004A31B9">
        <w:rPr>
          <w:rFonts w:ascii="Times New Roman" w:eastAsia="標楷體" w:hint="eastAsia"/>
          <w:spacing w:val="0"/>
          <w:sz w:val="24"/>
          <w:szCs w:val="24"/>
        </w:rPr>
        <w:t>as well as</w:t>
      </w:r>
      <w:r w:rsidR="00AE03D8">
        <w:rPr>
          <w:rFonts w:ascii="Times New Roman" w:eastAsia="標楷體" w:hint="eastAsia"/>
          <w:spacing w:val="0"/>
          <w:sz w:val="24"/>
          <w:szCs w:val="24"/>
        </w:rPr>
        <w:t xml:space="preserve"> bank </w:t>
      </w:r>
      <w:r w:rsidR="004A31B9">
        <w:rPr>
          <w:rFonts w:ascii="Times New Roman" w:eastAsia="標楷體" w:hint="eastAsia"/>
          <w:spacing w:val="0"/>
          <w:sz w:val="24"/>
          <w:szCs w:val="24"/>
        </w:rPr>
        <w:t>loans</w:t>
      </w:r>
      <w:r w:rsidR="00AE03D8">
        <w:rPr>
          <w:rFonts w:ascii="Times New Roman" w:eastAsia="標楷體" w:hint="eastAsia"/>
          <w:spacing w:val="0"/>
          <w:sz w:val="24"/>
          <w:szCs w:val="24"/>
        </w:rPr>
        <w:t xml:space="preserve"> and investments trending up </w:t>
      </w:r>
      <w:r w:rsidR="004A31B9">
        <w:rPr>
          <w:rFonts w:ascii="Times New Roman" w:eastAsia="標楷體" w:hint="eastAsia"/>
          <w:spacing w:val="0"/>
          <w:sz w:val="24"/>
          <w:szCs w:val="24"/>
        </w:rPr>
        <w:t>during</w:t>
      </w:r>
      <w:r w:rsidR="00AE03D8">
        <w:rPr>
          <w:rFonts w:ascii="Times New Roman" w:eastAsia="標楷體" w:hint="eastAsia"/>
          <w:spacing w:val="0"/>
          <w:sz w:val="24"/>
          <w:szCs w:val="24"/>
        </w:rPr>
        <w:t xml:space="preserve"> the Jan.-Nov. period, the banking system enjoyed ample liquidity, indicating sufficient money and credit conditions to support real </w:t>
      </w:r>
      <w:r w:rsidR="00AE03D8">
        <w:rPr>
          <w:rFonts w:ascii="Times New Roman" w:eastAsia="標楷體"/>
          <w:spacing w:val="0"/>
          <w:sz w:val="24"/>
          <w:szCs w:val="24"/>
        </w:rPr>
        <w:t>economic</w:t>
      </w:r>
      <w:r w:rsidR="00AE03D8">
        <w:rPr>
          <w:rFonts w:ascii="Times New Roman" w:eastAsia="標楷體" w:hint="eastAsia"/>
          <w:spacing w:val="0"/>
          <w:sz w:val="24"/>
          <w:szCs w:val="24"/>
        </w:rPr>
        <w:t xml:space="preserve"> activity. </w:t>
      </w:r>
    </w:p>
    <w:p w:rsidR="00AE03D8" w:rsidRDefault="00AE03D8" w:rsidP="00FA173A">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For the year to date, trading volume in the housing market continued rising. All the top six </w:t>
      </w:r>
      <w:r w:rsidR="00053CB6">
        <w:rPr>
          <w:rFonts w:ascii="Times New Roman" w:eastAsia="標楷體" w:hint="eastAsia"/>
          <w:spacing w:val="0"/>
          <w:sz w:val="24"/>
          <w:szCs w:val="24"/>
        </w:rPr>
        <w:t>urban areas showed year-on-year increases in h</w:t>
      </w:r>
      <w:r>
        <w:rPr>
          <w:rFonts w:ascii="Times New Roman" w:eastAsia="標楷體" w:hint="eastAsia"/>
          <w:spacing w:val="0"/>
          <w:sz w:val="24"/>
          <w:szCs w:val="24"/>
        </w:rPr>
        <w:t>ome ownership transfers</w:t>
      </w:r>
      <w:r w:rsidR="00053CB6">
        <w:rPr>
          <w:rFonts w:ascii="Times New Roman" w:eastAsia="標楷體" w:hint="eastAsia"/>
          <w:spacing w:val="0"/>
          <w:sz w:val="24"/>
          <w:szCs w:val="24"/>
        </w:rPr>
        <w:t xml:space="preserve"> during the first eleven months of the year, albeit with regional </w:t>
      </w:r>
      <w:r w:rsidR="004A31B9">
        <w:rPr>
          <w:rFonts w:ascii="Times New Roman" w:eastAsia="標楷體" w:hint="eastAsia"/>
          <w:spacing w:val="0"/>
          <w:sz w:val="24"/>
          <w:szCs w:val="24"/>
        </w:rPr>
        <w:t>variations with</w:t>
      </w:r>
      <w:r w:rsidR="00053CB6">
        <w:rPr>
          <w:rFonts w:ascii="Times New Roman" w:eastAsia="標楷體" w:hint="eastAsia"/>
          <w:spacing w:val="0"/>
          <w:sz w:val="24"/>
          <w:szCs w:val="24"/>
        </w:rPr>
        <w:t xml:space="preserve"> a </w:t>
      </w:r>
      <w:r w:rsidR="00FA7BC9">
        <w:rPr>
          <w:rFonts w:ascii="Times New Roman" w:eastAsia="標楷體" w:hint="eastAsia"/>
          <w:spacing w:val="0"/>
          <w:sz w:val="24"/>
          <w:szCs w:val="24"/>
        </w:rPr>
        <w:t xml:space="preserve">more </w:t>
      </w:r>
      <w:r w:rsidR="00053CB6">
        <w:rPr>
          <w:rFonts w:ascii="Times New Roman" w:eastAsia="標楷體" w:hint="eastAsia"/>
          <w:spacing w:val="0"/>
          <w:sz w:val="24"/>
          <w:szCs w:val="24"/>
        </w:rPr>
        <w:t>heated housing market</w:t>
      </w:r>
      <w:r w:rsidR="00FA7BC9">
        <w:rPr>
          <w:rFonts w:ascii="Times New Roman" w:eastAsia="標楷體" w:hint="eastAsia"/>
          <w:spacing w:val="0"/>
          <w:sz w:val="24"/>
          <w:szCs w:val="24"/>
        </w:rPr>
        <w:t xml:space="preserve"> </w:t>
      </w:r>
      <w:r w:rsidR="00FA7BC9">
        <w:rPr>
          <w:rFonts w:ascii="Times New Roman" w:eastAsia="標楷體" w:hint="eastAsia"/>
          <w:spacing w:val="0"/>
          <w:sz w:val="24"/>
          <w:szCs w:val="24"/>
        </w:rPr>
        <w:lastRenderedPageBreak/>
        <w:t>in Southern Taiwan</w:t>
      </w:r>
      <w:r w:rsidR="00053CB6">
        <w:rPr>
          <w:rFonts w:ascii="Times New Roman" w:eastAsia="標楷體" w:hint="eastAsia"/>
          <w:spacing w:val="0"/>
          <w:sz w:val="24"/>
          <w:szCs w:val="24"/>
        </w:rPr>
        <w:t xml:space="preserve"> and a lukewarm one in Northern Taiwan. </w:t>
      </w:r>
      <w:r w:rsidR="00FA7BC9">
        <w:rPr>
          <w:rFonts w:ascii="Times New Roman" w:eastAsia="標楷體" w:hint="eastAsia"/>
          <w:spacing w:val="0"/>
          <w:sz w:val="24"/>
          <w:szCs w:val="24"/>
        </w:rPr>
        <w:t>Meanwhile, housing prices climbed gradually. According to t</w:t>
      </w:r>
      <w:r w:rsidR="00FA7BC9" w:rsidRPr="00FA7BC9">
        <w:rPr>
          <w:rFonts w:ascii="Times New Roman" w:eastAsia="標楷體"/>
          <w:spacing w:val="0"/>
          <w:sz w:val="24"/>
          <w:szCs w:val="24"/>
        </w:rPr>
        <w:t>he Housing Price Index compiled by the Ministry of the Interior</w:t>
      </w:r>
      <w:r w:rsidR="00910B0D">
        <w:rPr>
          <w:rFonts w:ascii="Times New Roman" w:eastAsia="標楷體" w:hint="eastAsia"/>
          <w:spacing w:val="0"/>
          <w:sz w:val="24"/>
          <w:szCs w:val="24"/>
        </w:rPr>
        <w:t xml:space="preserve">, readings for most of the top six urban areas pointed upwards in the second quarter of the year, with housing prices in some areas hitting new highs. </w:t>
      </w:r>
    </w:p>
    <w:p w:rsidR="00910B0D" w:rsidRDefault="00A81F01" w:rsidP="00604483">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In terms of real estate lending as of the end of October,</w:t>
      </w:r>
      <w:r w:rsidR="00457815">
        <w:rPr>
          <w:rFonts w:ascii="Times New Roman" w:eastAsia="標楷體" w:hint="eastAsia"/>
          <w:spacing w:val="0"/>
          <w:sz w:val="24"/>
          <w:szCs w:val="24"/>
        </w:rPr>
        <w:t xml:space="preserve"> </w:t>
      </w:r>
      <w:r w:rsidR="00457815">
        <w:rPr>
          <w:rFonts w:ascii="Times New Roman" w:eastAsia="標楷體"/>
          <w:spacing w:val="0"/>
          <w:sz w:val="24"/>
          <w:szCs w:val="24"/>
        </w:rPr>
        <w:t>the</w:t>
      </w:r>
      <w:r w:rsidR="00457815">
        <w:rPr>
          <w:rFonts w:ascii="Times New Roman" w:eastAsia="標楷體" w:hint="eastAsia"/>
          <w:spacing w:val="0"/>
          <w:sz w:val="24"/>
          <w:szCs w:val="24"/>
        </w:rPr>
        <w:t xml:space="preserve"> annual growth rate of loans for home purchases rose slightly to </w:t>
      </w:r>
      <w:r>
        <w:rPr>
          <w:rFonts w:ascii="Times New Roman" w:eastAsia="標楷體" w:hint="eastAsia"/>
          <w:spacing w:val="0"/>
          <w:sz w:val="24"/>
          <w:szCs w:val="24"/>
        </w:rPr>
        <w:t>5.82%</w:t>
      </w:r>
      <w:r w:rsidR="00457815">
        <w:rPr>
          <w:rFonts w:ascii="Times New Roman" w:eastAsia="標楷體" w:hint="eastAsia"/>
          <w:spacing w:val="0"/>
          <w:sz w:val="24"/>
          <w:szCs w:val="24"/>
        </w:rPr>
        <w:t>, while</w:t>
      </w:r>
      <w:r>
        <w:rPr>
          <w:rFonts w:ascii="Times New Roman" w:eastAsia="標楷體" w:hint="eastAsia"/>
          <w:spacing w:val="0"/>
          <w:sz w:val="24"/>
          <w:szCs w:val="24"/>
        </w:rPr>
        <w:t xml:space="preserve"> </w:t>
      </w:r>
      <w:r w:rsidR="00457815">
        <w:rPr>
          <w:rFonts w:ascii="Times New Roman" w:eastAsia="標楷體" w:hint="eastAsia"/>
          <w:spacing w:val="0"/>
          <w:sz w:val="24"/>
          <w:szCs w:val="24"/>
        </w:rPr>
        <w:t xml:space="preserve">that of </w:t>
      </w:r>
      <w:r>
        <w:rPr>
          <w:rFonts w:ascii="Times New Roman" w:eastAsia="標楷體" w:hint="eastAsia"/>
          <w:spacing w:val="0"/>
          <w:sz w:val="24"/>
          <w:szCs w:val="24"/>
        </w:rPr>
        <w:t>loans for construction</w:t>
      </w:r>
      <w:r w:rsidR="00457815">
        <w:rPr>
          <w:rFonts w:ascii="Times New Roman" w:eastAsia="標楷體" w:hint="eastAsia"/>
          <w:spacing w:val="0"/>
          <w:sz w:val="24"/>
          <w:szCs w:val="24"/>
        </w:rPr>
        <w:t xml:space="preserve"> advanced further to 12.25% as h</w:t>
      </w:r>
      <w:r w:rsidR="00457815" w:rsidRPr="00457815">
        <w:rPr>
          <w:rFonts w:ascii="Times New Roman" w:eastAsia="標楷體"/>
          <w:spacing w:val="0"/>
          <w:sz w:val="24"/>
          <w:szCs w:val="24"/>
        </w:rPr>
        <w:t xml:space="preserve">omebuilders </w:t>
      </w:r>
      <w:r w:rsidR="00604483">
        <w:rPr>
          <w:rFonts w:ascii="Times New Roman" w:eastAsia="標楷體" w:hint="eastAsia"/>
          <w:spacing w:val="0"/>
          <w:sz w:val="24"/>
          <w:szCs w:val="24"/>
        </w:rPr>
        <w:t xml:space="preserve">had been keen on </w:t>
      </w:r>
      <w:r w:rsidR="00604483">
        <w:rPr>
          <w:rFonts w:ascii="Times New Roman" w:eastAsia="標楷體"/>
          <w:spacing w:val="0"/>
          <w:sz w:val="24"/>
          <w:szCs w:val="24"/>
        </w:rPr>
        <w:t>acquiring</w:t>
      </w:r>
      <w:r w:rsidR="00604483">
        <w:rPr>
          <w:rFonts w:ascii="Times New Roman" w:eastAsia="標楷體" w:hint="eastAsia"/>
          <w:spacing w:val="0"/>
          <w:sz w:val="24"/>
          <w:szCs w:val="24"/>
        </w:rPr>
        <w:t xml:space="preserve"> land and offering more </w:t>
      </w:r>
      <w:r w:rsidR="00457815" w:rsidRPr="00457815">
        <w:rPr>
          <w:rFonts w:ascii="Times New Roman" w:eastAsia="標楷體"/>
          <w:spacing w:val="0"/>
          <w:sz w:val="24"/>
          <w:szCs w:val="24"/>
        </w:rPr>
        <w:t>new housing projects</w:t>
      </w:r>
      <w:r w:rsidR="00604483">
        <w:rPr>
          <w:rFonts w:ascii="Times New Roman" w:eastAsia="標楷體" w:hint="eastAsia"/>
          <w:spacing w:val="0"/>
          <w:sz w:val="24"/>
          <w:szCs w:val="24"/>
        </w:rPr>
        <w:t xml:space="preserve">. With continuous increases in both types of loans, the share of real estate lending in total lending grew to 35.06% at the end of October. </w:t>
      </w:r>
      <w:r w:rsidR="00525EA9">
        <w:rPr>
          <w:rFonts w:ascii="Times New Roman" w:eastAsia="標楷體" w:hint="eastAsia"/>
          <w:spacing w:val="0"/>
          <w:sz w:val="24"/>
          <w:szCs w:val="24"/>
        </w:rPr>
        <w:t xml:space="preserve">Banks were seen to grant home mortgages in gradually more lenient terms, but asset quality remained healthy. </w:t>
      </w:r>
    </w:p>
    <w:p w:rsidR="00750B45" w:rsidRPr="007F6F77" w:rsidRDefault="001320BE" w:rsidP="00FA173A">
      <w:pPr>
        <w:adjustRightInd/>
        <w:spacing w:before="120" w:line="440" w:lineRule="exact"/>
        <w:textAlignment w:val="auto"/>
        <w:rPr>
          <w:rFonts w:eastAsia="標楷體"/>
          <w:spacing w:val="-2"/>
          <w:sz w:val="24"/>
          <w:szCs w:val="28"/>
        </w:rPr>
      </w:pPr>
      <w:r w:rsidRPr="007F6F77">
        <w:rPr>
          <w:rFonts w:eastAsia="標楷體" w:hint="eastAsia"/>
          <w:spacing w:val="-2"/>
          <w:sz w:val="24"/>
          <w:szCs w:val="28"/>
        </w:rPr>
        <w:t>(3) Price t</w:t>
      </w:r>
      <w:r w:rsidR="00D46F1E" w:rsidRPr="007F6F77">
        <w:rPr>
          <w:rFonts w:eastAsia="標楷體" w:hint="eastAsia"/>
          <w:spacing w:val="-2"/>
          <w:sz w:val="24"/>
          <w:szCs w:val="28"/>
        </w:rPr>
        <w:t xml:space="preserve">rends </w:t>
      </w:r>
    </w:p>
    <w:p w:rsidR="00E35A83" w:rsidRDefault="00E35A83" w:rsidP="00C9438C">
      <w:pPr>
        <w:pStyle w:val="6"/>
        <w:overflowPunct w:val="0"/>
        <w:snapToGrid w:val="0"/>
        <w:spacing w:after="0" w:line="440" w:lineRule="exact"/>
        <w:ind w:left="0" w:firstLineChars="200" w:firstLine="480"/>
        <w:rPr>
          <w:rFonts w:ascii="Times New Roman" w:eastAsia="標楷體"/>
          <w:spacing w:val="0"/>
          <w:sz w:val="24"/>
          <w:szCs w:val="24"/>
        </w:rPr>
      </w:pPr>
      <w:r>
        <w:rPr>
          <w:rFonts w:ascii="Times New Roman" w:eastAsia="標楷體" w:hint="eastAsia"/>
          <w:spacing w:val="0"/>
          <w:sz w:val="24"/>
          <w:szCs w:val="24"/>
        </w:rPr>
        <w:t xml:space="preserve">In the second half of the year, international prices of crude oil and other raw </w:t>
      </w:r>
      <w:r>
        <w:rPr>
          <w:rFonts w:ascii="Times New Roman" w:eastAsia="標楷體"/>
          <w:spacing w:val="0"/>
          <w:sz w:val="24"/>
          <w:szCs w:val="24"/>
        </w:rPr>
        <w:t>material</w:t>
      </w:r>
      <w:r>
        <w:rPr>
          <w:rFonts w:ascii="Times New Roman" w:eastAsia="標楷體" w:hint="eastAsia"/>
          <w:spacing w:val="0"/>
          <w:sz w:val="24"/>
          <w:szCs w:val="24"/>
        </w:rPr>
        <w:t xml:space="preserve">s stayed </w:t>
      </w:r>
      <w:r>
        <w:rPr>
          <w:rFonts w:ascii="Times New Roman" w:eastAsia="標楷體"/>
          <w:spacing w:val="0"/>
          <w:sz w:val="24"/>
          <w:szCs w:val="24"/>
        </w:rPr>
        <w:t>subdued</w:t>
      </w:r>
      <w:r>
        <w:rPr>
          <w:rFonts w:ascii="Times New Roman" w:eastAsia="標楷體" w:hint="eastAsia"/>
          <w:spacing w:val="0"/>
          <w:sz w:val="24"/>
          <w:szCs w:val="24"/>
        </w:rPr>
        <w:t>, domestic fuel and communication</w:t>
      </w:r>
      <w:r w:rsidR="00395A26">
        <w:rPr>
          <w:rFonts w:ascii="Times New Roman" w:eastAsia="標楷體" w:hint="eastAsia"/>
          <w:spacing w:val="0"/>
          <w:sz w:val="24"/>
          <w:szCs w:val="24"/>
        </w:rPr>
        <w:t>s</w:t>
      </w:r>
      <w:r>
        <w:rPr>
          <w:rFonts w:ascii="Times New Roman" w:eastAsia="標楷體" w:hint="eastAsia"/>
          <w:spacing w:val="0"/>
          <w:sz w:val="24"/>
          <w:szCs w:val="24"/>
        </w:rPr>
        <w:t xml:space="preserve"> rates were lowered, and key staples experienced price declines. Inflation at home remained low and stable. </w:t>
      </w:r>
      <w:r>
        <w:rPr>
          <w:rFonts w:ascii="Times New Roman" w:eastAsia="標楷體"/>
          <w:spacing w:val="0"/>
          <w:sz w:val="24"/>
          <w:szCs w:val="24"/>
        </w:rPr>
        <w:t>T</w:t>
      </w:r>
      <w:r>
        <w:rPr>
          <w:rFonts w:ascii="Times New Roman" w:eastAsia="標楷體" w:hint="eastAsia"/>
          <w:spacing w:val="0"/>
          <w:sz w:val="24"/>
          <w:szCs w:val="24"/>
        </w:rPr>
        <w:t xml:space="preserve">he annual CPI growth rate averaged 0.51% for the first eleven months of the year, mainly because of </w:t>
      </w:r>
      <w:r w:rsidR="007928BB">
        <w:rPr>
          <w:rFonts w:ascii="Times New Roman" w:eastAsia="標楷體" w:hint="eastAsia"/>
          <w:spacing w:val="0"/>
          <w:sz w:val="24"/>
          <w:szCs w:val="24"/>
        </w:rPr>
        <w:t xml:space="preserve">price </w:t>
      </w:r>
      <w:r w:rsidR="00B93F76">
        <w:rPr>
          <w:rFonts w:ascii="Times New Roman" w:eastAsia="標楷體" w:hint="eastAsia"/>
          <w:spacing w:val="0"/>
          <w:sz w:val="24"/>
          <w:szCs w:val="24"/>
        </w:rPr>
        <w:t>increases</w:t>
      </w:r>
      <w:r>
        <w:rPr>
          <w:rFonts w:ascii="Times New Roman" w:eastAsia="標楷體" w:hint="eastAsia"/>
          <w:spacing w:val="0"/>
          <w:sz w:val="24"/>
          <w:szCs w:val="24"/>
        </w:rPr>
        <w:t xml:space="preserve"> in</w:t>
      </w:r>
      <w:r w:rsidR="007928BB">
        <w:rPr>
          <w:rFonts w:ascii="Times New Roman" w:eastAsia="標楷體" w:hint="eastAsia"/>
          <w:spacing w:val="0"/>
          <w:sz w:val="24"/>
          <w:szCs w:val="24"/>
        </w:rPr>
        <w:t xml:space="preserve"> e</w:t>
      </w:r>
      <w:r w:rsidR="007928BB" w:rsidRPr="007928BB">
        <w:rPr>
          <w:rFonts w:ascii="Times New Roman" w:eastAsia="標楷體"/>
          <w:spacing w:val="0"/>
          <w:sz w:val="24"/>
          <w:szCs w:val="24"/>
        </w:rPr>
        <w:t>ducation &amp; entertainment service</w:t>
      </w:r>
      <w:r w:rsidR="007928BB">
        <w:rPr>
          <w:rFonts w:ascii="Times New Roman" w:eastAsia="標楷體" w:hint="eastAsia"/>
          <w:spacing w:val="0"/>
          <w:sz w:val="24"/>
          <w:szCs w:val="24"/>
        </w:rPr>
        <w:t xml:space="preserve">s, </w:t>
      </w:r>
      <w:r w:rsidR="00B93F76">
        <w:rPr>
          <w:rFonts w:ascii="Times New Roman" w:eastAsia="標楷體" w:hint="eastAsia"/>
          <w:spacing w:val="0"/>
          <w:sz w:val="24"/>
          <w:szCs w:val="24"/>
        </w:rPr>
        <w:t>r</w:t>
      </w:r>
      <w:r w:rsidR="00B93F76" w:rsidRPr="00B93F76">
        <w:rPr>
          <w:rFonts w:ascii="Times New Roman" w:eastAsia="標楷體" w:hint="eastAsia"/>
          <w:spacing w:val="0"/>
          <w:sz w:val="24"/>
          <w:szCs w:val="24"/>
        </w:rPr>
        <w:t xml:space="preserve">esidential </w:t>
      </w:r>
      <w:r w:rsidR="00B93F76">
        <w:rPr>
          <w:rFonts w:ascii="Times New Roman" w:eastAsia="標楷體" w:hint="eastAsia"/>
          <w:spacing w:val="0"/>
          <w:sz w:val="24"/>
          <w:szCs w:val="24"/>
        </w:rPr>
        <w:t>r</w:t>
      </w:r>
      <w:r w:rsidR="00B93F76" w:rsidRPr="00B93F76">
        <w:rPr>
          <w:rFonts w:ascii="Times New Roman" w:eastAsia="標楷體" w:hint="eastAsia"/>
          <w:spacing w:val="0"/>
          <w:sz w:val="24"/>
          <w:szCs w:val="24"/>
        </w:rPr>
        <w:t>ent</w:t>
      </w:r>
      <w:r w:rsidR="00B93F76">
        <w:rPr>
          <w:rFonts w:ascii="Times New Roman" w:eastAsia="標楷體" w:hint="eastAsia"/>
          <w:spacing w:val="0"/>
          <w:sz w:val="24"/>
          <w:szCs w:val="24"/>
        </w:rPr>
        <w:t>, and fruit and vegetables.</w:t>
      </w:r>
    </w:p>
    <w:p w:rsidR="004B0C53" w:rsidRPr="007F6F77" w:rsidRDefault="00B93F76" w:rsidP="008342FB">
      <w:pPr>
        <w:pStyle w:val="6"/>
        <w:overflowPunct w:val="0"/>
        <w:snapToGrid w:val="0"/>
        <w:spacing w:after="0" w:line="440" w:lineRule="exact"/>
        <w:ind w:left="0" w:firstLineChars="200" w:firstLine="480"/>
        <w:rPr>
          <w:rFonts w:ascii="Times New Roman" w:eastAsia="標楷體"/>
          <w:spacing w:val="-2"/>
          <w:sz w:val="24"/>
          <w:szCs w:val="28"/>
        </w:rPr>
      </w:pPr>
      <w:r>
        <w:rPr>
          <w:rFonts w:ascii="Times New Roman" w:eastAsia="標楷體" w:hint="eastAsia"/>
          <w:spacing w:val="0"/>
          <w:sz w:val="24"/>
          <w:szCs w:val="24"/>
        </w:rPr>
        <w:t xml:space="preserve">Looking ahead, services such as food away from home might become more expensive to </w:t>
      </w:r>
      <w:r>
        <w:rPr>
          <w:rFonts w:ascii="Times New Roman" w:eastAsia="標楷體"/>
          <w:spacing w:val="0"/>
          <w:sz w:val="24"/>
          <w:szCs w:val="24"/>
        </w:rPr>
        <w:t>reflect</w:t>
      </w:r>
      <w:r>
        <w:rPr>
          <w:rFonts w:ascii="Times New Roman" w:eastAsia="標楷體" w:hint="eastAsia"/>
          <w:spacing w:val="0"/>
          <w:sz w:val="24"/>
          <w:szCs w:val="24"/>
        </w:rPr>
        <w:t xml:space="preserve"> base wage hikes. On the other hand,</w:t>
      </w:r>
      <w:r w:rsidR="000A5BA4">
        <w:rPr>
          <w:rFonts w:ascii="Times New Roman" w:eastAsia="標楷體" w:hint="eastAsia"/>
          <w:spacing w:val="0"/>
          <w:sz w:val="24"/>
          <w:szCs w:val="24"/>
        </w:rPr>
        <w:t xml:space="preserve"> import prices would weaken as international raw material prices were expected to be soft, and a negative output gap remained, along with mild domestic demand. Overall, inflationary pressures were muted. The Bank projected </w:t>
      </w:r>
      <w:r w:rsidR="00A01A75" w:rsidRPr="007F6F77">
        <w:rPr>
          <w:rFonts w:ascii="Times New Roman" w:eastAsia="標楷體" w:hint="eastAsia"/>
          <w:spacing w:val="0"/>
          <w:sz w:val="24"/>
          <w:szCs w:val="24"/>
        </w:rPr>
        <w:t>the CPI and core CPI annual growth ra</w:t>
      </w:r>
      <w:r w:rsidR="006350D2" w:rsidRPr="007F6F77">
        <w:rPr>
          <w:rFonts w:ascii="Times New Roman" w:eastAsia="標楷體" w:hint="eastAsia"/>
          <w:spacing w:val="0"/>
          <w:sz w:val="24"/>
          <w:szCs w:val="24"/>
        </w:rPr>
        <w:t xml:space="preserve">tes to be </w:t>
      </w:r>
      <w:r w:rsidR="000A5BA4">
        <w:rPr>
          <w:rFonts w:ascii="Times New Roman" w:eastAsia="標楷體" w:hint="eastAsia"/>
          <w:spacing w:val="0"/>
          <w:sz w:val="24"/>
          <w:szCs w:val="24"/>
        </w:rPr>
        <w:t>0.54</w:t>
      </w:r>
      <w:r w:rsidR="006350D2" w:rsidRPr="007F6F77">
        <w:rPr>
          <w:rFonts w:ascii="Times New Roman" w:eastAsia="標楷體" w:hint="eastAsia"/>
          <w:spacing w:val="0"/>
          <w:sz w:val="24"/>
          <w:szCs w:val="24"/>
        </w:rPr>
        <w:t>% and 0.</w:t>
      </w:r>
      <w:r w:rsidR="000A5BA4">
        <w:rPr>
          <w:rFonts w:ascii="Times New Roman" w:eastAsia="標楷體" w:hint="eastAsia"/>
          <w:spacing w:val="0"/>
          <w:sz w:val="24"/>
          <w:szCs w:val="24"/>
        </w:rPr>
        <w:t>49</w:t>
      </w:r>
      <w:r w:rsidR="006350D2" w:rsidRPr="007F6F77">
        <w:rPr>
          <w:rFonts w:ascii="Times New Roman" w:eastAsia="標楷體" w:hint="eastAsia"/>
          <w:spacing w:val="0"/>
          <w:sz w:val="24"/>
          <w:szCs w:val="24"/>
        </w:rPr>
        <w:t xml:space="preserve">% </w:t>
      </w:r>
      <w:r w:rsidR="000A5BA4">
        <w:rPr>
          <w:rFonts w:ascii="Times New Roman" w:eastAsia="標楷體" w:hint="eastAsia"/>
          <w:spacing w:val="0"/>
          <w:sz w:val="24"/>
          <w:szCs w:val="24"/>
        </w:rPr>
        <w:t>this year, and 0.77</w:t>
      </w:r>
      <w:r w:rsidR="006350D2" w:rsidRPr="007F6F77">
        <w:rPr>
          <w:rFonts w:ascii="Times New Roman" w:eastAsia="標楷體" w:hint="eastAsia"/>
          <w:spacing w:val="0"/>
          <w:sz w:val="24"/>
          <w:szCs w:val="24"/>
        </w:rPr>
        <w:t xml:space="preserve">% and </w:t>
      </w:r>
      <w:r w:rsidR="000A5BA4">
        <w:rPr>
          <w:rFonts w:ascii="Times New Roman" w:eastAsia="標楷體" w:hint="eastAsia"/>
          <w:spacing w:val="0"/>
          <w:sz w:val="24"/>
          <w:szCs w:val="24"/>
        </w:rPr>
        <w:t>0.70</w:t>
      </w:r>
      <w:r w:rsidR="006350D2" w:rsidRPr="007F6F77">
        <w:rPr>
          <w:rFonts w:ascii="Times New Roman" w:eastAsia="標楷體" w:hint="eastAsia"/>
          <w:spacing w:val="0"/>
          <w:sz w:val="24"/>
          <w:szCs w:val="24"/>
        </w:rPr>
        <w:t>%</w:t>
      </w:r>
      <w:r w:rsidR="00250748" w:rsidRPr="007F6F77">
        <w:rPr>
          <w:rFonts w:ascii="Times New Roman" w:eastAsia="標楷體" w:hint="eastAsia"/>
          <w:spacing w:val="0"/>
          <w:sz w:val="24"/>
          <w:szCs w:val="24"/>
        </w:rPr>
        <w:t xml:space="preserve"> </w:t>
      </w:r>
      <w:r w:rsidR="000A5BA4">
        <w:rPr>
          <w:rFonts w:ascii="Times New Roman" w:eastAsia="標楷體" w:hint="eastAsia"/>
          <w:spacing w:val="0"/>
          <w:sz w:val="24"/>
          <w:szCs w:val="24"/>
        </w:rPr>
        <w:t xml:space="preserve">next year. The </w:t>
      </w:r>
      <w:r w:rsidR="000A5BA4">
        <w:rPr>
          <w:rFonts w:ascii="Times New Roman" w:eastAsia="標楷體"/>
          <w:spacing w:val="0"/>
          <w:sz w:val="24"/>
          <w:szCs w:val="24"/>
        </w:rPr>
        <w:t>inflation</w:t>
      </w:r>
      <w:r w:rsidR="000A5BA4">
        <w:rPr>
          <w:rFonts w:ascii="Times New Roman" w:eastAsia="標楷體" w:hint="eastAsia"/>
          <w:spacing w:val="0"/>
          <w:sz w:val="24"/>
          <w:szCs w:val="24"/>
        </w:rPr>
        <w:t xml:space="preserve"> outlook was stable. </w:t>
      </w:r>
    </w:p>
    <w:p w:rsidR="000A5BA4" w:rsidRDefault="00932501" w:rsidP="00812349">
      <w:pPr>
        <w:pStyle w:val="6"/>
        <w:overflowPunct w:val="0"/>
        <w:snapToGrid w:val="0"/>
        <w:spacing w:after="0" w:line="440" w:lineRule="exact"/>
        <w:ind w:left="0" w:firstLineChars="200" w:firstLine="480"/>
        <w:rPr>
          <w:rFonts w:ascii="Times New Roman" w:eastAsia="標楷體"/>
          <w:spacing w:val="0"/>
          <w:sz w:val="24"/>
          <w:szCs w:val="24"/>
        </w:rPr>
      </w:pPr>
      <w:r w:rsidRPr="007F6F77">
        <w:rPr>
          <w:rFonts w:ascii="Times New Roman" w:eastAsia="標楷體" w:hint="eastAsia"/>
          <w:spacing w:val="0"/>
          <w:sz w:val="24"/>
          <w:szCs w:val="24"/>
        </w:rPr>
        <w:t xml:space="preserve">As for the </w:t>
      </w:r>
      <w:r w:rsidR="00A746B2" w:rsidRPr="007F6F77">
        <w:rPr>
          <w:rFonts w:ascii="Times New Roman" w:eastAsia="標楷體" w:hint="eastAsia"/>
          <w:spacing w:val="0"/>
          <w:sz w:val="24"/>
          <w:szCs w:val="24"/>
        </w:rPr>
        <w:t>key</w:t>
      </w:r>
      <w:r w:rsidR="004D09F6" w:rsidRPr="007F6F77">
        <w:rPr>
          <w:rFonts w:ascii="Times New Roman" w:eastAsia="標楷體" w:hint="eastAsia"/>
          <w:spacing w:val="0"/>
          <w:sz w:val="24"/>
          <w:szCs w:val="24"/>
        </w:rPr>
        <w:t xml:space="preserve"> determinants of </w:t>
      </w:r>
      <w:r w:rsidRPr="007F6F77">
        <w:rPr>
          <w:rFonts w:ascii="Times New Roman" w:eastAsia="標楷體" w:hint="eastAsia"/>
          <w:spacing w:val="0"/>
          <w:sz w:val="24"/>
          <w:szCs w:val="24"/>
        </w:rPr>
        <w:t xml:space="preserve">future </w:t>
      </w:r>
      <w:r w:rsidR="004D09F6" w:rsidRPr="007F6F77">
        <w:rPr>
          <w:rFonts w:ascii="Times New Roman" w:eastAsia="標楷體" w:hint="eastAsia"/>
          <w:spacing w:val="0"/>
          <w:sz w:val="24"/>
          <w:szCs w:val="24"/>
        </w:rPr>
        <w:t>price trends</w:t>
      </w:r>
      <w:r w:rsidR="00A779AA" w:rsidRPr="007F6F77">
        <w:rPr>
          <w:rFonts w:ascii="Times New Roman" w:eastAsia="標楷體" w:hint="eastAsia"/>
          <w:spacing w:val="0"/>
          <w:sz w:val="24"/>
          <w:szCs w:val="24"/>
        </w:rPr>
        <w:t xml:space="preserve">, </w:t>
      </w:r>
      <w:r w:rsidR="000A5BA4">
        <w:rPr>
          <w:rFonts w:ascii="Times New Roman" w:eastAsia="標楷體" w:hint="eastAsia"/>
          <w:spacing w:val="0"/>
          <w:sz w:val="24"/>
          <w:szCs w:val="24"/>
        </w:rPr>
        <w:t xml:space="preserve">sources of upside pressures include (1) </w:t>
      </w:r>
      <w:r w:rsidR="00F96CB7" w:rsidRPr="007F6F77">
        <w:rPr>
          <w:rFonts w:ascii="Times New Roman" w:eastAsia="標楷體" w:hint="eastAsia"/>
          <w:spacing w:val="0"/>
          <w:sz w:val="24"/>
          <w:szCs w:val="24"/>
        </w:rPr>
        <w:t>the minimum</w:t>
      </w:r>
      <w:r w:rsidR="00395A26">
        <w:rPr>
          <w:rFonts w:ascii="Times New Roman" w:eastAsia="標楷體" w:hint="eastAsia"/>
          <w:spacing w:val="0"/>
          <w:sz w:val="24"/>
          <w:szCs w:val="24"/>
        </w:rPr>
        <w:t xml:space="preserve"> wage hike next year, which would continue to push up prices in services; (2) residential rent would trend up steadily amid a recovering housing market; (3) food prices including fruit and vegetables could rise faster, with this year</w:t>
      </w:r>
      <w:r w:rsidR="00395A26">
        <w:rPr>
          <w:rFonts w:ascii="Times New Roman" w:eastAsia="標楷體"/>
          <w:spacing w:val="0"/>
          <w:sz w:val="24"/>
          <w:szCs w:val="24"/>
        </w:rPr>
        <w:t>’</w:t>
      </w:r>
      <w:r w:rsidR="00395A26">
        <w:rPr>
          <w:rFonts w:ascii="Times New Roman" w:eastAsia="標楷體" w:hint="eastAsia"/>
          <w:spacing w:val="0"/>
          <w:sz w:val="24"/>
          <w:szCs w:val="24"/>
        </w:rPr>
        <w:t xml:space="preserve">s favorable weather contributing to a lower base effect. Downside pressures include tepid prices for raw materials amid soft global economic growth, a continuous downtrend for domestic communication rates, and a sustained negative output gap at home. </w:t>
      </w:r>
    </w:p>
    <w:p w:rsidR="00D46F1E" w:rsidRPr="007F6F77" w:rsidRDefault="00D46F1E" w:rsidP="00B04114">
      <w:pPr>
        <w:numPr>
          <w:ilvl w:val="0"/>
          <w:numId w:val="9"/>
        </w:numPr>
        <w:overflowPunct w:val="0"/>
        <w:autoSpaceDE w:val="0"/>
        <w:autoSpaceDN w:val="0"/>
        <w:snapToGrid w:val="0"/>
        <w:spacing w:before="120" w:line="440" w:lineRule="exact"/>
        <w:ind w:left="426" w:hanging="426"/>
        <w:rPr>
          <w:rFonts w:eastAsia="標楷體"/>
          <w:b/>
          <w:spacing w:val="-2"/>
          <w:sz w:val="24"/>
          <w:szCs w:val="28"/>
        </w:rPr>
      </w:pPr>
      <w:r w:rsidRPr="007F6F77">
        <w:rPr>
          <w:rFonts w:eastAsia="標楷體" w:hint="eastAsia"/>
          <w:b/>
          <w:spacing w:val="-2"/>
          <w:sz w:val="24"/>
          <w:szCs w:val="28"/>
        </w:rPr>
        <w:t>Considerations for Monetary Policy</w:t>
      </w:r>
    </w:p>
    <w:p w:rsidR="00A34F6D" w:rsidRDefault="00CF3A47" w:rsidP="00CD7B0E">
      <w:pPr>
        <w:adjustRightInd/>
        <w:spacing w:before="120" w:line="440" w:lineRule="exact"/>
        <w:ind w:left="363" w:hangingChars="154" w:hanging="363"/>
        <w:textAlignment w:val="auto"/>
        <w:rPr>
          <w:rFonts w:eastAsia="標楷體"/>
          <w:spacing w:val="-2"/>
          <w:kern w:val="2"/>
          <w:sz w:val="24"/>
          <w:szCs w:val="28"/>
        </w:rPr>
      </w:pPr>
      <w:r w:rsidRPr="007F6F77">
        <w:rPr>
          <w:rFonts w:eastAsia="標楷體" w:hint="eastAsia"/>
          <w:spacing w:val="-2"/>
          <w:kern w:val="2"/>
          <w:sz w:val="24"/>
          <w:szCs w:val="28"/>
        </w:rPr>
        <w:lastRenderedPageBreak/>
        <w:t xml:space="preserve">(1) </w:t>
      </w:r>
      <w:r w:rsidR="002B1286">
        <w:rPr>
          <w:rFonts w:eastAsia="標楷體" w:hint="eastAsia"/>
          <w:spacing w:val="-2"/>
          <w:kern w:val="2"/>
          <w:sz w:val="24"/>
          <w:szCs w:val="28"/>
        </w:rPr>
        <w:t xml:space="preserve">The domestic inflation rate stayed low and stable for the year to date. The CPI annual </w:t>
      </w:r>
      <w:r w:rsidR="002B1286">
        <w:rPr>
          <w:rFonts w:eastAsia="標楷體"/>
          <w:spacing w:val="-2"/>
          <w:kern w:val="2"/>
          <w:sz w:val="24"/>
          <w:szCs w:val="28"/>
        </w:rPr>
        <w:t>growth</w:t>
      </w:r>
      <w:r w:rsidR="002B1286">
        <w:rPr>
          <w:rFonts w:eastAsia="標楷體" w:hint="eastAsia"/>
          <w:spacing w:val="-2"/>
          <w:kern w:val="2"/>
          <w:sz w:val="24"/>
          <w:szCs w:val="28"/>
        </w:rPr>
        <w:t xml:space="preserve"> rate averaged 0.51% for the Jan.-Nov. </w:t>
      </w:r>
      <w:r w:rsidR="002B1286">
        <w:rPr>
          <w:rFonts w:eastAsia="標楷體"/>
          <w:spacing w:val="-2"/>
          <w:kern w:val="2"/>
          <w:sz w:val="24"/>
          <w:szCs w:val="28"/>
        </w:rPr>
        <w:t>period</w:t>
      </w:r>
      <w:r w:rsidR="002B1286">
        <w:rPr>
          <w:rFonts w:eastAsia="標楷體" w:hint="eastAsia"/>
          <w:spacing w:val="-2"/>
          <w:kern w:val="2"/>
          <w:sz w:val="24"/>
          <w:szCs w:val="28"/>
        </w:rPr>
        <w:t xml:space="preserve"> and was forecasted by the Bank to register 0.54% for the entire year. Given that international crude prices were projected by foreign institutions to remain low next year and the domestic output gap was marginally negative, the inflation outlook was stable. The Bank expected the CPI annual growth rate to be 0.77% in 2020. </w:t>
      </w:r>
    </w:p>
    <w:p w:rsidR="002B1286" w:rsidRDefault="00CF3A47" w:rsidP="00CD7B0E">
      <w:pPr>
        <w:adjustRightInd/>
        <w:spacing w:before="120" w:line="440" w:lineRule="exact"/>
        <w:ind w:left="363" w:hangingChars="154" w:hanging="363"/>
        <w:textAlignment w:val="auto"/>
        <w:rPr>
          <w:rFonts w:eastAsia="標楷體"/>
          <w:spacing w:val="-2"/>
          <w:kern w:val="2"/>
          <w:sz w:val="24"/>
          <w:szCs w:val="28"/>
        </w:rPr>
      </w:pPr>
      <w:r w:rsidRPr="007F6F77">
        <w:rPr>
          <w:rFonts w:eastAsia="標楷體" w:hint="eastAsia"/>
          <w:spacing w:val="-2"/>
          <w:kern w:val="2"/>
          <w:sz w:val="24"/>
          <w:szCs w:val="28"/>
        </w:rPr>
        <w:t xml:space="preserve">(2) </w:t>
      </w:r>
      <w:r w:rsidR="002B1286">
        <w:rPr>
          <w:rFonts w:eastAsia="標楷體" w:hint="eastAsia"/>
          <w:spacing w:val="-2"/>
          <w:kern w:val="2"/>
          <w:sz w:val="24"/>
          <w:szCs w:val="28"/>
        </w:rPr>
        <w:t xml:space="preserve">In view of a steady global economy, uncertainties notwithstanding, it was expected that the domestic economy would register stable growth. The Bank forecasted the economy to expand 2.60% this year and 2.7% next year. </w:t>
      </w:r>
    </w:p>
    <w:p w:rsidR="000E700C" w:rsidRPr="002B1286" w:rsidRDefault="002B1286" w:rsidP="00FA173A">
      <w:pPr>
        <w:adjustRightInd/>
        <w:snapToGrid w:val="0"/>
        <w:spacing w:before="120" w:line="440" w:lineRule="exact"/>
        <w:jc w:val="both"/>
        <w:textDirection w:val="lrTbV"/>
        <w:rPr>
          <w:rFonts w:eastAsia="標楷體"/>
          <w:sz w:val="24"/>
          <w:szCs w:val="28"/>
        </w:rPr>
      </w:pPr>
      <w:r>
        <w:rPr>
          <w:rFonts w:eastAsia="標楷體" w:hint="eastAsia"/>
          <w:sz w:val="24"/>
          <w:szCs w:val="28"/>
        </w:rPr>
        <w:t xml:space="preserve">(3) </w:t>
      </w:r>
      <w:r w:rsidRPr="002B1286">
        <w:rPr>
          <w:rFonts w:eastAsia="標楷體"/>
          <w:sz w:val="24"/>
          <w:szCs w:val="28"/>
        </w:rPr>
        <w:t xml:space="preserve">Taiwan’s real interest rate was in the middle range </w:t>
      </w:r>
      <w:r>
        <w:rPr>
          <w:rFonts w:eastAsia="標楷體" w:hint="eastAsia"/>
          <w:sz w:val="24"/>
          <w:szCs w:val="28"/>
        </w:rPr>
        <w:t>c</w:t>
      </w:r>
      <w:r w:rsidRPr="002B1286">
        <w:rPr>
          <w:rFonts w:eastAsia="標楷體"/>
          <w:sz w:val="24"/>
          <w:szCs w:val="28"/>
        </w:rPr>
        <w:t>ompared to major economies.</w:t>
      </w:r>
    </w:p>
    <w:p w:rsidR="00D46F1E" w:rsidRPr="009605CF" w:rsidRDefault="00D46F1E" w:rsidP="009605CF">
      <w:pPr>
        <w:pStyle w:val="afff6"/>
        <w:numPr>
          <w:ilvl w:val="2"/>
          <w:numId w:val="26"/>
        </w:numPr>
        <w:adjustRightInd/>
        <w:snapToGrid w:val="0"/>
        <w:spacing w:before="120" w:line="440" w:lineRule="exact"/>
        <w:ind w:leftChars="0" w:left="426" w:hanging="426"/>
        <w:textDirection w:val="lrTbV"/>
        <w:rPr>
          <w:rFonts w:ascii="Times New Roman" w:eastAsia="標楷體"/>
          <w:b/>
          <w:sz w:val="28"/>
          <w:szCs w:val="28"/>
        </w:rPr>
      </w:pPr>
      <w:r w:rsidRPr="009605CF">
        <w:rPr>
          <w:rFonts w:ascii="Times New Roman" w:eastAsia="標楷體" w:hint="eastAsia"/>
          <w:b/>
          <w:sz w:val="28"/>
          <w:szCs w:val="28"/>
        </w:rPr>
        <w:t xml:space="preserve">Proposition and Decision about Monetary Policy </w:t>
      </w:r>
    </w:p>
    <w:p w:rsidR="00D46F1E" w:rsidRPr="007F6F77" w:rsidRDefault="00D46F1E" w:rsidP="00B04114">
      <w:pPr>
        <w:numPr>
          <w:ilvl w:val="0"/>
          <w:numId w:val="12"/>
        </w:numPr>
        <w:overflowPunct w:val="0"/>
        <w:autoSpaceDE w:val="0"/>
        <w:autoSpaceDN w:val="0"/>
        <w:snapToGrid w:val="0"/>
        <w:spacing w:before="120" w:line="440" w:lineRule="exact"/>
        <w:ind w:left="426" w:hanging="426"/>
        <w:textDirection w:val="lrTbV"/>
        <w:rPr>
          <w:rFonts w:eastAsia="標楷體"/>
          <w:b/>
          <w:spacing w:val="-2"/>
          <w:sz w:val="24"/>
          <w:szCs w:val="28"/>
        </w:rPr>
      </w:pPr>
      <w:r w:rsidRPr="007F6F77">
        <w:rPr>
          <w:rFonts w:eastAsia="標楷體" w:hint="eastAsia"/>
          <w:b/>
          <w:spacing w:val="-2"/>
          <w:sz w:val="24"/>
          <w:szCs w:val="28"/>
        </w:rPr>
        <w:t>Policy Proposition: To keep t</w:t>
      </w:r>
      <w:r w:rsidRPr="007F6F77">
        <w:rPr>
          <w:rFonts w:eastAsia="標楷體"/>
          <w:b/>
          <w:spacing w:val="-2"/>
          <w:sz w:val="24"/>
          <w:szCs w:val="28"/>
        </w:rPr>
        <w:t>he discount rate, the rate on accommodations with collateral, and the rate on accommodations without collateral unchanged at 1.375%, 1.75%, and 3.625%, respectively.</w:t>
      </w:r>
    </w:p>
    <w:p w:rsidR="00D46F1E" w:rsidRPr="007F6F77" w:rsidRDefault="00A32D1B" w:rsidP="00B04114">
      <w:pPr>
        <w:numPr>
          <w:ilvl w:val="0"/>
          <w:numId w:val="12"/>
        </w:numPr>
        <w:overflowPunct w:val="0"/>
        <w:autoSpaceDE w:val="0"/>
        <w:autoSpaceDN w:val="0"/>
        <w:snapToGrid w:val="0"/>
        <w:spacing w:before="120" w:line="440" w:lineRule="exact"/>
        <w:ind w:left="426" w:hanging="426"/>
        <w:textDirection w:val="lrTbV"/>
        <w:rPr>
          <w:rFonts w:eastAsia="標楷體"/>
          <w:spacing w:val="-2"/>
          <w:sz w:val="24"/>
          <w:szCs w:val="28"/>
        </w:rPr>
      </w:pPr>
      <w:r w:rsidRPr="007F6F77">
        <w:rPr>
          <w:rFonts w:eastAsia="標楷體" w:hint="eastAsia"/>
          <w:spacing w:val="-2"/>
          <w:sz w:val="24"/>
          <w:szCs w:val="28"/>
        </w:rPr>
        <w:t>B</w:t>
      </w:r>
      <w:r w:rsidR="00D46F1E" w:rsidRPr="007F6F77">
        <w:rPr>
          <w:rFonts w:eastAsia="標楷體" w:hint="eastAsia"/>
          <w:spacing w:val="-2"/>
          <w:sz w:val="24"/>
          <w:szCs w:val="28"/>
        </w:rPr>
        <w:t xml:space="preserve">oard members </w:t>
      </w:r>
      <w:r w:rsidRPr="007F6F77">
        <w:rPr>
          <w:rFonts w:eastAsia="標楷體" w:hint="eastAsia"/>
          <w:spacing w:val="-2"/>
          <w:sz w:val="24"/>
          <w:szCs w:val="28"/>
        </w:rPr>
        <w:t xml:space="preserve">reached a unanimous vote for policy rates to remain unchanged. </w:t>
      </w:r>
      <w:r w:rsidR="00D46F1E" w:rsidRPr="007F6F77">
        <w:rPr>
          <w:rFonts w:eastAsia="標楷體" w:hint="eastAsia"/>
          <w:spacing w:val="-2"/>
          <w:sz w:val="24"/>
          <w:szCs w:val="28"/>
        </w:rPr>
        <w:t>The discussions are summarized as follows.</w:t>
      </w:r>
    </w:p>
    <w:p w:rsidR="000571DE" w:rsidRPr="007F6F77" w:rsidRDefault="000571DE" w:rsidP="000571DE">
      <w:pPr>
        <w:adjustRightInd/>
        <w:spacing w:before="120" w:line="440" w:lineRule="exact"/>
        <w:ind w:left="363" w:hangingChars="154" w:hanging="363"/>
        <w:textAlignment w:val="auto"/>
        <w:rPr>
          <w:rFonts w:eastAsia="標楷體"/>
          <w:spacing w:val="-2"/>
          <w:kern w:val="2"/>
          <w:sz w:val="24"/>
          <w:szCs w:val="28"/>
        </w:rPr>
      </w:pPr>
      <w:r w:rsidRPr="007F6F77">
        <w:rPr>
          <w:rFonts w:eastAsia="標楷體" w:hint="eastAsia"/>
          <w:spacing w:val="-2"/>
          <w:kern w:val="2"/>
          <w:sz w:val="24"/>
          <w:szCs w:val="28"/>
        </w:rPr>
        <w:t>(1) Discussion on domestic and international economic and financial conditions</w:t>
      </w:r>
    </w:p>
    <w:p w:rsidR="009D35EE" w:rsidRDefault="00EA1826" w:rsidP="009D35EE">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In respect of </w:t>
      </w:r>
      <w:r>
        <w:rPr>
          <w:rFonts w:ascii="Times New Roman" w:eastAsia="標楷體"/>
          <w:spacing w:val="-2"/>
          <w:sz w:val="24"/>
          <w:szCs w:val="28"/>
        </w:rPr>
        <w:t>economic</w:t>
      </w:r>
      <w:r>
        <w:rPr>
          <w:rFonts w:ascii="Times New Roman" w:eastAsia="標楷體" w:hint="eastAsia"/>
          <w:spacing w:val="-2"/>
          <w:sz w:val="24"/>
          <w:szCs w:val="28"/>
        </w:rPr>
        <w:t xml:space="preserve"> conditions abroad, one board director noted that major forecasting institutions were not in agreement about next year</w:t>
      </w:r>
      <w:r>
        <w:rPr>
          <w:rFonts w:ascii="Times New Roman" w:eastAsia="標楷體"/>
          <w:spacing w:val="-2"/>
          <w:sz w:val="24"/>
          <w:szCs w:val="28"/>
        </w:rPr>
        <w:t>’</w:t>
      </w:r>
      <w:r>
        <w:rPr>
          <w:rFonts w:ascii="Times New Roman" w:eastAsia="標楷體" w:hint="eastAsia"/>
          <w:spacing w:val="-2"/>
          <w:sz w:val="24"/>
          <w:szCs w:val="28"/>
        </w:rPr>
        <w:t xml:space="preserve">s global economic growth, with some projecting a pace faster than this year and some lower than this year, which indicated that downside risks to the global economy could not be dismissed yet. Nevertheless, </w:t>
      </w:r>
      <w:r w:rsidR="00B77BA1">
        <w:rPr>
          <w:rFonts w:ascii="Times New Roman" w:eastAsia="標楷體" w:hint="eastAsia"/>
          <w:spacing w:val="-2"/>
          <w:sz w:val="24"/>
          <w:szCs w:val="28"/>
        </w:rPr>
        <w:t xml:space="preserve">one recent </w:t>
      </w:r>
      <w:r w:rsidR="004A31B9">
        <w:rPr>
          <w:rFonts w:ascii="Times New Roman" w:eastAsia="標楷體" w:hint="eastAsia"/>
          <w:spacing w:val="-2"/>
          <w:sz w:val="24"/>
          <w:szCs w:val="28"/>
        </w:rPr>
        <w:t>piece of</w:t>
      </w:r>
      <w:r w:rsidR="00B77BA1">
        <w:rPr>
          <w:rFonts w:ascii="Times New Roman" w:eastAsia="標楷體" w:hint="eastAsia"/>
          <w:spacing w:val="-2"/>
          <w:sz w:val="24"/>
          <w:szCs w:val="28"/>
        </w:rPr>
        <w:t xml:space="preserve"> </w:t>
      </w:r>
      <w:r w:rsidR="004A31B9">
        <w:rPr>
          <w:rFonts w:ascii="Times New Roman" w:eastAsia="標楷體" w:hint="eastAsia"/>
          <w:spacing w:val="-2"/>
          <w:sz w:val="24"/>
          <w:szCs w:val="28"/>
        </w:rPr>
        <w:t xml:space="preserve">foreign </w:t>
      </w:r>
      <w:r w:rsidR="00B77BA1">
        <w:rPr>
          <w:rFonts w:ascii="Times New Roman" w:eastAsia="標楷體" w:hint="eastAsia"/>
          <w:spacing w:val="-2"/>
          <w:sz w:val="24"/>
          <w:szCs w:val="28"/>
        </w:rPr>
        <w:t>research</w:t>
      </w:r>
      <w:r w:rsidR="004A31B9">
        <w:rPr>
          <w:rFonts w:ascii="Times New Roman" w:eastAsia="標楷體" w:hint="eastAsia"/>
          <w:spacing w:val="-2"/>
          <w:sz w:val="24"/>
          <w:szCs w:val="28"/>
        </w:rPr>
        <w:t xml:space="preserve"> </w:t>
      </w:r>
      <w:r w:rsidR="00B77BA1">
        <w:rPr>
          <w:rFonts w:ascii="Times New Roman" w:eastAsia="標楷體" w:hint="eastAsia"/>
          <w:spacing w:val="-2"/>
          <w:sz w:val="24"/>
          <w:szCs w:val="28"/>
        </w:rPr>
        <w:t xml:space="preserve">revealed that downside risks to the global economy were on the wane, and another research </w:t>
      </w:r>
      <w:r w:rsidR="004A31B9">
        <w:rPr>
          <w:rFonts w:ascii="Times New Roman" w:eastAsia="標楷體" w:hint="eastAsia"/>
          <w:spacing w:val="-2"/>
          <w:sz w:val="24"/>
          <w:szCs w:val="28"/>
        </w:rPr>
        <w:t xml:space="preserve">piece </w:t>
      </w:r>
      <w:r w:rsidR="00B77BA1">
        <w:rPr>
          <w:rFonts w:ascii="Times New Roman" w:eastAsia="標楷體" w:hint="eastAsia"/>
          <w:spacing w:val="-2"/>
          <w:sz w:val="24"/>
          <w:szCs w:val="28"/>
        </w:rPr>
        <w:t xml:space="preserve">argued that a global </w:t>
      </w:r>
      <w:r w:rsidR="00B77BA1">
        <w:rPr>
          <w:rFonts w:ascii="Times New Roman" w:eastAsia="標楷體"/>
          <w:spacing w:val="-2"/>
          <w:sz w:val="24"/>
          <w:szCs w:val="28"/>
        </w:rPr>
        <w:t>economic</w:t>
      </w:r>
      <w:r w:rsidR="00B77BA1">
        <w:rPr>
          <w:rFonts w:ascii="Times New Roman" w:eastAsia="標楷體" w:hint="eastAsia"/>
          <w:spacing w:val="-2"/>
          <w:sz w:val="24"/>
          <w:szCs w:val="28"/>
        </w:rPr>
        <w:t xml:space="preserve"> pickup was on the way. </w:t>
      </w:r>
      <w:r w:rsidR="009D35EE">
        <w:rPr>
          <w:rFonts w:ascii="Times New Roman" w:eastAsia="標楷體" w:hint="eastAsia"/>
          <w:spacing w:val="-2"/>
          <w:sz w:val="24"/>
          <w:szCs w:val="28"/>
        </w:rPr>
        <w:t xml:space="preserve">Moreover, in the U.S. the Fed said the </w:t>
      </w:r>
      <w:r w:rsidR="009D35EE">
        <w:rPr>
          <w:rFonts w:ascii="Times New Roman" w:eastAsia="標楷體"/>
          <w:spacing w:val="-2"/>
          <w:sz w:val="24"/>
          <w:szCs w:val="28"/>
        </w:rPr>
        <w:t xml:space="preserve">economic outlook was </w:t>
      </w:r>
      <w:r w:rsidR="009D35EE">
        <w:rPr>
          <w:rFonts w:ascii="Times New Roman" w:eastAsia="標楷體" w:hint="eastAsia"/>
          <w:spacing w:val="-2"/>
          <w:sz w:val="24"/>
          <w:szCs w:val="28"/>
        </w:rPr>
        <w:t xml:space="preserve">favorable while in Japan the government raised the economic growth forecast. These </w:t>
      </w:r>
      <w:r w:rsidR="004A31B9">
        <w:rPr>
          <w:rFonts w:ascii="Times New Roman" w:eastAsia="標楷體" w:hint="eastAsia"/>
          <w:spacing w:val="-2"/>
          <w:sz w:val="24"/>
          <w:szCs w:val="28"/>
        </w:rPr>
        <w:t xml:space="preserve">comments </w:t>
      </w:r>
      <w:r w:rsidR="009D35EE">
        <w:rPr>
          <w:rFonts w:ascii="Times New Roman" w:eastAsia="標楷體" w:hint="eastAsia"/>
          <w:spacing w:val="-2"/>
          <w:sz w:val="24"/>
          <w:szCs w:val="28"/>
        </w:rPr>
        <w:t xml:space="preserve">suggested that the prospects for the global </w:t>
      </w:r>
      <w:r w:rsidR="009D35EE">
        <w:rPr>
          <w:rFonts w:ascii="Times New Roman" w:eastAsia="標楷體"/>
          <w:spacing w:val="-2"/>
          <w:sz w:val="24"/>
          <w:szCs w:val="28"/>
        </w:rPr>
        <w:t>economy</w:t>
      </w:r>
      <w:r w:rsidR="009D35EE">
        <w:rPr>
          <w:rFonts w:ascii="Times New Roman" w:eastAsia="標楷體" w:hint="eastAsia"/>
          <w:spacing w:val="-2"/>
          <w:sz w:val="24"/>
          <w:szCs w:val="28"/>
        </w:rPr>
        <w:t xml:space="preserve"> were positive.</w:t>
      </w:r>
    </w:p>
    <w:p w:rsidR="00FE3EA0" w:rsidRDefault="009D35EE" w:rsidP="00DD292D">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With regard to economic conditions at home, </w:t>
      </w:r>
      <w:r w:rsidR="00351ED8">
        <w:rPr>
          <w:rFonts w:ascii="Times New Roman" w:eastAsia="標楷體" w:hint="eastAsia"/>
          <w:spacing w:val="-2"/>
          <w:sz w:val="24"/>
          <w:szCs w:val="28"/>
        </w:rPr>
        <w:t xml:space="preserve">one board director </w:t>
      </w:r>
      <w:r w:rsidR="009B7069">
        <w:rPr>
          <w:rFonts w:ascii="Times New Roman" w:eastAsia="標楷體" w:hint="eastAsia"/>
          <w:spacing w:val="-2"/>
          <w:sz w:val="24"/>
          <w:szCs w:val="28"/>
        </w:rPr>
        <w:t xml:space="preserve">noted </w:t>
      </w:r>
      <w:r w:rsidR="00351ED8">
        <w:rPr>
          <w:rFonts w:ascii="Times New Roman" w:eastAsia="標楷體" w:hint="eastAsia"/>
          <w:spacing w:val="-2"/>
          <w:sz w:val="24"/>
          <w:szCs w:val="28"/>
        </w:rPr>
        <w:t xml:space="preserve">that the U.S.-China trade conflicts had prompted Taiwanese firms operating in China to recalibrate their production strategies, with mid- to low-end industries relocated to Southeast Asia and high-end industries </w:t>
      </w:r>
      <w:r w:rsidR="00351ED8">
        <w:rPr>
          <w:rFonts w:ascii="Times New Roman" w:eastAsia="標楷體" w:hint="eastAsia"/>
          <w:spacing w:val="-2"/>
          <w:sz w:val="24"/>
          <w:szCs w:val="28"/>
        </w:rPr>
        <w:lastRenderedPageBreak/>
        <w:t xml:space="preserve">back to Taiwan, in general. </w:t>
      </w:r>
      <w:r w:rsidR="00FE3EA0">
        <w:rPr>
          <w:rFonts w:ascii="Times New Roman" w:eastAsia="標楷體" w:hint="eastAsia"/>
          <w:spacing w:val="-2"/>
          <w:sz w:val="24"/>
          <w:szCs w:val="28"/>
        </w:rPr>
        <w:t>The government</w:t>
      </w:r>
      <w:r w:rsidR="00FE3EA0">
        <w:rPr>
          <w:rFonts w:ascii="Times New Roman" w:eastAsia="標楷體"/>
          <w:spacing w:val="-2"/>
          <w:sz w:val="24"/>
          <w:szCs w:val="28"/>
        </w:rPr>
        <w:t>’</w:t>
      </w:r>
      <w:r w:rsidR="00FE3EA0">
        <w:rPr>
          <w:rFonts w:ascii="Times New Roman" w:eastAsia="標楷體" w:hint="eastAsia"/>
          <w:spacing w:val="-2"/>
          <w:sz w:val="24"/>
          <w:szCs w:val="28"/>
        </w:rPr>
        <w:t xml:space="preserve">s vision to transform Taiwan into a regional hub for </w:t>
      </w:r>
      <w:r w:rsidR="00FE3EA0" w:rsidRPr="00FE3EA0">
        <w:rPr>
          <w:rFonts w:ascii="Times New Roman" w:eastAsia="標楷體"/>
          <w:spacing w:val="-2"/>
          <w:sz w:val="24"/>
          <w:szCs w:val="28"/>
        </w:rPr>
        <w:t>advanced manufacturing, high-tech research and development, cutting-edge semiconductor production, and green energy development</w:t>
      </w:r>
      <w:r w:rsidR="00480877">
        <w:rPr>
          <w:rFonts w:ascii="Times New Roman" w:eastAsia="標楷體" w:hint="eastAsia"/>
          <w:spacing w:val="-2"/>
          <w:sz w:val="24"/>
          <w:szCs w:val="28"/>
        </w:rPr>
        <w:t xml:space="preserve"> carries the potential to drive Taiwan</w:t>
      </w:r>
      <w:r w:rsidR="00480877">
        <w:rPr>
          <w:rFonts w:ascii="Times New Roman" w:eastAsia="標楷體"/>
          <w:spacing w:val="-2"/>
          <w:sz w:val="24"/>
          <w:szCs w:val="28"/>
        </w:rPr>
        <w:t>’</w:t>
      </w:r>
      <w:r w:rsidR="00480877">
        <w:rPr>
          <w:rFonts w:ascii="Times New Roman" w:eastAsia="標楷體" w:hint="eastAsia"/>
          <w:spacing w:val="-2"/>
          <w:sz w:val="24"/>
          <w:szCs w:val="28"/>
        </w:rPr>
        <w:t xml:space="preserve">s economy in the coming years, adding that private investment will become one of the mainstays for economic growth. One board supervisor </w:t>
      </w:r>
      <w:r w:rsidR="009B7069">
        <w:rPr>
          <w:rFonts w:ascii="Times New Roman" w:eastAsia="標楷體" w:hint="eastAsia"/>
          <w:spacing w:val="-2"/>
          <w:sz w:val="24"/>
          <w:szCs w:val="28"/>
        </w:rPr>
        <w:t xml:space="preserve">pointed out that </w:t>
      </w:r>
      <w:r w:rsidR="00C502A9">
        <w:rPr>
          <w:rFonts w:ascii="Times New Roman" w:eastAsia="標楷體" w:hint="eastAsia"/>
          <w:spacing w:val="-2"/>
          <w:sz w:val="24"/>
          <w:szCs w:val="28"/>
        </w:rPr>
        <w:t>Taiwan has been forging the</w:t>
      </w:r>
      <w:r w:rsidR="009B7069">
        <w:rPr>
          <w:rFonts w:ascii="Times New Roman" w:eastAsia="標楷體" w:hint="eastAsia"/>
          <w:spacing w:val="-2"/>
          <w:sz w:val="24"/>
          <w:szCs w:val="28"/>
        </w:rPr>
        <w:t xml:space="preserve"> domestic </w:t>
      </w:r>
      <w:r w:rsidR="00F05ABE">
        <w:rPr>
          <w:rFonts w:ascii="Times New Roman" w:eastAsia="標楷體"/>
          <w:spacing w:val="-2"/>
          <w:sz w:val="24"/>
          <w:szCs w:val="28"/>
        </w:rPr>
        <w:t>chain of production</w:t>
      </w:r>
      <w:r w:rsidR="009B7069">
        <w:rPr>
          <w:rFonts w:ascii="Times New Roman" w:eastAsia="標楷體" w:hint="eastAsia"/>
          <w:spacing w:val="-2"/>
          <w:sz w:val="24"/>
          <w:szCs w:val="28"/>
        </w:rPr>
        <w:t xml:space="preserve"> in recent years. In addition, the </w:t>
      </w:r>
      <w:r w:rsidR="00C502A9">
        <w:rPr>
          <w:rFonts w:ascii="Times New Roman" w:eastAsia="標楷體" w:hint="eastAsia"/>
          <w:spacing w:val="-2"/>
          <w:sz w:val="24"/>
          <w:szCs w:val="28"/>
        </w:rPr>
        <w:t>I</w:t>
      </w:r>
      <w:r w:rsidR="009B7069" w:rsidRPr="009B7069">
        <w:rPr>
          <w:rFonts w:ascii="Times New Roman" w:eastAsia="標楷體"/>
          <w:spacing w:val="-2"/>
          <w:sz w:val="24"/>
          <w:szCs w:val="28"/>
        </w:rPr>
        <w:t>ndustry</w:t>
      </w:r>
      <w:r w:rsidR="009B7069">
        <w:rPr>
          <w:rFonts w:ascii="Times New Roman" w:eastAsia="標楷體" w:hint="eastAsia"/>
          <w:spacing w:val="-2"/>
          <w:sz w:val="24"/>
          <w:szCs w:val="28"/>
        </w:rPr>
        <w:t xml:space="preserve"> and</w:t>
      </w:r>
      <w:r w:rsidR="009B7069" w:rsidRPr="009B7069">
        <w:rPr>
          <w:rFonts w:ascii="Times New Roman" w:eastAsia="標楷體"/>
          <w:spacing w:val="-2"/>
          <w:sz w:val="24"/>
          <w:szCs w:val="28"/>
        </w:rPr>
        <w:t xml:space="preserve"> </w:t>
      </w:r>
      <w:r w:rsidR="00C502A9">
        <w:rPr>
          <w:rFonts w:ascii="Times New Roman" w:eastAsia="標楷體" w:hint="eastAsia"/>
          <w:spacing w:val="-2"/>
          <w:sz w:val="24"/>
          <w:szCs w:val="28"/>
        </w:rPr>
        <w:t>C</w:t>
      </w:r>
      <w:r w:rsidR="009B7069" w:rsidRPr="009B7069">
        <w:rPr>
          <w:rFonts w:ascii="Times New Roman" w:eastAsia="標楷體"/>
          <w:spacing w:val="-2"/>
          <w:sz w:val="24"/>
          <w:szCs w:val="28"/>
        </w:rPr>
        <w:t xml:space="preserve">ommerce </w:t>
      </w:r>
      <w:r w:rsidR="00C502A9">
        <w:rPr>
          <w:rFonts w:ascii="Times New Roman" w:eastAsia="標楷體" w:hint="eastAsia"/>
          <w:spacing w:val="-2"/>
          <w:sz w:val="24"/>
          <w:szCs w:val="28"/>
        </w:rPr>
        <w:t>C</w:t>
      </w:r>
      <w:r w:rsidR="009B7069" w:rsidRPr="009B7069">
        <w:rPr>
          <w:rFonts w:ascii="Times New Roman" w:eastAsia="標楷體"/>
          <w:spacing w:val="-2"/>
          <w:sz w:val="24"/>
          <w:szCs w:val="28"/>
        </w:rPr>
        <w:t>ensus</w:t>
      </w:r>
      <w:r w:rsidR="009B7069">
        <w:rPr>
          <w:rFonts w:ascii="Times New Roman" w:eastAsia="標楷體" w:hint="eastAsia"/>
          <w:spacing w:val="-2"/>
          <w:sz w:val="24"/>
          <w:szCs w:val="28"/>
        </w:rPr>
        <w:t xml:space="preserve"> data showed that the import coefficient </w:t>
      </w:r>
      <w:r w:rsidR="00F05ABE">
        <w:rPr>
          <w:rFonts w:ascii="Times New Roman" w:eastAsia="標楷體" w:hint="eastAsia"/>
          <w:spacing w:val="-2"/>
          <w:sz w:val="24"/>
          <w:szCs w:val="28"/>
        </w:rPr>
        <w:t>of</w:t>
      </w:r>
      <w:r w:rsidR="009B7069">
        <w:rPr>
          <w:rFonts w:ascii="Times New Roman" w:eastAsia="標楷體" w:hint="eastAsia"/>
          <w:spacing w:val="-2"/>
          <w:sz w:val="24"/>
          <w:szCs w:val="28"/>
        </w:rPr>
        <w:t xml:space="preserve"> exports has lowered, implying that Taiwan</w:t>
      </w:r>
      <w:r w:rsidR="00DD292D">
        <w:rPr>
          <w:rFonts w:ascii="Times New Roman" w:eastAsia="標楷體" w:hint="eastAsia"/>
          <w:spacing w:val="-2"/>
          <w:sz w:val="24"/>
          <w:szCs w:val="28"/>
        </w:rPr>
        <w:t xml:space="preserve"> was not the </w:t>
      </w:r>
      <w:r w:rsidR="00DD292D">
        <w:rPr>
          <w:rFonts w:ascii="Times New Roman" w:eastAsia="標楷體"/>
          <w:spacing w:val="-2"/>
          <w:sz w:val="24"/>
          <w:szCs w:val="28"/>
        </w:rPr>
        <w:t>“</w:t>
      </w:r>
      <w:r w:rsidR="00DD292D">
        <w:rPr>
          <w:rFonts w:ascii="Times New Roman" w:eastAsia="標楷體" w:hint="eastAsia"/>
          <w:spacing w:val="-2"/>
          <w:sz w:val="24"/>
          <w:szCs w:val="28"/>
        </w:rPr>
        <w:t>shallow plate economy</w:t>
      </w:r>
      <w:r w:rsidR="00DD292D">
        <w:rPr>
          <w:rFonts w:ascii="Times New Roman" w:eastAsia="標楷體"/>
          <w:spacing w:val="-2"/>
          <w:sz w:val="24"/>
          <w:szCs w:val="28"/>
        </w:rPr>
        <w:t>”</w:t>
      </w:r>
      <w:r w:rsidR="00DD292D">
        <w:rPr>
          <w:rFonts w:ascii="Times New Roman" w:eastAsia="標楷體" w:hint="eastAsia"/>
          <w:spacing w:val="-2"/>
          <w:sz w:val="24"/>
          <w:szCs w:val="28"/>
        </w:rPr>
        <w:t xml:space="preserve"> dubbed in earlier years and has </w:t>
      </w:r>
      <w:r w:rsidR="00C502A9">
        <w:rPr>
          <w:rFonts w:ascii="Times New Roman" w:eastAsia="標楷體" w:hint="eastAsia"/>
          <w:spacing w:val="-2"/>
          <w:sz w:val="24"/>
          <w:szCs w:val="28"/>
        </w:rPr>
        <w:t>come to be</w:t>
      </w:r>
      <w:r w:rsidR="00DD292D">
        <w:rPr>
          <w:rFonts w:ascii="Times New Roman" w:eastAsia="標楷體" w:hint="eastAsia"/>
          <w:spacing w:val="-2"/>
          <w:sz w:val="24"/>
          <w:szCs w:val="28"/>
        </w:rPr>
        <w:t xml:space="preserve"> less reliant on external trade. </w:t>
      </w:r>
    </w:p>
    <w:p w:rsidR="008D65ED" w:rsidRDefault="00C502A9" w:rsidP="006114C1">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In </w:t>
      </w:r>
      <w:r w:rsidR="008523F3">
        <w:rPr>
          <w:rFonts w:ascii="Times New Roman" w:eastAsia="標楷體" w:hint="eastAsia"/>
          <w:spacing w:val="-2"/>
          <w:sz w:val="24"/>
          <w:szCs w:val="28"/>
        </w:rPr>
        <w:t xml:space="preserve">terms of domestic financial conditions, several board directors expressed their views about housing market developments and credit risk associated with real estate lending. </w:t>
      </w:r>
      <w:r w:rsidR="00023910">
        <w:rPr>
          <w:rFonts w:ascii="Times New Roman" w:eastAsia="標楷體" w:hint="eastAsia"/>
          <w:spacing w:val="-2"/>
          <w:sz w:val="24"/>
          <w:szCs w:val="28"/>
        </w:rPr>
        <w:t xml:space="preserve">One board director </w:t>
      </w:r>
      <w:r w:rsidR="00E70155">
        <w:rPr>
          <w:rFonts w:ascii="Times New Roman" w:eastAsia="標楷體" w:hint="eastAsia"/>
          <w:spacing w:val="-2"/>
          <w:sz w:val="24"/>
          <w:szCs w:val="28"/>
        </w:rPr>
        <w:t>pointed out</w:t>
      </w:r>
      <w:r w:rsidR="00023910">
        <w:rPr>
          <w:rFonts w:ascii="Times New Roman" w:eastAsia="標楷體" w:hint="eastAsia"/>
          <w:spacing w:val="-2"/>
          <w:sz w:val="24"/>
          <w:szCs w:val="28"/>
        </w:rPr>
        <w:t xml:space="preserve"> that </w:t>
      </w:r>
      <w:r w:rsidR="00E70155">
        <w:rPr>
          <w:rFonts w:ascii="Times New Roman" w:eastAsia="標楷體" w:hint="eastAsia"/>
          <w:spacing w:val="-2"/>
          <w:sz w:val="24"/>
          <w:szCs w:val="28"/>
        </w:rPr>
        <w:t>while housing transactions have increased in recent years, the property market saw a shift in the composition of homebuyers from owner-occupants being the majority to individual investors for long-term asset allocation purposes; in addition</w:t>
      </w:r>
      <w:r w:rsidR="00E20EE3">
        <w:rPr>
          <w:rFonts w:ascii="Times New Roman" w:eastAsia="標楷體" w:hint="eastAsia"/>
          <w:spacing w:val="-2"/>
          <w:sz w:val="24"/>
          <w:szCs w:val="28"/>
        </w:rPr>
        <w:t xml:space="preserve">, </w:t>
      </w:r>
      <w:r w:rsidR="00E70155">
        <w:rPr>
          <w:rFonts w:ascii="Times New Roman" w:eastAsia="標楷體" w:hint="eastAsia"/>
          <w:spacing w:val="-2"/>
          <w:sz w:val="24"/>
          <w:szCs w:val="28"/>
        </w:rPr>
        <w:t xml:space="preserve">there was no sight of </w:t>
      </w:r>
      <w:r w:rsidR="00E20EE3">
        <w:rPr>
          <w:rFonts w:ascii="Times New Roman" w:eastAsia="標楷體" w:hint="eastAsia"/>
          <w:spacing w:val="-2"/>
          <w:sz w:val="24"/>
          <w:szCs w:val="28"/>
        </w:rPr>
        <w:t>a surge in</w:t>
      </w:r>
      <w:r w:rsidR="00B924F7">
        <w:rPr>
          <w:rFonts w:ascii="Times New Roman" w:eastAsia="標楷體" w:hint="eastAsia"/>
          <w:spacing w:val="-2"/>
          <w:sz w:val="24"/>
          <w:szCs w:val="28"/>
        </w:rPr>
        <w:t xml:space="preserve"> the number of</w:t>
      </w:r>
      <w:r w:rsidR="00E20EE3">
        <w:rPr>
          <w:rFonts w:ascii="Times New Roman" w:eastAsia="標楷體" w:hint="eastAsia"/>
          <w:spacing w:val="-2"/>
          <w:sz w:val="24"/>
          <w:szCs w:val="28"/>
        </w:rPr>
        <w:t xml:space="preserve"> </w:t>
      </w:r>
      <w:r w:rsidR="00E70155">
        <w:rPr>
          <w:rFonts w:ascii="Times New Roman" w:eastAsia="標楷體" w:hint="eastAsia"/>
          <w:spacing w:val="-2"/>
          <w:sz w:val="24"/>
          <w:szCs w:val="28"/>
        </w:rPr>
        <w:t>speculative</w:t>
      </w:r>
      <w:r w:rsidR="00E20EE3">
        <w:rPr>
          <w:rFonts w:ascii="Times New Roman" w:eastAsia="標楷體" w:hint="eastAsia"/>
          <w:spacing w:val="-2"/>
          <w:sz w:val="24"/>
          <w:szCs w:val="28"/>
        </w:rPr>
        <w:t xml:space="preserve"> property investors. </w:t>
      </w:r>
      <w:r w:rsidR="00C07401">
        <w:rPr>
          <w:rFonts w:ascii="Times New Roman" w:eastAsia="標楷體" w:hint="eastAsia"/>
          <w:spacing w:val="-2"/>
          <w:sz w:val="24"/>
          <w:szCs w:val="28"/>
        </w:rPr>
        <w:t xml:space="preserve">Housing prices had risen mildly since 2017 and was expected to pick up faster in the second half of the year. However, given a </w:t>
      </w:r>
      <w:r w:rsidR="008D65ED">
        <w:rPr>
          <w:rFonts w:ascii="Times New Roman" w:eastAsia="標楷體" w:hint="eastAsia"/>
          <w:spacing w:val="-2"/>
          <w:sz w:val="24"/>
          <w:szCs w:val="28"/>
        </w:rPr>
        <w:t>large stock</w:t>
      </w:r>
      <w:r w:rsidR="00C07401">
        <w:rPr>
          <w:rFonts w:ascii="Times New Roman" w:eastAsia="標楷體" w:hint="eastAsia"/>
          <w:spacing w:val="-2"/>
          <w:sz w:val="24"/>
          <w:szCs w:val="28"/>
        </w:rPr>
        <w:t xml:space="preserve"> of vacant-for-sale housing units nationwide and the time needed to reduce it, housing prices </w:t>
      </w:r>
      <w:r w:rsidR="006114C1">
        <w:rPr>
          <w:rFonts w:ascii="Times New Roman" w:eastAsia="標楷體" w:hint="eastAsia"/>
          <w:spacing w:val="-2"/>
          <w:sz w:val="24"/>
          <w:szCs w:val="28"/>
        </w:rPr>
        <w:t>would not be spiraling upwards anytime soon</w:t>
      </w:r>
      <w:r w:rsidR="00C07401">
        <w:rPr>
          <w:rFonts w:ascii="Times New Roman" w:eastAsia="標楷體" w:hint="eastAsia"/>
          <w:spacing w:val="-2"/>
          <w:sz w:val="24"/>
          <w:szCs w:val="28"/>
        </w:rPr>
        <w:t xml:space="preserve">. </w:t>
      </w:r>
      <w:r w:rsidR="006114C1">
        <w:rPr>
          <w:rFonts w:ascii="Times New Roman" w:eastAsia="標楷體" w:hint="eastAsia"/>
          <w:spacing w:val="-2"/>
          <w:sz w:val="24"/>
          <w:szCs w:val="28"/>
        </w:rPr>
        <w:t xml:space="preserve"> Meanwhile, transactions of commercial property and land had soared since the </w:t>
      </w:r>
      <w:r w:rsidR="006114C1">
        <w:rPr>
          <w:rFonts w:ascii="Times New Roman" w:eastAsia="標楷體"/>
          <w:spacing w:val="-2"/>
          <w:sz w:val="24"/>
          <w:szCs w:val="28"/>
        </w:rPr>
        <w:t>beginning</w:t>
      </w:r>
      <w:r w:rsidR="006114C1">
        <w:rPr>
          <w:rFonts w:ascii="Times New Roman" w:eastAsia="標楷體" w:hint="eastAsia"/>
          <w:spacing w:val="-2"/>
          <w:sz w:val="24"/>
          <w:szCs w:val="28"/>
        </w:rPr>
        <w:t xml:space="preserve"> of the year, and high-value r</w:t>
      </w:r>
      <w:r w:rsidR="00AC3A3E">
        <w:rPr>
          <w:rFonts w:ascii="Times New Roman" w:eastAsia="標楷體" w:hint="eastAsia"/>
          <w:spacing w:val="-2"/>
          <w:sz w:val="24"/>
          <w:szCs w:val="28"/>
        </w:rPr>
        <w:t>esidential property had posted greater</w:t>
      </w:r>
      <w:r w:rsidR="006114C1">
        <w:rPr>
          <w:rFonts w:ascii="Times New Roman" w:eastAsia="標楷體" w:hint="eastAsia"/>
          <w:spacing w:val="-2"/>
          <w:sz w:val="24"/>
          <w:szCs w:val="28"/>
        </w:rPr>
        <w:t xml:space="preserve"> pric</w:t>
      </w:r>
      <w:r w:rsidR="00AC3A3E">
        <w:rPr>
          <w:rFonts w:ascii="Times New Roman" w:eastAsia="標楷體" w:hint="eastAsia"/>
          <w:spacing w:val="-2"/>
          <w:sz w:val="24"/>
          <w:szCs w:val="28"/>
        </w:rPr>
        <w:t xml:space="preserve">e increases; it is therefore important to monitor if there is speculative activity in commercial property and high-value housing. Nevertheless, </w:t>
      </w:r>
      <w:r w:rsidR="008D65ED">
        <w:rPr>
          <w:rFonts w:ascii="Times New Roman" w:eastAsia="標楷體" w:hint="eastAsia"/>
          <w:spacing w:val="-2"/>
          <w:sz w:val="24"/>
          <w:szCs w:val="28"/>
        </w:rPr>
        <w:t xml:space="preserve">since </w:t>
      </w:r>
      <w:r w:rsidR="00AC3A3E">
        <w:rPr>
          <w:rFonts w:ascii="Times New Roman" w:eastAsia="標楷體" w:hint="eastAsia"/>
          <w:spacing w:val="-2"/>
          <w:sz w:val="24"/>
          <w:szCs w:val="28"/>
        </w:rPr>
        <w:t xml:space="preserve">the amount and the ratio of non-performing mortgage loans did not </w:t>
      </w:r>
      <w:proofErr w:type="gramStart"/>
      <w:r w:rsidR="008D65ED">
        <w:rPr>
          <w:rFonts w:ascii="Times New Roman" w:eastAsia="標楷體" w:hint="eastAsia"/>
          <w:spacing w:val="-2"/>
          <w:sz w:val="24"/>
          <w:szCs w:val="28"/>
        </w:rPr>
        <w:t>rise</w:t>
      </w:r>
      <w:proofErr w:type="gramEnd"/>
      <w:r w:rsidR="008D65ED">
        <w:rPr>
          <w:rFonts w:ascii="Times New Roman" w:eastAsia="標楷體" w:hint="eastAsia"/>
          <w:spacing w:val="-2"/>
          <w:sz w:val="24"/>
          <w:szCs w:val="28"/>
        </w:rPr>
        <w:t xml:space="preserve"> sharply, </w:t>
      </w:r>
      <w:r w:rsidR="00CD223F">
        <w:rPr>
          <w:rFonts w:ascii="Times New Roman" w:eastAsia="標楷體" w:hint="eastAsia"/>
          <w:spacing w:val="-2"/>
          <w:sz w:val="24"/>
          <w:szCs w:val="28"/>
        </w:rPr>
        <w:t>housing market developments remained a minor risk factor for banks</w:t>
      </w:r>
      <w:r w:rsidR="00CD223F">
        <w:rPr>
          <w:rFonts w:ascii="Times New Roman" w:eastAsia="標楷體"/>
          <w:spacing w:val="-2"/>
          <w:sz w:val="24"/>
          <w:szCs w:val="28"/>
        </w:rPr>
        <w:t>’</w:t>
      </w:r>
      <w:r w:rsidR="00CD223F">
        <w:rPr>
          <w:rFonts w:ascii="Times New Roman" w:eastAsia="標楷體" w:hint="eastAsia"/>
          <w:spacing w:val="-2"/>
          <w:sz w:val="24"/>
          <w:szCs w:val="28"/>
        </w:rPr>
        <w:t xml:space="preserve"> loan books. </w:t>
      </w:r>
    </w:p>
    <w:p w:rsidR="00887C8B" w:rsidRDefault="007D676A" w:rsidP="007D676A">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 xml:space="preserve">Another board director noted a continuing uptrend since 2017 in the annual growth rates of real estate lending, </w:t>
      </w:r>
      <w:r>
        <w:rPr>
          <w:rFonts w:ascii="Times New Roman" w:eastAsia="標楷體"/>
          <w:spacing w:val="-2"/>
          <w:sz w:val="24"/>
          <w:szCs w:val="28"/>
        </w:rPr>
        <w:t>construction</w:t>
      </w:r>
      <w:r>
        <w:rPr>
          <w:rFonts w:ascii="Times New Roman" w:eastAsia="標楷體" w:hint="eastAsia"/>
          <w:spacing w:val="-2"/>
          <w:sz w:val="24"/>
          <w:szCs w:val="28"/>
        </w:rPr>
        <w:t xml:space="preserve"> licenses issued</w:t>
      </w:r>
      <w:r w:rsidR="00980794">
        <w:rPr>
          <w:rFonts w:ascii="Times New Roman" w:eastAsia="標楷體" w:hint="eastAsia"/>
          <w:spacing w:val="-2"/>
          <w:sz w:val="24"/>
          <w:szCs w:val="28"/>
        </w:rPr>
        <w:t>,</w:t>
      </w:r>
      <w:r>
        <w:rPr>
          <w:rFonts w:ascii="Times New Roman" w:eastAsia="標楷體" w:hint="eastAsia"/>
          <w:spacing w:val="-2"/>
          <w:sz w:val="24"/>
          <w:szCs w:val="28"/>
        </w:rPr>
        <w:t xml:space="preserve"> and construction loans. </w:t>
      </w:r>
      <w:r w:rsidR="001E6FA8">
        <w:rPr>
          <w:rFonts w:ascii="Times New Roman" w:eastAsia="標楷體" w:hint="eastAsia"/>
          <w:spacing w:val="-2"/>
          <w:sz w:val="24"/>
          <w:szCs w:val="28"/>
        </w:rPr>
        <w:t>T</w:t>
      </w:r>
      <w:r>
        <w:rPr>
          <w:rFonts w:ascii="Times New Roman" w:eastAsia="標楷體" w:hint="eastAsia"/>
          <w:spacing w:val="-2"/>
          <w:sz w:val="24"/>
          <w:szCs w:val="28"/>
        </w:rPr>
        <w:t>he asset quality of banks</w:t>
      </w:r>
      <w:r>
        <w:rPr>
          <w:rFonts w:ascii="Times New Roman" w:eastAsia="標楷體"/>
          <w:spacing w:val="-2"/>
          <w:sz w:val="24"/>
          <w:szCs w:val="28"/>
        </w:rPr>
        <w:t>’</w:t>
      </w:r>
      <w:r>
        <w:rPr>
          <w:rFonts w:ascii="Times New Roman" w:eastAsia="標楷體" w:hint="eastAsia"/>
          <w:spacing w:val="-2"/>
          <w:sz w:val="24"/>
          <w:szCs w:val="28"/>
        </w:rPr>
        <w:t xml:space="preserve"> mortgages </w:t>
      </w:r>
      <w:r w:rsidR="007675FD">
        <w:rPr>
          <w:rFonts w:ascii="Times New Roman" w:eastAsia="標楷體" w:hint="eastAsia"/>
          <w:spacing w:val="-2"/>
          <w:sz w:val="24"/>
          <w:szCs w:val="28"/>
        </w:rPr>
        <w:t>monitored by the Bank remained good</w:t>
      </w:r>
      <w:r w:rsidR="00980794">
        <w:rPr>
          <w:rFonts w:ascii="Times New Roman" w:eastAsia="標楷體" w:hint="eastAsia"/>
          <w:spacing w:val="-2"/>
          <w:sz w:val="24"/>
          <w:szCs w:val="28"/>
        </w:rPr>
        <w:t xml:space="preserve"> </w:t>
      </w:r>
      <w:r w:rsidR="001E6FA8">
        <w:rPr>
          <w:rFonts w:ascii="Times New Roman" w:eastAsia="標楷體" w:hint="eastAsia"/>
          <w:spacing w:val="-2"/>
          <w:sz w:val="24"/>
          <w:szCs w:val="28"/>
        </w:rPr>
        <w:t>so far;</w:t>
      </w:r>
      <w:r w:rsidR="00980794">
        <w:rPr>
          <w:rFonts w:ascii="Times New Roman" w:eastAsia="標楷體" w:hint="eastAsia"/>
          <w:spacing w:val="-2"/>
          <w:sz w:val="24"/>
          <w:szCs w:val="28"/>
        </w:rPr>
        <w:t xml:space="preserve"> </w:t>
      </w:r>
      <w:r w:rsidR="001E6FA8">
        <w:rPr>
          <w:rFonts w:ascii="Times New Roman" w:eastAsia="標楷體" w:hint="eastAsia"/>
          <w:spacing w:val="-2"/>
          <w:sz w:val="24"/>
          <w:szCs w:val="28"/>
        </w:rPr>
        <w:t>while</w:t>
      </w:r>
      <w:r w:rsidR="00980794">
        <w:rPr>
          <w:rFonts w:ascii="Times New Roman" w:eastAsia="標楷體" w:hint="eastAsia"/>
          <w:spacing w:val="-2"/>
          <w:sz w:val="24"/>
          <w:szCs w:val="28"/>
        </w:rPr>
        <w:t xml:space="preserve"> the non-performing ratio was low, </w:t>
      </w:r>
      <w:r w:rsidR="001E6FA8">
        <w:rPr>
          <w:rFonts w:ascii="Times New Roman" w:eastAsia="標楷體" w:hint="eastAsia"/>
          <w:spacing w:val="-2"/>
          <w:sz w:val="24"/>
          <w:szCs w:val="28"/>
        </w:rPr>
        <w:t>it was a lagging indicator. This board director also called for attention to a potential rise in the numbers of vacant units and vacant-for-sale units</w:t>
      </w:r>
      <w:r w:rsidR="0042403A">
        <w:rPr>
          <w:rFonts w:ascii="Times New Roman" w:eastAsia="標楷體" w:hint="eastAsia"/>
          <w:spacing w:val="-2"/>
          <w:sz w:val="24"/>
          <w:szCs w:val="28"/>
        </w:rPr>
        <w:t xml:space="preserve">, citing the already </w:t>
      </w:r>
      <w:r w:rsidR="002741FE">
        <w:rPr>
          <w:rFonts w:ascii="Times New Roman" w:eastAsia="標楷體" w:hint="eastAsia"/>
          <w:spacing w:val="-2"/>
          <w:sz w:val="24"/>
          <w:szCs w:val="28"/>
        </w:rPr>
        <w:t xml:space="preserve">sizable inventory of these units and the increasing supply of homes amid the recent housing market recovery. </w:t>
      </w:r>
      <w:r w:rsidR="00887C8B">
        <w:rPr>
          <w:rFonts w:ascii="Times New Roman" w:eastAsia="標楷體"/>
          <w:spacing w:val="-2"/>
          <w:sz w:val="24"/>
          <w:szCs w:val="28"/>
        </w:rPr>
        <w:t>W</w:t>
      </w:r>
      <w:r w:rsidR="00887C8B">
        <w:rPr>
          <w:rFonts w:ascii="Times New Roman" w:eastAsia="標楷體" w:hint="eastAsia"/>
          <w:spacing w:val="-2"/>
          <w:sz w:val="24"/>
          <w:szCs w:val="28"/>
        </w:rPr>
        <w:t>hile the soundness of banks</w:t>
      </w:r>
      <w:r w:rsidR="00887C8B">
        <w:rPr>
          <w:rFonts w:ascii="Times New Roman" w:eastAsia="標楷體"/>
          <w:spacing w:val="-2"/>
          <w:sz w:val="24"/>
          <w:szCs w:val="28"/>
        </w:rPr>
        <w:t>’</w:t>
      </w:r>
      <w:r w:rsidR="00887C8B">
        <w:rPr>
          <w:rFonts w:ascii="Times New Roman" w:eastAsia="標楷體" w:hint="eastAsia"/>
          <w:spacing w:val="-2"/>
          <w:sz w:val="24"/>
          <w:szCs w:val="28"/>
        </w:rPr>
        <w:t xml:space="preserve"> lending </w:t>
      </w:r>
      <w:r w:rsidR="008D58BF">
        <w:rPr>
          <w:rFonts w:ascii="Times New Roman" w:eastAsia="標楷體" w:hint="eastAsia"/>
          <w:spacing w:val="-2"/>
          <w:sz w:val="24"/>
          <w:szCs w:val="28"/>
        </w:rPr>
        <w:t>is the mission and focus of the Bank</w:t>
      </w:r>
      <w:r w:rsidR="008D58BF">
        <w:rPr>
          <w:rFonts w:ascii="Times New Roman" w:eastAsia="標楷體"/>
          <w:spacing w:val="-2"/>
          <w:sz w:val="24"/>
          <w:szCs w:val="28"/>
        </w:rPr>
        <w:t>,</w:t>
      </w:r>
      <w:r w:rsidR="009A2E4A">
        <w:rPr>
          <w:rFonts w:ascii="Times New Roman" w:eastAsia="標楷體"/>
          <w:spacing w:val="-2"/>
          <w:sz w:val="24"/>
          <w:szCs w:val="28"/>
        </w:rPr>
        <w:t xml:space="preserve"> the </w:t>
      </w:r>
      <w:r w:rsidR="009A2E4A">
        <w:rPr>
          <w:rFonts w:ascii="Times New Roman" w:eastAsia="標楷體" w:hint="eastAsia"/>
          <w:spacing w:val="-2"/>
          <w:sz w:val="24"/>
          <w:szCs w:val="28"/>
        </w:rPr>
        <w:t>issues of</w:t>
      </w:r>
      <w:r w:rsidR="009A2E4A">
        <w:rPr>
          <w:rFonts w:ascii="Times New Roman" w:eastAsia="標楷體"/>
          <w:spacing w:val="-2"/>
          <w:sz w:val="24"/>
          <w:szCs w:val="28"/>
        </w:rPr>
        <w:t xml:space="preserve"> </w:t>
      </w:r>
      <w:r w:rsidR="009A2E4A">
        <w:rPr>
          <w:rFonts w:ascii="Times New Roman" w:eastAsia="標楷體" w:hint="eastAsia"/>
          <w:spacing w:val="-2"/>
          <w:sz w:val="24"/>
          <w:szCs w:val="28"/>
        </w:rPr>
        <w:t xml:space="preserve">the </w:t>
      </w:r>
      <w:r w:rsidR="009A2E4A">
        <w:rPr>
          <w:rFonts w:ascii="Times New Roman" w:eastAsia="標楷體"/>
          <w:spacing w:val="-2"/>
          <w:sz w:val="24"/>
          <w:szCs w:val="28"/>
        </w:rPr>
        <w:t xml:space="preserve">real estate market </w:t>
      </w:r>
      <w:r w:rsidR="00CD57DD">
        <w:rPr>
          <w:rFonts w:ascii="Times New Roman" w:eastAsia="標楷體" w:hint="eastAsia"/>
          <w:spacing w:val="-2"/>
          <w:sz w:val="24"/>
          <w:szCs w:val="28"/>
        </w:rPr>
        <w:t xml:space="preserve">as a whole would rely on the work of relevant authorities and agencies with </w:t>
      </w:r>
      <w:r w:rsidR="00CD57DD">
        <w:rPr>
          <w:rFonts w:ascii="Times New Roman" w:eastAsia="標楷體" w:hint="eastAsia"/>
          <w:spacing w:val="-2"/>
          <w:sz w:val="24"/>
          <w:szCs w:val="28"/>
        </w:rPr>
        <w:lastRenderedPageBreak/>
        <w:t xml:space="preserve">concerted policy efforts. </w:t>
      </w:r>
    </w:p>
    <w:p w:rsidR="00986763" w:rsidRDefault="0073092A" w:rsidP="00986763">
      <w:pPr>
        <w:pStyle w:val="6"/>
        <w:overflowPunct w:val="0"/>
        <w:snapToGrid w:val="0"/>
        <w:spacing w:after="0" w:line="440" w:lineRule="exact"/>
        <w:ind w:left="0" w:firstLineChars="200" w:firstLine="472"/>
        <w:textDirection w:val="lrTbV"/>
        <w:rPr>
          <w:rFonts w:ascii="Times New Roman" w:eastAsia="標楷體"/>
          <w:spacing w:val="-2"/>
          <w:sz w:val="24"/>
          <w:szCs w:val="28"/>
        </w:rPr>
      </w:pPr>
      <w:r>
        <w:rPr>
          <w:rFonts w:ascii="Times New Roman" w:eastAsia="標楷體" w:hint="eastAsia"/>
          <w:spacing w:val="-2"/>
          <w:sz w:val="24"/>
          <w:szCs w:val="28"/>
        </w:rPr>
        <w:t>On</w:t>
      </w:r>
      <w:r w:rsidR="00B76313">
        <w:rPr>
          <w:rFonts w:ascii="Times New Roman" w:eastAsia="標楷體" w:hint="eastAsia"/>
          <w:spacing w:val="-2"/>
          <w:sz w:val="24"/>
          <w:szCs w:val="28"/>
        </w:rPr>
        <w:t xml:space="preserve">e board director gave the opinion that, </w:t>
      </w:r>
      <w:r w:rsidR="008B257A">
        <w:rPr>
          <w:rFonts w:ascii="Times New Roman" w:eastAsia="標楷體" w:hint="eastAsia"/>
          <w:spacing w:val="-2"/>
          <w:sz w:val="24"/>
          <w:szCs w:val="28"/>
        </w:rPr>
        <w:t>in light of</w:t>
      </w:r>
      <w:r w:rsidR="00B76313">
        <w:rPr>
          <w:rFonts w:ascii="Times New Roman" w:eastAsia="標楷體" w:hint="eastAsia"/>
          <w:spacing w:val="-2"/>
          <w:sz w:val="24"/>
          <w:szCs w:val="28"/>
        </w:rPr>
        <w:t xml:space="preserve"> a more </w:t>
      </w:r>
      <w:r w:rsidR="004A31B9">
        <w:rPr>
          <w:rFonts w:ascii="Times New Roman" w:eastAsia="標楷體" w:hint="eastAsia"/>
          <w:spacing w:val="-2"/>
          <w:sz w:val="24"/>
          <w:szCs w:val="28"/>
        </w:rPr>
        <w:t xml:space="preserve">noticeable </w:t>
      </w:r>
      <w:r w:rsidR="00B76313">
        <w:rPr>
          <w:rFonts w:ascii="Times New Roman" w:eastAsia="標楷體" w:hint="eastAsia"/>
          <w:spacing w:val="-2"/>
          <w:sz w:val="24"/>
          <w:szCs w:val="28"/>
        </w:rPr>
        <w:t xml:space="preserve">rise in high-value housing prices, the Bank should keep close watch of the developments and implement </w:t>
      </w:r>
      <w:proofErr w:type="spellStart"/>
      <w:r w:rsidR="00B76313">
        <w:rPr>
          <w:rFonts w:ascii="Times New Roman" w:eastAsia="標楷體" w:hint="eastAsia"/>
          <w:spacing w:val="-2"/>
          <w:sz w:val="24"/>
          <w:szCs w:val="28"/>
        </w:rPr>
        <w:t>macroprudential</w:t>
      </w:r>
      <w:proofErr w:type="spellEnd"/>
      <w:r w:rsidR="00B76313">
        <w:rPr>
          <w:rFonts w:ascii="Times New Roman" w:eastAsia="標楷體" w:hint="eastAsia"/>
          <w:spacing w:val="-2"/>
          <w:sz w:val="24"/>
          <w:szCs w:val="28"/>
        </w:rPr>
        <w:t xml:space="preserve"> policy tools such as selective credit controls</w:t>
      </w:r>
      <w:r w:rsidR="008B257A">
        <w:rPr>
          <w:rFonts w:ascii="Times New Roman" w:eastAsia="標楷體" w:hint="eastAsia"/>
          <w:spacing w:val="-2"/>
          <w:sz w:val="24"/>
          <w:szCs w:val="28"/>
        </w:rPr>
        <w:t xml:space="preserve"> if necessary</w:t>
      </w:r>
      <w:r w:rsidR="00B76313">
        <w:rPr>
          <w:rFonts w:ascii="Times New Roman" w:eastAsia="標楷體" w:hint="eastAsia"/>
          <w:spacing w:val="-2"/>
          <w:sz w:val="24"/>
          <w:szCs w:val="28"/>
        </w:rPr>
        <w:t xml:space="preserve">. </w:t>
      </w:r>
      <w:r w:rsidR="008B257A">
        <w:rPr>
          <w:rFonts w:ascii="Times New Roman" w:eastAsia="標楷體" w:hint="eastAsia"/>
          <w:spacing w:val="-2"/>
          <w:sz w:val="24"/>
          <w:szCs w:val="28"/>
        </w:rPr>
        <w:t>Another board director also called for attention to the housing market</w:t>
      </w:r>
      <w:r w:rsidR="00385C5F">
        <w:rPr>
          <w:rFonts w:ascii="Times New Roman" w:eastAsia="標楷體" w:hint="eastAsia"/>
          <w:spacing w:val="-2"/>
          <w:sz w:val="24"/>
          <w:szCs w:val="28"/>
        </w:rPr>
        <w:t xml:space="preserve"> </w:t>
      </w:r>
      <w:r w:rsidR="00E82114">
        <w:rPr>
          <w:rFonts w:ascii="Times New Roman" w:eastAsia="標楷體" w:hint="eastAsia"/>
          <w:spacing w:val="-2"/>
          <w:sz w:val="24"/>
          <w:szCs w:val="28"/>
        </w:rPr>
        <w:t xml:space="preserve">and pointed to </w:t>
      </w:r>
      <w:r w:rsidR="00385C5F">
        <w:rPr>
          <w:rFonts w:ascii="Times New Roman" w:eastAsia="標楷體" w:hint="eastAsia"/>
          <w:spacing w:val="-2"/>
          <w:sz w:val="24"/>
          <w:szCs w:val="28"/>
        </w:rPr>
        <w:t>the likely</w:t>
      </w:r>
      <w:r w:rsidR="00E82114">
        <w:rPr>
          <w:rFonts w:ascii="Times New Roman" w:eastAsia="標楷體" w:hint="eastAsia"/>
          <w:spacing w:val="-2"/>
          <w:sz w:val="24"/>
          <w:szCs w:val="28"/>
        </w:rPr>
        <w:t xml:space="preserve"> effects from the newly-enforced </w:t>
      </w:r>
      <w:r w:rsidR="00E82114" w:rsidRPr="00E82114">
        <w:rPr>
          <w:rFonts w:ascii="Times New Roman" w:eastAsia="標楷體"/>
          <w:i/>
          <w:spacing w:val="-2"/>
          <w:sz w:val="24"/>
          <w:szCs w:val="28"/>
        </w:rPr>
        <w:t>Management, Utilization, and Taxation of Repatriated Offshore Funds Act</w:t>
      </w:r>
      <w:r w:rsidR="00E82114">
        <w:rPr>
          <w:rFonts w:ascii="Times New Roman" w:eastAsia="標楷體" w:hint="eastAsia"/>
          <w:spacing w:val="-2"/>
          <w:sz w:val="24"/>
          <w:szCs w:val="28"/>
        </w:rPr>
        <w:t xml:space="preserve">, stating that the law, </w:t>
      </w:r>
      <w:r w:rsidR="00986763">
        <w:rPr>
          <w:rFonts w:ascii="Times New Roman" w:eastAsia="標楷體" w:hint="eastAsia"/>
          <w:spacing w:val="-2"/>
          <w:sz w:val="24"/>
          <w:szCs w:val="28"/>
        </w:rPr>
        <w:t>though carrying</w:t>
      </w:r>
      <w:r w:rsidR="00E82114">
        <w:rPr>
          <w:rFonts w:ascii="Times New Roman" w:eastAsia="標楷體" w:hint="eastAsia"/>
          <w:spacing w:val="-2"/>
          <w:sz w:val="24"/>
          <w:szCs w:val="28"/>
        </w:rPr>
        <w:t xml:space="preserve"> </w:t>
      </w:r>
      <w:r w:rsidR="00385C5F">
        <w:rPr>
          <w:rFonts w:ascii="Times New Roman" w:eastAsia="標楷體" w:hint="eastAsia"/>
          <w:spacing w:val="-2"/>
          <w:sz w:val="24"/>
          <w:szCs w:val="28"/>
        </w:rPr>
        <w:t xml:space="preserve">a limited influence in the short term, might </w:t>
      </w:r>
      <w:r w:rsidR="00986763">
        <w:rPr>
          <w:rFonts w:ascii="Times New Roman" w:eastAsia="標楷體" w:hint="eastAsia"/>
          <w:spacing w:val="-2"/>
          <w:sz w:val="24"/>
          <w:szCs w:val="28"/>
        </w:rPr>
        <w:t xml:space="preserve">exert a greater impact on the housing market five years from now </w:t>
      </w:r>
      <w:r w:rsidR="00986763">
        <w:rPr>
          <w:rFonts w:ascii="Times New Roman" w:eastAsia="標楷體"/>
          <w:spacing w:val="-2"/>
          <w:sz w:val="24"/>
          <w:szCs w:val="28"/>
        </w:rPr>
        <w:t>–</w:t>
      </w:r>
      <w:r w:rsidR="00986763">
        <w:rPr>
          <w:rFonts w:ascii="Times New Roman" w:eastAsia="標楷體" w:hint="eastAsia"/>
          <w:spacing w:val="-2"/>
          <w:sz w:val="24"/>
          <w:szCs w:val="28"/>
        </w:rPr>
        <w:t xml:space="preserve"> when the ban on buying homes with repatriated funds is lifted.</w:t>
      </w:r>
      <w:r w:rsidR="00986763" w:rsidRPr="004823B0">
        <w:rPr>
          <w:rFonts w:ascii="Times New Roman" w:eastAsia="標楷體" w:hint="eastAsia"/>
          <w:spacing w:val="-2"/>
          <w:sz w:val="24"/>
          <w:szCs w:val="28"/>
        </w:rPr>
        <w:t xml:space="preserve"> </w:t>
      </w:r>
      <w:r w:rsidR="00986763">
        <w:rPr>
          <w:rFonts w:ascii="Times New Roman" w:eastAsia="標楷體" w:hint="eastAsia"/>
          <w:spacing w:val="-2"/>
          <w:sz w:val="24"/>
          <w:szCs w:val="28"/>
        </w:rPr>
        <w:t xml:space="preserve">Therefore, the relevant </w:t>
      </w:r>
      <w:r w:rsidR="00986763">
        <w:rPr>
          <w:rFonts w:ascii="Times New Roman" w:eastAsia="標楷體"/>
          <w:spacing w:val="-2"/>
          <w:sz w:val="24"/>
          <w:szCs w:val="28"/>
        </w:rPr>
        <w:t>authority</w:t>
      </w:r>
      <w:r w:rsidR="00986763">
        <w:rPr>
          <w:rFonts w:ascii="Times New Roman" w:eastAsia="標楷體" w:hint="eastAsia"/>
          <w:spacing w:val="-2"/>
          <w:sz w:val="24"/>
          <w:szCs w:val="28"/>
        </w:rPr>
        <w:t xml:space="preserve"> might consider deploying </w:t>
      </w:r>
      <w:proofErr w:type="spellStart"/>
      <w:r w:rsidR="00986763">
        <w:rPr>
          <w:rFonts w:ascii="Times New Roman" w:eastAsia="標楷體" w:hint="eastAsia"/>
          <w:spacing w:val="-2"/>
          <w:sz w:val="24"/>
          <w:szCs w:val="28"/>
        </w:rPr>
        <w:t>macroprudential</w:t>
      </w:r>
      <w:proofErr w:type="spellEnd"/>
      <w:r w:rsidR="00986763">
        <w:rPr>
          <w:rFonts w:ascii="Times New Roman" w:eastAsia="標楷體" w:hint="eastAsia"/>
          <w:spacing w:val="-2"/>
          <w:sz w:val="24"/>
          <w:szCs w:val="28"/>
        </w:rPr>
        <w:t xml:space="preserve"> policies to address housing market issues in the future, if needed. </w:t>
      </w:r>
    </w:p>
    <w:p w:rsidR="003044E3" w:rsidRPr="007F6F77" w:rsidRDefault="003044E3" w:rsidP="003044E3">
      <w:pPr>
        <w:adjustRightInd/>
        <w:spacing w:before="120" w:line="440" w:lineRule="exact"/>
        <w:ind w:left="363" w:hangingChars="154" w:hanging="363"/>
        <w:textAlignment w:val="auto"/>
        <w:rPr>
          <w:rFonts w:eastAsia="標楷體"/>
          <w:spacing w:val="-2"/>
          <w:kern w:val="2"/>
          <w:sz w:val="24"/>
          <w:szCs w:val="28"/>
        </w:rPr>
      </w:pPr>
      <w:r w:rsidRPr="007F6F77">
        <w:rPr>
          <w:rFonts w:eastAsia="標楷體" w:hint="eastAsia"/>
          <w:spacing w:val="-2"/>
          <w:kern w:val="2"/>
          <w:sz w:val="24"/>
          <w:szCs w:val="28"/>
        </w:rPr>
        <w:t>(2) Discussion on interest rate decision</w:t>
      </w:r>
    </w:p>
    <w:p w:rsidR="00C63CCD" w:rsidRDefault="00C63CCD" w:rsidP="00C037B1">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All</w:t>
      </w:r>
      <w:r w:rsidR="00C41905" w:rsidRPr="008C5225">
        <w:rPr>
          <w:rFonts w:eastAsia="標楷體" w:hint="eastAsia"/>
          <w:sz w:val="24"/>
          <w:szCs w:val="32"/>
        </w:rPr>
        <w:t xml:space="preserve"> </w:t>
      </w:r>
      <w:r w:rsidR="00A6032A" w:rsidRPr="008C5225">
        <w:rPr>
          <w:rFonts w:eastAsia="標楷體" w:hint="eastAsia"/>
          <w:sz w:val="24"/>
          <w:szCs w:val="32"/>
        </w:rPr>
        <w:t xml:space="preserve">board directors </w:t>
      </w:r>
      <w:r w:rsidR="00B111FC" w:rsidRPr="008C5225">
        <w:rPr>
          <w:rFonts w:eastAsia="標楷體" w:hint="eastAsia"/>
          <w:sz w:val="24"/>
          <w:szCs w:val="32"/>
        </w:rPr>
        <w:t>expr</w:t>
      </w:r>
      <w:r w:rsidR="00B111FC" w:rsidRPr="007F6F77">
        <w:rPr>
          <w:rFonts w:eastAsia="標楷體" w:hint="eastAsia"/>
          <w:sz w:val="24"/>
          <w:szCs w:val="32"/>
        </w:rPr>
        <w:t xml:space="preserve">essed </w:t>
      </w:r>
      <w:r w:rsidR="00AB6995" w:rsidRPr="007F6F77">
        <w:rPr>
          <w:rFonts w:eastAsia="標楷體" w:hint="eastAsia"/>
          <w:sz w:val="24"/>
          <w:szCs w:val="32"/>
        </w:rPr>
        <w:t xml:space="preserve">support for keeping the policy rates unchanged, based mainly on </w:t>
      </w:r>
      <w:r>
        <w:rPr>
          <w:rFonts w:eastAsia="標楷體" w:hint="eastAsia"/>
          <w:sz w:val="24"/>
          <w:szCs w:val="32"/>
        </w:rPr>
        <w:t>the lingering uncertainties over the international economic, trade, and financial prospects, as well as steady economic growth, a mild inflation outlook, and accommodative financial conditions at home. One board director noted that</w:t>
      </w:r>
      <w:r w:rsidR="00446FC6">
        <w:rPr>
          <w:rFonts w:eastAsia="標楷體" w:hint="eastAsia"/>
          <w:sz w:val="24"/>
          <w:szCs w:val="32"/>
        </w:rPr>
        <w:t xml:space="preserve"> recently export growth improved</w:t>
      </w:r>
      <w:r>
        <w:rPr>
          <w:rFonts w:eastAsia="標楷體" w:hint="eastAsia"/>
          <w:sz w:val="24"/>
          <w:szCs w:val="32"/>
        </w:rPr>
        <w:t>, domestic invest</w:t>
      </w:r>
      <w:r w:rsidR="00F97E10">
        <w:rPr>
          <w:rFonts w:eastAsia="標楷體" w:hint="eastAsia"/>
          <w:sz w:val="24"/>
          <w:szCs w:val="32"/>
        </w:rPr>
        <w:t xml:space="preserve">ment and the real estate sector grew vigorously amid a wave of capital repatriation, </w:t>
      </w:r>
      <w:r w:rsidR="009B0AD4">
        <w:rPr>
          <w:rFonts w:eastAsia="標楷體" w:hint="eastAsia"/>
          <w:sz w:val="24"/>
          <w:szCs w:val="32"/>
        </w:rPr>
        <w:t xml:space="preserve">and the forecast for domestic </w:t>
      </w:r>
      <w:r w:rsidR="009B0AD4">
        <w:rPr>
          <w:rFonts w:eastAsia="標楷體"/>
          <w:sz w:val="24"/>
          <w:szCs w:val="32"/>
        </w:rPr>
        <w:t>economic</w:t>
      </w:r>
      <w:r w:rsidR="009B0AD4">
        <w:rPr>
          <w:rFonts w:eastAsia="標楷體" w:hint="eastAsia"/>
          <w:sz w:val="24"/>
          <w:szCs w:val="32"/>
        </w:rPr>
        <w:t xml:space="preserve"> growth was revised upward. As these developments showed that the domestic </w:t>
      </w:r>
      <w:r w:rsidR="009B0AD4">
        <w:rPr>
          <w:rFonts w:eastAsia="標楷體"/>
          <w:sz w:val="24"/>
          <w:szCs w:val="32"/>
        </w:rPr>
        <w:t>economic</w:t>
      </w:r>
      <w:r w:rsidR="009B0AD4">
        <w:rPr>
          <w:rFonts w:eastAsia="標楷體" w:hint="eastAsia"/>
          <w:sz w:val="24"/>
          <w:szCs w:val="32"/>
        </w:rPr>
        <w:t xml:space="preserve"> outlook was cautiously optimistic, a rate cut would seem less appropriate for the time being. Furthermore, there still existed global financial vulnerabilities, uncertainties related to </w:t>
      </w:r>
      <w:r w:rsidR="00C037B1">
        <w:rPr>
          <w:rFonts w:eastAsia="標楷體" w:hint="eastAsia"/>
          <w:sz w:val="24"/>
          <w:szCs w:val="32"/>
        </w:rPr>
        <w:t xml:space="preserve">Brexit and </w:t>
      </w:r>
      <w:r w:rsidR="009B0AD4">
        <w:rPr>
          <w:rFonts w:eastAsia="標楷體" w:hint="eastAsia"/>
          <w:sz w:val="24"/>
          <w:szCs w:val="32"/>
        </w:rPr>
        <w:t xml:space="preserve">the U.S.-China trade spat, </w:t>
      </w:r>
      <w:r w:rsidR="00C037B1">
        <w:rPr>
          <w:rFonts w:eastAsia="標楷體" w:hint="eastAsia"/>
          <w:sz w:val="24"/>
          <w:szCs w:val="32"/>
        </w:rPr>
        <w:t xml:space="preserve">and unabated concerns about </w:t>
      </w:r>
      <w:r w:rsidR="009B0AD4">
        <w:rPr>
          <w:rFonts w:eastAsia="標楷體" w:hint="eastAsia"/>
          <w:sz w:val="24"/>
          <w:szCs w:val="32"/>
        </w:rPr>
        <w:t>short-term international capital</w:t>
      </w:r>
      <w:r w:rsidR="00C037B1">
        <w:rPr>
          <w:rFonts w:eastAsia="標楷體" w:hint="eastAsia"/>
          <w:sz w:val="24"/>
          <w:szCs w:val="32"/>
        </w:rPr>
        <w:t xml:space="preserve"> (</w:t>
      </w:r>
      <w:r w:rsidR="00C037B1">
        <w:rPr>
          <w:rFonts w:eastAsia="標楷體"/>
          <w:sz w:val="24"/>
          <w:szCs w:val="32"/>
        </w:rPr>
        <w:t>“</w:t>
      </w:r>
      <w:r w:rsidR="00C037B1">
        <w:rPr>
          <w:rFonts w:eastAsia="標楷體" w:hint="eastAsia"/>
          <w:sz w:val="24"/>
          <w:szCs w:val="32"/>
        </w:rPr>
        <w:t>hot money</w:t>
      </w:r>
      <w:r w:rsidR="00C037B1">
        <w:rPr>
          <w:rFonts w:eastAsia="標楷體"/>
          <w:sz w:val="24"/>
          <w:szCs w:val="32"/>
        </w:rPr>
        <w:t>”</w:t>
      </w:r>
      <w:r w:rsidR="00C037B1">
        <w:rPr>
          <w:rFonts w:eastAsia="標楷體" w:hint="eastAsia"/>
          <w:sz w:val="24"/>
          <w:szCs w:val="32"/>
        </w:rPr>
        <w:t>)</w:t>
      </w:r>
      <w:r w:rsidR="009B0AD4">
        <w:rPr>
          <w:rFonts w:eastAsia="標楷體" w:hint="eastAsia"/>
          <w:sz w:val="24"/>
          <w:szCs w:val="32"/>
        </w:rPr>
        <w:t xml:space="preserve"> inflows. Against that backdrop, a rate increase could </w:t>
      </w:r>
      <w:r w:rsidR="00C037B1">
        <w:rPr>
          <w:rFonts w:eastAsia="標楷體" w:hint="eastAsia"/>
          <w:sz w:val="24"/>
          <w:szCs w:val="32"/>
        </w:rPr>
        <w:t xml:space="preserve">induce more drastic inflows of </w:t>
      </w:r>
      <w:r w:rsidR="00C037B1">
        <w:rPr>
          <w:rFonts w:eastAsia="標楷體"/>
          <w:sz w:val="24"/>
          <w:szCs w:val="32"/>
        </w:rPr>
        <w:t>“</w:t>
      </w:r>
      <w:r w:rsidR="00C037B1">
        <w:rPr>
          <w:rFonts w:eastAsia="標楷體" w:hint="eastAsia"/>
          <w:sz w:val="24"/>
          <w:szCs w:val="32"/>
        </w:rPr>
        <w:t>hot money.</w:t>
      </w:r>
      <w:r w:rsidR="00C037B1">
        <w:rPr>
          <w:rFonts w:eastAsia="標楷體"/>
          <w:sz w:val="24"/>
          <w:szCs w:val="32"/>
        </w:rPr>
        <w:t>”</w:t>
      </w:r>
      <w:r w:rsidR="00C037B1">
        <w:rPr>
          <w:rFonts w:eastAsia="標楷體" w:hint="eastAsia"/>
          <w:sz w:val="24"/>
          <w:szCs w:val="32"/>
        </w:rPr>
        <w:t xml:space="preserve"> Domestically, low inflation and a still negative output gap</w:t>
      </w:r>
      <w:r w:rsidR="00CD4DC0">
        <w:rPr>
          <w:rFonts w:eastAsia="標楷體" w:hint="eastAsia"/>
          <w:sz w:val="24"/>
          <w:szCs w:val="32"/>
        </w:rPr>
        <w:t xml:space="preserve"> would not warrant a</w:t>
      </w:r>
      <w:r w:rsidR="00C037B1">
        <w:rPr>
          <w:rFonts w:eastAsia="標楷體" w:hint="eastAsia"/>
          <w:sz w:val="24"/>
          <w:szCs w:val="32"/>
        </w:rPr>
        <w:t xml:space="preserve"> rate increase, either. </w:t>
      </w:r>
      <w:r w:rsidR="00CD4DC0">
        <w:rPr>
          <w:rFonts w:eastAsia="標楷體" w:hint="eastAsia"/>
          <w:sz w:val="24"/>
          <w:szCs w:val="32"/>
        </w:rPr>
        <w:t xml:space="preserve">Therefore, the board director contended that a rate hold would be in order. </w:t>
      </w:r>
    </w:p>
    <w:p w:rsidR="00042AB6" w:rsidRDefault="00CD4DC0" w:rsidP="00442AEE">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Another board director shared the view that a rate cut would not be substantiated because recent readings of the domestic economy did not </w:t>
      </w:r>
      <w:r w:rsidR="00442AEE">
        <w:rPr>
          <w:rFonts w:eastAsia="標楷體" w:hint="eastAsia"/>
          <w:sz w:val="24"/>
          <w:szCs w:val="32"/>
        </w:rPr>
        <w:t>indicate</w:t>
      </w:r>
      <w:r>
        <w:rPr>
          <w:rFonts w:eastAsia="標楷體" w:hint="eastAsia"/>
          <w:sz w:val="24"/>
          <w:szCs w:val="32"/>
        </w:rPr>
        <w:t xml:space="preserve"> much change, the negative output gap was expected to widen only modestly, and the banking system held ample liquidity amid accommodative financial conditions at home. In addition, </w:t>
      </w:r>
      <w:r w:rsidR="00442AEE">
        <w:rPr>
          <w:rFonts w:eastAsia="標楷體" w:hint="eastAsia"/>
          <w:sz w:val="24"/>
          <w:szCs w:val="32"/>
        </w:rPr>
        <w:t xml:space="preserve">the U.S. was experiencing a longer expansion period in its </w:t>
      </w:r>
      <w:r w:rsidR="00442AEE" w:rsidRPr="00442AEE">
        <w:rPr>
          <w:rFonts w:eastAsia="標楷體"/>
          <w:sz w:val="24"/>
          <w:szCs w:val="32"/>
        </w:rPr>
        <w:t>business cycle</w:t>
      </w:r>
      <w:r w:rsidR="00442AEE">
        <w:rPr>
          <w:rFonts w:eastAsia="標楷體" w:hint="eastAsia"/>
          <w:sz w:val="24"/>
          <w:szCs w:val="32"/>
        </w:rPr>
        <w:t xml:space="preserve"> since after the subprime mortgage crisis in 2007, while many economic conditions broke with past norms. </w:t>
      </w:r>
      <w:r w:rsidR="001E61C7">
        <w:rPr>
          <w:rFonts w:eastAsia="標楷體" w:hint="eastAsia"/>
          <w:sz w:val="24"/>
          <w:szCs w:val="32"/>
        </w:rPr>
        <w:t>Close a</w:t>
      </w:r>
      <w:r w:rsidR="00D869A7">
        <w:rPr>
          <w:rFonts w:eastAsia="標楷體" w:hint="eastAsia"/>
          <w:sz w:val="24"/>
          <w:szCs w:val="32"/>
        </w:rPr>
        <w:t xml:space="preserve">ttention should be paid to the </w:t>
      </w:r>
      <w:r w:rsidR="00D869A7">
        <w:rPr>
          <w:rFonts w:eastAsia="標楷體" w:hint="eastAsia"/>
          <w:sz w:val="24"/>
          <w:szCs w:val="32"/>
        </w:rPr>
        <w:lastRenderedPageBreak/>
        <w:t xml:space="preserve">turning point when the U.S. growth path reverses. It is also advisable to </w:t>
      </w:r>
      <w:r w:rsidR="001E61C7">
        <w:rPr>
          <w:rFonts w:eastAsia="標楷體" w:hint="eastAsia"/>
          <w:sz w:val="24"/>
          <w:szCs w:val="32"/>
        </w:rPr>
        <w:t xml:space="preserve">pay attention to the policy implications of the nascent new economic thinking and potential responses to address such implications. Given that there seemed no urgency in adopting prevention policy moves, it would be appropriate to keep policy rates on hold. </w:t>
      </w:r>
    </w:p>
    <w:p w:rsidR="001E61C7" w:rsidRDefault="001E61C7" w:rsidP="00442AEE">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 xml:space="preserve">One board director stated that a rate cut would not give much impetus to consumption and investment under the current low-rate environment; therefore, there would be little ground for the policy rates to be reduced. In addition, the domestic inflation was mild, the economic expansion was not strong enough to create inflationary pressures, and the output gap was still negative. It would thus be the best decision to keep policy rates unchanged. </w:t>
      </w:r>
    </w:p>
    <w:p w:rsidR="001E61C7" w:rsidRDefault="001E61C7" w:rsidP="00442AEE">
      <w:pPr>
        <w:adjustRightInd/>
        <w:snapToGrid w:val="0"/>
        <w:spacing w:before="120" w:line="440" w:lineRule="exact"/>
        <w:ind w:firstLineChars="200" w:firstLine="480"/>
        <w:jc w:val="both"/>
        <w:textDirection w:val="lrTbV"/>
        <w:rPr>
          <w:rFonts w:eastAsia="標楷體"/>
          <w:sz w:val="24"/>
          <w:szCs w:val="32"/>
        </w:rPr>
      </w:pPr>
      <w:r>
        <w:rPr>
          <w:rFonts w:eastAsia="標楷體" w:hint="eastAsia"/>
          <w:sz w:val="24"/>
          <w:szCs w:val="32"/>
        </w:rPr>
        <w:t>Another board director pointed out that the forecasting model</w:t>
      </w:r>
      <w:r w:rsidR="004A31B9">
        <w:rPr>
          <w:rFonts w:eastAsia="標楷體"/>
          <w:sz w:val="24"/>
          <w:szCs w:val="32"/>
        </w:rPr>
        <w:t>’</w:t>
      </w:r>
      <w:r w:rsidR="004A31B9">
        <w:rPr>
          <w:rFonts w:eastAsia="標楷體" w:hint="eastAsia"/>
          <w:sz w:val="24"/>
          <w:szCs w:val="32"/>
        </w:rPr>
        <w:t>s</w:t>
      </w:r>
      <w:r>
        <w:rPr>
          <w:rFonts w:eastAsia="標楷體" w:hint="eastAsia"/>
          <w:sz w:val="24"/>
          <w:szCs w:val="32"/>
        </w:rPr>
        <w:t xml:space="preserve"> estimation for Taiwan</w:t>
      </w:r>
      <w:r>
        <w:rPr>
          <w:rFonts w:eastAsia="標楷體"/>
          <w:sz w:val="24"/>
          <w:szCs w:val="32"/>
        </w:rPr>
        <w:t>’</w:t>
      </w:r>
      <w:r>
        <w:rPr>
          <w:rFonts w:eastAsia="標楷體" w:hint="eastAsia"/>
          <w:sz w:val="24"/>
          <w:szCs w:val="32"/>
        </w:rPr>
        <w:t>s economic recession showed that, compared to the previous estimation, the probability for Taiwan</w:t>
      </w:r>
      <w:r>
        <w:rPr>
          <w:rFonts w:eastAsia="標楷體"/>
          <w:sz w:val="24"/>
          <w:szCs w:val="32"/>
        </w:rPr>
        <w:t>’</w:t>
      </w:r>
      <w:r>
        <w:rPr>
          <w:rFonts w:eastAsia="標楷體" w:hint="eastAsia"/>
          <w:sz w:val="24"/>
          <w:szCs w:val="32"/>
        </w:rPr>
        <w:t xml:space="preserve">s economy </w:t>
      </w:r>
      <w:r w:rsidR="004A31B9">
        <w:rPr>
          <w:rFonts w:eastAsia="標楷體" w:hint="eastAsia"/>
          <w:sz w:val="24"/>
          <w:szCs w:val="32"/>
        </w:rPr>
        <w:t>going</w:t>
      </w:r>
      <w:r>
        <w:rPr>
          <w:rFonts w:eastAsia="標楷體" w:hint="eastAsia"/>
          <w:sz w:val="24"/>
          <w:szCs w:val="32"/>
        </w:rPr>
        <w:t xml:space="preserve"> into recession in the next quarter lowered, suggesting there was no need for a rate cut. Monetary policy developments around the world also indicated no urgency for a rate increase. On balance, this board director supported the decision of a rate hold. Another board director </w:t>
      </w:r>
      <w:r w:rsidR="004441DD">
        <w:rPr>
          <w:rFonts w:eastAsia="標楷體" w:hint="eastAsia"/>
          <w:sz w:val="24"/>
          <w:szCs w:val="32"/>
        </w:rPr>
        <w:t xml:space="preserve">shared the view that a stable domestic economy at present meant that a rate cut would not be appropriate for the time being. In terms of </w:t>
      </w:r>
      <w:r w:rsidR="004A31B9">
        <w:rPr>
          <w:rFonts w:eastAsia="標楷體" w:hint="eastAsia"/>
          <w:sz w:val="24"/>
          <w:szCs w:val="32"/>
        </w:rPr>
        <w:t xml:space="preserve">the </w:t>
      </w:r>
      <w:r w:rsidR="004441DD">
        <w:rPr>
          <w:rFonts w:eastAsia="標楷體" w:hint="eastAsia"/>
          <w:sz w:val="24"/>
          <w:szCs w:val="32"/>
        </w:rPr>
        <w:t xml:space="preserve">situation </w:t>
      </w:r>
      <w:r w:rsidR="004441DD">
        <w:rPr>
          <w:rFonts w:eastAsia="標楷體"/>
          <w:sz w:val="24"/>
          <w:szCs w:val="32"/>
        </w:rPr>
        <w:t>abroad</w:t>
      </w:r>
      <w:r w:rsidR="004441DD">
        <w:rPr>
          <w:rFonts w:eastAsia="標楷體" w:hint="eastAsia"/>
          <w:sz w:val="24"/>
          <w:szCs w:val="32"/>
        </w:rPr>
        <w:t xml:space="preserve">, the Federal Reserve already took </w:t>
      </w:r>
      <w:r w:rsidR="004441DD" w:rsidRPr="004441DD">
        <w:rPr>
          <w:rFonts w:eastAsia="標楷體"/>
          <w:sz w:val="24"/>
          <w:szCs w:val="32"/>
        </w:rPr>
        <w:t>a pause in its rate-cutting cycle</w:t>
      </w:r>
      <w:r w:rsidR="004441DD">
        <w:rPr>
          <w:rFonts w:eastAsia="標楷體" w:hint="eastAsia"/>
          <w:sz w:val="24"/>
          <w:szCs w:val="32"/>
        </w:rPr>
        <w:t>, and the policy rates in China and South Korea, albeit being reduced, were still higher than Taiwan</w:t>
      </w:r>
      <w:r w:rsidR="004441DD">
        <w:rPr>
          <w:rFonts w:eastAsia="標楷體"/>
          <w:sz w:val="24"/>
          <w:szCs w:val="32"/>
        </w:rPr>
        <w:t>’</w:t>
      </w:r>
      <w:r w:rsidR="004441DD">
        <w:rPr>
          <w:rFonts w:eastAsia="標楷體" w:hint="eastAsia"/>
          <w:sz w:val="24"/>
          <w:szCs w:val="32"/>
        </w:rPr>
        <w:t xml:space="preserve">s. Therefore, this board director was in favor of holding the rates steady. </w:t>
      </w:r>
    </w:p>
    <w:p w:rsidR="00025604" w:rsidRDefault="00F602BC" w:rsidP="00025604">
      <w:pPr>
        <w:adjustRightInd/>
        <w:snapToGrid w:val="0"/>
        <w:spacing w:before="120" w:line="440" w:lineRule="exact"/>
        <w:ind w:firstLineChars="200" w:firstLine="480"/>
        <w:jc w:val="both"/>
        <w:textDirection w:val="lrTbV"/>
        <w:rPr>
          <w:rFonts w:eastAsia="標楷體"/>
          <w:sz w:val="24"/>
          <w:szCs w:val="32"/>
        </w:rPr>
      </w:pPr>
      <w:r w:rsidRPr="00F602BC">
        <w:rPr>
          <w:rFonts w:eastAsia="標楷體" w:hint="eastAsia"/>
          <w:sz w:val="24"/>
          <w:szCs w:val="32"/>
        </w:rPr>
        <w:t xml:space="preserve">One board director </w:t>
      </w:r>
      <w:r w:rsidR="000E0BA5" w:rsidRPr="00F602BC">
        <w:rPr>
          <w:rFonts w:eastAsia="標楷體" w:hint="eastAsia"/>
          <w:sz w:val="24"/>
          <w:szCs w:val="32"/>
        </w:rPr>
        <w:t xml:space="preserve">expressed support </w:t>
      </w:r>
      <w:r w:rsidR="00424DD1" w:rsidRPr="00F602BC">
        <w:rPr>
          <w:rFonts w:eastAsia="標楷體" w:hint="eastAsia"/>
          <w:sz w:val="24"/>
          <w:szCs w:val="32"/>
        </w:rPr>
        <w:t>for maintaining the policy rates at current levels</w:t>
      </w:r>
      <w:r w:rsidR="000E0BA5" w:rsidRPr="00F602BC">
        <w:rPr>
          <w:rFonts w:eastAsia="標楷體" w:hint="eastAsia"/>
          <w:sz w:val="24"/>
          <w:szCs w:val="32"/>
        </w:rPr>
        <w:t xml:space="preserve">, </w:t>
      </w:r>
      <w:r w:rsidR="004A31B9" w:rsidRPr="00F602BC">
        <w:rPr>
          <w:rFonts w:eastAsia="標楷體" w:hint="eastAsia"/>
          <w:sz w:val="24"/>
          <w:szCs w:val="32"/>
        </w:rPr>
        <w:t xml:space="preserve">based </w:t>
      </w:r>
      <w:r w:rsidRPr="00F602BC">
        <w:rPr>
          <w:rFonts w:eastAsia="標楷體" w:hint="eastAsia"/>
          <w:sz w:val="24"/>
          <w:szCs w:val="32"/>
        </w:rPr>
        <w:t xml:space="preserve">mainly on the </w:t>
      </w:r>
      <w:r w:rsidR="00A924FE">
        <w:rPr>
          <w:rFonts w:eastAsia="標楷體" w:hint="eastAsia"/>
          <w:sz w:val="24"/>
          <w:szCs w:val="32"/>
        </w:rPr>
        <w:t xml:space="preserve">following </w:t>
      </w:r>
      <w:r w:rsidRPr="00F602BC">
        <w:rPr>
          <w:rFonts w:eastAsia="標楷體" w:hint="eastAsia"/>
          <w:sz w:val="24"/>
          <w:szCs w:val="32"/>
        </w:rPr>
        <w:t>assessments</w:t>
      </w:r>
      <w:r w:rsidR="00A924FE">
        <w:rPr>
          <w:rFonts w:eastAsia="標楷體" w:hint="eastAsia"/>
          <w:sz w:val="24"/>
          <w:szCs w:val="32"/>
        </w:rPr>
        <w:t>: (1)</w:t>
      </w:r>
      <w:r w:rsidRPr="00F602BC">
        <w:rPr>
          <w:rFonts w:eastAsia="標楷體" w:hint="eastAsia"/>
          <w:sz w:val="24"/>
          <w:szCs w:val="32"/>
        </w:rPr>
        <w:t xml:space="preserve"> </w:t>
      </w:r>
      <w:r w:rsidR="00A924FE">
        <w:rPr>
          <w:rFonts w:eastAsia="標楷體" w:hint="eastAsia"/>
          <w:sz w:val="24"/>
          <w:szCs w:val="32"/>
        </w:rPr>
        <w:t>the</w:t>
      </w:r>
      <w:r>
        <w:rPr>
          <w:rFonts w:eastAsia="標楷體" w:hint="eastAsia"/>
          <w:sz w:val="24"/>
          <w:szCs w:val="32"/>
        </w:rPr>
        <w:t xml:space="preserve"> domestic inflation outlook</w:t>
      </w:r>
      <w:r w:rsidR="00A924FE">
        <w:rPr>
          <w:rFonts w:eastAsia="標楷體" w:hint="eastAsia"/>
          <w:sz w:val="24"/>
          <w:szCs w:val="32"/>
        </w:rPr>
        <w:t xml:space="preserve"> was mild,</w:t>
      </w:r>
      <w:r>
        <w:rPr>
          <w:rFonts w:eastAsia="標楷體" w:hint="eastAsia"/>
          <w:sz w:val="24"/>
          <w:szCs w:val="32"/>
        </w:rPr>
        <w:t xml:space="preserve"> </w:t>
      </w:r>
      <w:r w:rsidR="00A924FE">
        <w:rPr>
          <w:rFonts w:eastAsia="標楷體" w:hint="eastAsia"/>
          <w:sz w:val="24"/>
          <w:szCs w:val="32"/>
        </w:rPr>
        <w:t xml:space="preserve">(2) domestic investment was expected to gain momentum as capital repatriation planned by Taiwanese firms were being carried out, information security-related investment in Taiwan rose amid the U.S.-China trade friction, and major tech firms in Taiwan increased their capital outlay to seize business opportunities in 5G development and other emerging technology applications; (3) against this backdrop, combined with expected impetus towards exports given a brighter global </w:t>
      </w:r>
      <w:r w:rsidR="00A924FE">
        <w:rPr>
          <w:rFonts w:eastAsia="標楷體"/>
          <w:sz w:val="24"/>
          <w:szCs w:val="32"/>
        </w:rPr>
        <w:t>economic</w:t>
      </w:r>
      <w:r w:rsidR="00A924FE">
        <w:rPr>
          <w:rFonts w:eastAsia="標楷體" w:hint="eastAsia"/>
          <w:sz w:val="24"/>
          <w:szCs w:val="32"/>
        </w:rPr>
        <w:t xml:space="preserve"> outlook and a projected rebound in world trade growth in 2020, the domestic economy still showed a positive outlook. </w:t>
      </w:r>
      <w:r w:rsidR="00025604">
        <w:rPr>
          <w:rFonts w:eastAsia="標楷體" w:hint="eastAsia"/>
          <w:sz w:val="24"/>
          <w:szCs w:val="32"/>
        </w:rPr>
        <w:t xml:space="preserve">Another board director pointed out that amid a mild </w:t>
      </w:r>
      <w:r w:rsidR="00025604">
        <w:rPr>
          <w:rFonts w:eastAsia="標楷體"/>
          <w:sz w:val="24"/>
          <w:szCs w:val="32"/>
        </w:rPr>
        <w:t>economic</w:t>
      </w:r>
      <w:r w:rsidR="00025604">
        <w:rPr>
          <w:rFonts w:eastAsia="標楷體" w:hint="eastAsia"/>
          <w:sz w:val="24"/>
          <w:szCs w:val="32"/>
        </w:rPr>
        <w:t xml:space="preserve"> expansion expected for Taiwan, private investment, which was one of the mainstays to support </w:t>
      </w:r>
      <w:r w:rsidR="00025604">
        <w:rPr>
          <w:rFonts w:eastAsia="標楷體"/>
          <w:sz w:val="24"/>
          <w:szCs w:val="32"/>
        </w:rPr>
        <w:t>economic</w:t>
      </w:r>
      <w:r w:rsidR="00025604">
        <w:rPr>
          <w:rFonts w:eastAsia="標楷體" w:hint="eastAsia"/>
          <w:sz w:val="24"/>
          <w:szCs w:val="32"/>
        </w:rPr>
        <w:t xml:space="preserve"> growth and industrial development would benefit from a stable interest rate environment. </w:t>
      </w:r>
    </w:p>
    <w:p w:rsidR="00025604" w:rsidRDefault="006A083A" w:rsidP="00025604">
      <w:pPr>
        <w:adjustRightInd/>
        <w:snapToGrid w:val="0"/>
        <w:spacing w:before="120" w:line="440" w:lineRule="exact"/>
        <w:ind w:left="320" w:hangingChars="133" w:hanging="320"/>
        <w:jc w:val="both"/>
        <w:textDirection w:val="lrTbV"/>
        <w:rPr>
          <w:rFonts w:eastAsia="標楷體"/>
          <w:b/>
          <w:snapToGrid w:val="0"/>
          <w:sz w:val="24"/>
          <w:szCs w:val="28"/>
        </w:rPr>
      </w:pPr>
      <w:r w:rsidRPr="007F6F77">
        <w:rPr>
          <w:rFonts w:eastAsia="標楷體" w:hint="eastAsia"/>
          <w:b/>
          <w:sz w:val="24"/>
          <w:szCs w:val="28"/>
        </w:rPr>
        <w:lastRenderedPageBreak/>
        <w:t xml:space="preserve">3. Monetary Policy Decision: </w:t>
      </w:r>
      <w:r w:rsidR="00CE3BC5" w:rsidRPr="007F6F77">
        <w:rPr>
          <w:rFonts w:eastAsia="標楷體" w:hint="eastAsia"/>
          <w:sz w:val="24"/>
          <w:szCs w:val="28"/>
        </w:rPr>
        <w:t xml:space="preserve">The board </w:t>
      </w:r>
      <w:r w:rsidR="00025604">
        <w:rPr>
          <w:rFonts w:eastAsia="標楷體" w:hint="eastAsia"/>
          <w:sz w:val="24"/>
          <w:szCs w:val="28"/>
        </w:rPr>
        <w:t xml:space="preserve">directors </w:t>
      </w:r>
      <w:r w:rsidRPr="007F6F77">
        <w:rPr>
          <w:rFonts w:eastAsia="標楷體" w:hint="eastAsia"/>
          <w:sz w:val="24"/>
          <w:szCs w:val="28"/>
        </w:rPr>
        <w:t>reached a unanimous vote t</w:t>
      </w:r>
      <w:r w:rsidRPr="007F6F77">
        <w:rPr>
          <w:rFonts w:eastAsia="標楷體"/>
          <w:sz w:val="24"/>
          <w:szCs w:val="28"/>
        </w:rPr>
        <w:t>o keep the discount rate, the rate on accommodations with collateral, and the rate on accommodations without collateral unchanged at 1.375%, 1.75%, and 3.625%, respectively.</w:t>
      </w:r>
      <w:r w:rsidR="00025604">
        <w:rPr>
          <w:rFonts w:eastAsia="標楷體" w:hint="eastAsia"/>
          <w:sz w:val="24"/>
          <w:szCs w:val="28"/>
        </w:rPr>
        <w:t xml:space="preserve"> </w:t>
      </w:r>
    </w:p>
    <w:p w:rsidR="006A083A" w:rsidRPr="009605CF" w:rsidRDefault="006A083A" w:rsidP="009605CF">
      <w:pPr>
        <w:pStyle w:val="afff6"/>
        <w:numPr>
          <w:ilvl w:val="2"/>
          <w:numId w:val="26"/>
        </w:numPr>
        <w:adjustRightInd/>
        <w:snapToGrid w:val="0"/>
        <w:spacing w:before="120" w:line="440" w:lineRule="exact"/>
        <w:ind w:leftChars="0" w:left="426" w:hanging="426"/>
        <w:rPr>
          <w:rFonts w:ascii="Times New Roman" w:eastAsia="標楷體"/>
          <w:b/>
          <w:sz w:val="28"/>
          <w:szCs w:val="28"/>
        </w:rPr>
      </w:pPr>
      <w:r w:rsidRPr="009605CF">
        <w:rPr>
          <w:rFonts w:ascii="Times New Roman" w:eastAsia="標楷體" w:hint="eastAsia"/>
          <w:b/>
          <w:sz w:val="28"/>
          <w:szCs w:val="28"/>
        </w:rPr>
        <w:t xml:space="preserve">The Press Release </w:t>
      </w:r>
    </w:p>
    <w:p w:rsidR="006A083A" w:rsidRPr="007F6F77" w:rsidRDefault="006A083A" w:rsidP="00FA173A">
      <w:pPr>
        <w:spacing w:before="120" w:line="440" w:lineRule="exact"/>
        <w:ind w:firstLineChars="200" w:firstLine="480"/>
        <w:jc w:val="both"/>
        <w:rPr>
          <w:rFonts w:eastAsia="標楷體"/>
          <w:sz w:val="24"/>
          <w:szCs w:val="28"/>
        </w:rPr>
      </w:pPr>
      <w:r w:rsidRPr="007F6F77">
        <w:rPr>
          <w:rFonts w:eastAsia="標楷體" w:hint="eastAsia"/>
          <w:sz w:val="24"/>
          <w:szCs w:val="28"/>
        </w:rPr>
        <w:t xml:space="preserve">The </w:t>
      </w:r>
      <w:r w:rsidR="00CE3BC5" w:rsidRPr="007F6F77">
        <w:rPr>
          <w:rFonts w:eastAsia="標楷體" w:hint="eastAsia"/>
          <w:sz w:val="24"/>
          <w:szCs w:val="28"/>
        </w:rPr>
        <w:t>b</w:t>
      </w:r>
      <w:r w:rsidRPr="007F6F77">
        <w:rPr>
          <w:rFonts w:eastAsia="標楷體" w:hint="eastAsia"/>
          <w:sz w:val="24"/>
          <w:szCs w:val="28"/>
        </w:rPr>
        <w:t xml:space="preserve">oard </w:t>
      </w:r>
      <w:r w:rsidR="00CE3BC5" w:rsidRPr="007F6F77">
        <w:rPr>
          <w:rFonts w:eastAsia="標楷體" w:hint="eastAsia"/>
          <w:sz w:val="24"/>
          <w:szCs w:val="28"/>
        </w:rPr>
        <w:t>d</w:t>
      </w:r>
      <w:r w:rsidRPr="007F6F77">
        <w:rPr>
          <w:rFonts w:eastAsia="標楷體" w:hint="eastAsia"/>
          <w:sz w:val="24"/>
          <w:szCs w:val="28"/>
        </w:rPr>
        <w:t xml:space="preserve">irectors and </w:t>
      </w:r>
      <w:r w:rsidR="00CE3BC5" w:rsidRPr="007F6F77">
        <w:rPr>
          <w:rFonts w:eastAsia="標楷體" w:hint="eastAsia"/>
          <w:sz w:val="24"/>
          <w:szCs w:val="28"/>
        </w:rPr>
        <w:t>s</w:t>
      </w:r>
      <w:r w:rsidRPr="007F6F77">
        <w:rPr>
          <w:rFonts w:eastAsia="標楷體" w:hint="eastAsia"/>
          <w:sz w:val="24"/>
          <w:szCs w:val="28"/>
        </w:rPr>
        <w:t xml:space="preserve">upervisors approved unanimously to issue the following press release in the post-meeting press conference, together with the </w:t>
      </w:r>
      <w:r w:rsidRPr="007F6F77">
        <w:rPr>
          <w:rFonts w:eastAsia="標楷體"/>
          <w:sz w:val="24"/>
          <w:szCs w:val="28"/>
        </w:rPr>
        <w:t xml:space="preserve">Supplementary Materials for the </w:t>
      </w:r>
      <w:r w:rsidRPr="007F6F77">
        <w:rPr>
          <w:rFonts w:eastAsia="標楷體" w:hint="eastAsia"/>
          <w:sz w:val="24"/>
          <w:szCs w:val="28"/>
        </w:rPr>
        <w:t>Post-Monetary Policy M</w:t>
      </w:r>
      <w:r w:rsidRPr="007F6F77">
        <w:rPr>
          <w:rFonts w:eastAsia="標楷體"/>
          <w:sz w:val="24"/>
          <w:szCs w:val="28"/>
        </w:rPr>
        <w:t>e</w:t>
      </w:r>
      <w:r w:rsidRPr="007F6F77">
        <w:rPr>
          <w:rFonts w:eastAsia="標楷體" w:hint="eastAsia"/>
          <w:sz w:val="24"/>
          <w:szCs w:val="28"/>
        </w:rPr>
        <w:t>eting Press Conference prepared by the</w:t>
      </w:r>
      <w:r w:rsidR="003B4EC4">
        <w:rPr>
          <w:rFonts w:eastAsia="標楷體" w:hint="eastAsia"/>
          <w:sz w:val="24"/>
          <w:szCs w:val="28"/>
        </w:rPr>
        <w:t xml:space="preserve"> </w:t>
      </w:r>
      <w:r w:rsidR="00025604">
        <w:rPr>
          <w:rFonts w:eastAsia="標楷體" w:hint="eastAsia"/>
          <w:sz w:val="24"/>
          <w:szCs w:val="28"/>
        </w:rPr>
        <w:t>Bank</w:t>
      </w:r>
      <w:r w:rsidRPr="007F6F77">
        <w:rPr>
          <w:rFonts w:eastAsia="標楷體" w:hint="eastAsia"/>
          <w:sz w:val="24"/>
          <w:szCs w:val="28"/>
        </w:rPr>
        <w:t xml:space="preserve">. </w:t>
      </w:r>
    </w:p>
    <w:p w:rsidR="008814F0" w:rsidRPr="007F6F77" w:rsidRDefault="008814F0" w:rsidP="0055373B">
      <w:pPr>
        <w:spacing w:before="120" w:line="440" w:lineRule="exact"/>
        <w:ind w:firstLineChars="200" w:firstLine="480"/>
        <w:jc w:val="both"/>
        <w:rPr>
          <w:rFonts w:eastAsia="標楷體"/>
          <w:sz w:val="24"/>
          <w:szCs w:val="28"/>
        </w:rPr>
      </w:pPr>
      <w:r w:rsidRPr="007F6F77">
        <w:rPr>
          <w:rFonts w:eastAsia="標楷體"/>
          <w:sz w:val="24"/>
          <w:szCs w:val="28"/>
        </w:rPr>
        <w:br w:type="page"/>
      </w:r>
    </w:p>
    <w:p w:rsidR="008814F0" w:rsidRPr="007F6F77" w:rsidRDefault="008814F0" w:rsidP="00E60FC3">
      <w:pPr>
        <w:pStyle w:val="11"/>
        <w:tabs>
          <w:tab w:val="left" w:pos="0"/>
        </w:tabs>
        <w:spacing w:before="0" w:afterLines="50" w:after="120" w:line="320" w:lineRule="exact"/>
        <w:ind w:right="-28"/>
        <w:jc w:val="center"/>
        <w:rPr>
          <w:rFonts w:ascii="Times New Roman"/>
          <w:sz w:val="28"/>
          <w:szCs w:val="28"/>
        </w:rPr>
      </w:pPr>
      <w:r w:rsidRPr="007F6F77">
        <w:rPr>
          <w:rFonts w:ascii="Times New Roman"/>
          <w:sz w:val="28"/>
          <w:szCs w:val="28"/>
        </w:rPr>
        <w:lastRenderedPageBreak/>
        <w:t>Monetary Policy Decision of the Board Meeting</w:t>
      </w:r>
    </w:p>
    <w:p w:rsidR="009548A6" w:rsidRPr="00203561" w:rsidRDefault="009548A6" w:rsidP="009548A6">
      <w:pPr>
        <w:pStyle w:val="af4"/>
        <w:numPr>
          <w:ilvl w:val="0"/>
          <w:numId w:val="7"/>
        </w:numPr>
        <w:tabs>
          <w:tab w:val="clear" w:pos="480"/>
          <w:tab w:val="num" w:pos="426"/>
        </w:tabs>
        <w:adjustRightInd/>
        <w:spacing w:before="0" w:afterLines="50" w:after="120" w:line="320" w:lineRule="exact"/>
        <w:jc w:val="both"/>
        <w:textAlignment w:val="auto"/>
        <w:rPr>
          <w:sz w:val="24"/>
          <w:szCs w:val="24"/>
        </w:rPr>
      </w:pPr>
      <w:r w:rsidRPr="00203561">
        <w:rPr>
          <w:sz w:val="24"/>
          <w:szCs w:val="24"/>
        </w:rPr>
        <w:t>Global economic and financial conditions</w:t>
      </w:r>
    </w:p>
    <w:p w:rsidR="009548A6" w:rsidRPr="00203561" w:rsidRDefault="009548A6" w:rsidP="00203561">
      <w:pPr>
        <w:pStyle w:val="afff6"/>
        <w:spacing w:afterLines="50" w:after="120" w:line="400" w:lineRule="exact"/>
        <w:ind w:leftChars="0" w:left="357" w:firstLine="0"/>
        <w:rPr>
          <w:rFonts w:ascii="Times New Roman"/>
          <w:sz w:val="24"/>
          <w:szCs w:val="24"/>
        </w:rPr>
      </w:pPr>
      <w:r w:rsidRPr="00203561">
        <w:rPr>
          <w:rFonts w:ascii="Times New Roman"/>
          <w:sz w:val="24"/>
          <w:szCs w:val="24"/>
        </w:rPr>
        <w:t xml:space="preserve">Since the Board met in late September this year, the global economy has gradually picked up with subdued inflation. Major economies have maintained an accommodative monetary policy stance, and international financial markets have stabilized. </w:t>
      </w:r>
    </w:p>
    <w:p w:rsidR="009548A6" w:rsidRPr="00203561" w:rsidRDefault="009548A6" w:rsidP="00203561">
      <w:pPr>
        <w:pStyle w:val="afff6"/>
        <w:spacing w:afterLines="50" w:after="120" w:line="400" w:lineRule="exact"/>
        <w:ind w:leftChars="0" w:left="357" w:firstLine="0"/>
        <w:rPr>
          <w:rFonts w:ascii="Times New Roman"/>
          <w:sz w:val="24"/>
          <w:szCs w:val="24"/>
        </w:rPr>
      </w:pPr>
      <w:r w:rsidRPr="00203561">
        <w:rPr>
          <w:rFonts w:ascii="Times New Roman"/>
          <w:sz w:val="24"/>
          <w:szCs w:val="24"/>
        </w:rPr>
        <w:t>Looking ahead to next year, international institutions forecast a steady expansion in the global economy and mild growth in world trade. Nevertheless, a multitude of uncertainties such as developments of protectionist trade policies, monetary policy of major economies, and geopolitical risks could impact the global economic and trade outlooks.</w:t>
      </w:r>
    </w:p>
    <w:p w:rsidR="009548A6" w:rsidRPr="00203561" w:rsidRDefault="009548A6" w:rsidP="009548A6">
      <w:pPr>
        <w:pStyle w:val="af4"/>
        <w:numPr>
          <w:ilvl w:val="0"/>
          <w:numId w:val="7"/>
        </w:numPr>
        <w:tabs>
          <w:tab w:val="clear" w:pos="480"/>
          <w:tab w:val="num" w:pos="426"/>
        </w:tabs>
        <w:adjustRightInd/>
        <w:spacing w:before="0" w:afterLines="50" w:after="120" w:line="320" w:lineRule="exact"/>
        <w:jc w:val="both"/>
        <w:textAlignment w:val="auto"/>
        <w:rPr>
          <w:sz w:val="24"/>
          <w:szCs w:val="24"/>
        </w:rPr>
      </w:pPr>
      <w:r w:rsidRPr="00203561">
        <w:rPr>
          <w:sz w:val="24"/>
          <w:szCs w:val="24"/>
        </w:rPr>
        <w:t>Domestic economic and financial conditions</w:t>
      </w:r>
    </w:p>
    <w:p w:rsidR="009548A6" w:rsidRPr="00203561" w:rsidRDefault="009548A6" w:rsidP="009548A6">
      <w:pPr>
        <w:pStyle w:val="afff6"/>
        <w:numPr>
          <w:ilvl w:val="0"/>
          <w:numId w:val="8"/>
        </w:numPr>
        <w:adjustRightInd/>
        <w:spacing w:afterLines="50" w:after="120" w:line="400" w:lineRule="exact"/>
        <w:ind w:leftChars="0"/>
        <w:textAlignment w:val="auto"/>
        <w:rPr>
          <w:rFonts w:ascii="Times New Roman"/>
          <w:sz w:val="24"/>
          <w:szCs w:val="24"/>
        </w:rPr>
      </w:pPr>
      <w:r w:rsidRPr="00203561">
        <w:rPr>
          <w:rFonts w:ascii="Times New Roman"/>
          <w:sz w:val="24"/>
          <w:szCs w:val="24"/>
        </w:rPr>
        <w:t>Benefitting from diverted orders from the US-China trade dispute and expanded domestic production by Taiwanese businesses, exports resumed growth last month. In terms of domestic demand, private investment witnessed stronger growth, underpinned by increased imports of capital equipment by the semiconductor industry. Meanwhile, rising retail sales indicated a continued expansion in private consumption. The Bank projects Taiwan's economy to expand moderately in the fourth quarter and register a 2.60% growth rate for the entire year. With respect to labor market conditions, the unemployment rate marginally rose from the same period a year earlier and wage growth moved up at a slightly slower pace.</w:t>
      </w:r>
    </w:p>
    <w:p w:rsidR="009548A6" w:rsidRPr="00203561" w:rsidRDefault="009548A6" w:rsidP="00203561">
      <w:pPr>
        <w:pStyle w:val="afff6"/>
        <w:spacing w:afterLines="50" w:after="120" w:line="400" w:lineRule="exact"/>
        <w:ind w:leftChars="0" w:left="360" w:firstLine="0"/>
        <w:rPr>
          <w:rFonts w:ascii="Times New Roman"/>
          <w:sz w:val="24"/>
          <w:szCs w:val="24"/>
        </w:rPr>
      </w:pPr>
      <w:r w:rsidRPr="00203561">
        <w:rPr>
          <w:rFonts w:ascii="Times New Roman"/>
          <w:sz w:val="24"/>
          <w:szCs w:val="24"/>
        </w:rPr>
        <w:t>Going forward, continued growth in emerging technology applications and efforts by domestic manufacturers to boost production capacity are likely to support a rebound in export growth. Combined with the projections of steadily increasing private investment, stable growth in private consumption, and higher government spending, the Bank therefore forecasts the domestic economy to grow by 2.57% in 2020 (Appendix Table 1).</w:t>
      </w:r>
    </w:p>
    <w:p w:rsidR="009548A6" w:rsidRPr="00203561" w:rsidRDefault="009548A6" w:rsidP="009548A6">
      <w:pPr>
        <w:pStyle w:val="afff6"/>
        <w:numPr>
          <w:ilvl w:val="0"/>
          <w:numId w:val="8"/>
        </w:numPr>
        <w:adjustRightInd/>
        <w:spacing w:afterLines="50" w:after="120" w:line="400" w:lineRule="exact"/>
        <w:ind w:leftChars="0" w:left="357"/>
        <w:textAlignment w:val="auto"/>
        <w:rPr>
          <w:rFonts w:ascii="Times New Roman"/>
          <w:sz w:val="24"/>
          <w:szCs w:val="24"/>
        </w:rPr>
      </w:pPr>
      <w:r w:rsidRPr="00203561">
        <w:rPr>
          <w:rFonts w:ascii="Times New Roman"/>
          <w:sz w:val="24"/>
          <w:szCs w:val="24"/>
        </w:rPr>
        <w:t>Domestic inflation has remained low and stable since the beginning of 2019. For the first eleven months of the year, the consumer price index (CPI) and the core CPI (excluding fruit, vegetables, and energy items) recorded average annual growth rates of 0.51% and 0.49%, respectively. For the year as a whole, the Bank forecasts the CPI and core CPI annual growth rates to be 0.54% and 0.49%, respectively.</w:t>
      </w:r>
    </w:p>
    <w:p w:rsidR="009548A6" w:rsidRPr="00203561" w:rsidRDefault="009548A6" w:rsidP="00203561">
      <w:pPr>
        <w:pStyle w:val="afff6"/>
        <w:spacing w:afterLines="50" w:after="120" w:line="400" w:lineRule="exact"/>
        <w:ind w:leftChars="0" w:left="357" w:firstLine="0"/>
        <w:rPr>
          <w:rFonts w:ascii="Times New Roman"/>
          <w:sz w:val="24"/>
          <w:szCs w:val="24"/>
        </w:rPr>
      </w:pPr>
      <w:r w:rsidRPr="00203561">
        <w:rPr>
          <w:rFonts w:ascii="Times New Roman"/>
          <w:sz w:val="24"/>
          <w:szCs w:val="24"/>
        </w:rPr>
        <w:lastRenderedPageBreak/>
        <w:t>Looking at inflation next year, as international oil prices are projected by international institutions to stay at low levels, imported inflationary pressures are likely to abate. In addition, domestic demand is expected to be moderate. These factors point to a stable inflation outlook. The Bank forecasts the annual growth rates of CPI and core CPI for 2020 to be 0.77% and 0.70%, respectively (Appendix Table 2).</w:t>
      </w:r>
    </w:p>
    <w:p w:rsidR="009548A6" w:rsidRPr="00203561" w:rsidRDefault="009548A6" w:rsidP="009548A6">
      <w:pPr>
        <w:pStyle w:val="afff6"/>
        <w:numPr>
          <w:ilvl w:val="0"/>
          <w:numId w:val="8"/>
        </w:numPr>
        <w:adjustRightInd/>
        <w:spacing w:afterLines="50" w:after="120" w:line="400" w:lineRule="exact"/>
        <w:ind w:leftChars="0" w:left="357"/>
        <w:textAlignment w:val="auto"/>
        <w:rPr>
          <w:rFonts w:ascii="Times New Roman"/>
          <w:sz w:val="24"/>
          <w:szCs w:val="24"/>
        </w:rPr>
      </w:pPr>
      <w:r w:rsidRPr="00203561">
        <w:rPr>
          <w:rFonts w:ascii="Times New Roman"/>
          <w:sz w:val="24"/>
          <w:szCs w:val="24"/>
        </w:rPr>
        <w:t xml:space="preserve">For the first ten months of the year, the average annual growth rates of the monetary aggregate M2 and of bank loans and investments were 3.32% and 4.70%, respectively, indicating that money and credit conditions were sufficient to support domestic economic activity. Financial conditions continued to be accommodative in recent months, as both short- and long-term interest rates remained steady and banks' excess reserves stayed around the level of NT$40 billion. In view of a seasonal rise in demand for funds prior to the solar and lunar New Year holidays, the Bank will manage market liquidity with some flexibility to ensure the demand is adequately met.  </w:t>
      </w:r>
    </w:p>
    <w:p w:rsidR="009548A6" w:rsidRPr="009548A6" w:rsidRDefault="009548A6" w:rsidP="009548A6">
      <w:pPr>
        <w:pStyle w:val="af4"/>
        <w:widowControl/>
        <w:numPr>
          <w:ilvl w:val="0"/>
          <w:numId w:val="7"/>
        </w:numPr>
        <w:adjustRightInd/>
        <w:spacing w:before="0" w:afterLines="50" w:after="120" w:line="400" w:lineRule="exact"/>
        <w:jc w:val="both"/>
        <w:textAlignment w:val="auto"/>
        <w:rPr>
          <w:sz w:val="24"/>
          <w:szCs w:val="24"/>
        </w:rPr>
      </w:pPr>
      <w:r w:rsidRPr="009548A6">
        <w:rPr>
          <w:rFonts w:hint="eastAsia"/>
          <w:sz w:val="24"/>
          <w:szCs w:val="24"/>
        </w:rPr>
        <w:t xml:space="preserve">Interest rate </w:t>
      </w:r>
      <w:r w:rsidRPr="009548A6">
        <w:rPr>
          <w:sz w:val="24"/>
          <w:szCs w:val="24"/>
        </w:rPr>
        <w:t>decision</w:t>
      </w:r>
      <w:r w:rsidRPr="009548A6">
        <w:rPr>
          <w:rFonts w:hint="eastAsia"/>
          <w:sz w:val="24"/>
          <w:szCs w:val="24"/>
        </w:rPr>
        <w:t xml:space="preserve"> </w:t>
      </w:r>
    </w:p>
    <w:p w:rsidR="009548A6" w:rsidRPr="009548A6" w:rsidRDefault="009548A6" w:rsidP="009548A6">
      <w:pPr>
        <w:spacing w:afterLines="50" w:after="120" w:line="400" w:lineRule="exact"/>
        <w:ind w:leftChars="118" w:left="236" w:firstLine="1"/>
        <w:jc w:val="both"/>
        <w:rPr>
          <w:sz w:val="24"/>
          <w:szCs w:val="24"/>
        </w:rPr>
      </w:pPr>
      <w:r w:rsidRPr="009548A6">
        <w:rPr>
          <w:rFonts w:hint="eastAsia"/>
          <w:sz w:val="24"/>
          <w:szCs w:val="24"/>
        </w:rPr>
        <w:t xml:space="preserve">Based on the latest information about economic and financial conditions at home and abroad, the Board considers that a slightly negative output gap and a stable inflation outlook are projected for Taiwan next year, and the domestic economy is expected to register steady growth as global </w:t>
      </w:r>
      <w:r w:rsidRPr="009548A6">
        <w:rPr>
          <w:sz w:val="24"/>
          <w:szCs w:val="24"/>
        </w:rPr>
        <w:t>econom</w:t>
      </w:r>
      <w:r w:rsidRPr="009548A6">
        <w:rPr>
          <w:rFonts w:hint="eastAsia"/>
          <w:sz w:val="24"/>
          <w:szCs w:val="24"/>
        </w:rPr>
        <w:t xml:space="preserve">ic growth remains on track despite the uncertainties. Meanwhile, </w:t>
      </w:r>
      <w:r w:rsidRPr="009548A6">
        <w:rPr>
          <w:sz w:val="24"/>
          <w:szCs w:val="24"/>
        </w:rPr>
        <w:t>Taiwan's real interest rates</w:t>
      </w:r>
      <w:r w:rsidRPr="009548A6">
        <w:rPr>
          <w:rFonts w:hint="eastAsia"/>
          <w:sz w:val="24"/>
          <w:szCs w:val="24"/>
        </w:rPr>
        <w:t xml:space="preserve"> are</w:t>
      </w:r>
      <w:r w:rsidRPr="009548A6">
        <w:rPr>
          <w:sz w:val="24"/>
          <w:szCs w:val="24"/>
        </w:rPr>
        <w:t xml:space="preserve"> around the middle range among a host of economies</w:t>
      </w:r>
      <w:r w:rsidRPr="009548A6">
        <w:rPr>
          <w:rFonts w:hint="eastAsia"/>
          <w:sz w:val="24"/>
          <w:szCs w:val="24"/>
        </w:rPr>
        <w:t xml:space="preserve"> (Appendix T</w:t>
      </w:r>
      <w:r w:rsidRPr="009548A6">
        <w:rPr>
          <w:sz w:val="24"/>
          <w:szCs w:val="24"/>
        </w:rPr>
        <w:t>a</w:t>
      </w:r>
      <w:r w:rsidRPr="009548A6">
        <w:rPr>
          <w:rFonts w:hint="eastAsia"/>
          <w:sz w:val="24"/>
          <w:szCs w:val="24"/>
        </w:rPr>
        <w:t>ble 3)</w:t>
      </w:r>
      <w:r w:rsidRPr="009548A6">
        <w:rPr>
          <w:sz w:val="24"/>
          <w:szCs w:val="24"/>
        </w:rPr>
        <w:t>.</w:t>
      </w:r>
      <w:r w:rsidRPr="009548A6">
        <w:rPr>
          <w:rFonts w:hint="eastAsia"/>
          <w:sz w:val="24"/>
          <w:szCs w:val="24"/>
        </w:rPr>
        <w:t xml:space="preserve"> Therefore, the Board judges</w:t>
      </w:r>
      <w:r w:rsidRPr="009548A6">
        <w:rPr>
          <w:sz w:val="24"/>
          <w:szCs w:val="24"/>
        </w:rPr>
        <w:t xml:space="preserve"> that a policy rate hold</w:t>
      </w:r>
      <w:r w:rsidRPr="009548A6">
        <w:rPr>
          <w:rFonts w:hint="eastAsia"/>
          <w:sz w:val="24"/>
          <w:szCs w:val="24"/>
        </w:rPr>
        <w:t xml:space="preserve"> and a continued accommodative monetary policy stance</w:t>
      </w:r>
      <w:r w:rsidRPr="009548A6">
        <w:rPr>
          <w:sz w:val="24"/>
          <w:szCs w:val="24"/>
        </w:rPr>
        <w:t xml:space="preserve"> will help </w:t>
      </w:r>
      <w:r w:rsidRPr="009548A6">
        <w:rPr>
          <w:rFonts w:hint="eastAsia"/>
          <w:sz w:val="24"/>
          <w:szCs w:val="24"/>
        </w:rPr>
        <w:t xml:space="preserve">ensure price stability and </w:t>
      </w:r>
      <w:r w:rsidRPr="009548A6">
        <w:rPr>
          <w:sz w:val="24"/>
          <w:szCs w:val="24"/>
        </w:rPr>
        <w:t>foster</w:t>
      </w:r>
      <w:r w:rsidRPr="009548A6">
        <w:rPr>
          <w:rFonts w:hint="eastAsia"/>
          <w:sz w:val="24"/>
          <w:szCs w:val="24"/>
        </w:rPr>
        <w:t xml:space="preserve"> sound development of the economy and the financial sector.</w:t>
      </w:r>
    </w:p>
    <w:p w:rsidR="009548A6" w:rsidRPr="009548A6" w:rsidRDefault="009548A6" w:rsidP="009548A6">
      <w:pPr>
        <w:spacing w:line="400" w:lineRule="exact"/>
        <w:ind w:leftChars="118" w:left="236" w:firstLine="1"/>
        <w:jc w:val="both"/>
        <w:rPr>
          <w:sz w:val="24"/>
          <w:szCs w:val="24"/>
        </w:rPr>
      </w:pPr>
      <w:r w:rsidRPr="009548A6">
        <w:rPr>
          <w:sz w:val="24"/>
          <w:szCs w:val="24"/>
        </w:rPr>
        <w:t xml:space="preserve">The Board reached the following decision </w:t>
      </w:r>
      <w:r w:rsidRPr="009548A6">
        <w:rPr>
          <w:rFonts w:hint="eastAsia"/>
          <w:sz w:val="24"/>
          <w:szCs w:val="24"/>
        </w:rPr>
        <w:t xml:space="preserve">unanimously </w:t>
      </w:r>
      <w:r w:rsidRPr="009548A6">
        <w:rPr>
          <w:sz w:val="24"/>
          <w:szCs w:val="24"/>
        </w:rPr>
        <w:t>at the Meeting today:</w:t>
      </w:r>
    </w:p>
    <w:p w:rsidR="009548A6" w:rsidRPr="009548A6" w:rsidRDefault="009548A6" w:rsidP="009548A6">
      <w:pPr>
        <w:spacing w:afterLines="50" w:after="120" w:line="400" w:lineRule="exact"/>
        <w:ind w:leftChars="418" w:left="836" w:firstLine="1"/>
        <w:jc w:val="both"/>
        <w:rPr>
          <w:sz w:val="24"/>
          <w:szCs w:val="24"/>
        </w:rPr>
      </w:pPr>
      <w:r w:rsidRPr="009548A6">
        <w:rPr>
          <w:sz w:val="24"/>
          <w:szCs w:val="24"/>
        </w:rPr>
        <w:t>The discount rate, the rate on accommodations with collateral, and the rate on accommodations without collateral are kept unchanged at 1.375%, 1.75%, and 3.625%, respectively.</w:t>
      </w:r>
    </w:p>
    <w:p w:rsidR="009548A6" w:rsidRPr="009548A6" w:rsidRDefault="009548A6" w:rsidP="009548A6">
      <w:pPr>
        <w:pStyle w:val="af4"/>
        <w:widowControl/>
        <w:numPr>
          <w:ilvl w:val="0"/>
          <w:numId w:val="7"/>
        </w:numPr>
        <w:adjustRightInd/>
        <w:spacing w:before="0" w:afterLines="50" w:after="120" w:line="400" w:lineRule="exact"/>
        <w:jc w:val="both"/>
        <w:textAlignment w:val="auto"/>
        <w:rPr>
          <w:sz w:val="24"/>
          <w:szCs w:val="24"/>
        </w:rPr>
      </w:pPr>
      <w:r w:rsidRPr="009548A6">
        <w:rPr>
          <w:rFonts w:hint="eastAsia"/>
          <w:sz w:val="24"/>
          <w:szCs w:val="24"/>
        </w:rPr>
        <w:t xml:space="preserve">Starting from year 2020, the target range for M2 growth will become the reference range, which remains between 2.5% and 6.5%. It will not be reset on an annual basis. However, in the event of persistent deviations in M2 growth from the reference range or structural changes, the Bank would conduct a review and make necessary adjustment in a timely manner. </w:t>
      </w:r>
    </w:p>
    <w:p w:rsidR="009548A6" w:rsidRPr="009548A6" w:rsidRDefault="009548A6" w:rsidP="009548A6">
      <w:pPr>
        <w:pStyle w:val="af4"/>
        <w:widowControl/>
        <w:numPr>
          <w:ilvl w:val="0"/>
          <w:numId w:val="7"/>
        </w:numPr>
        <w:adjustRightInd/>
        <w:spacing w:before="0" w:afterLines="50" w:after="120" w:line="400" w:lineRule="exact"/>
        <w:jc w:val="both"/>
        <w:textAlignment w:val="auto"/>
        <w:rPr>
          <w:sz w:val="24"/>
          <w:szCs w:val="24"/>
        </w:rPr>
      </w:pPr>
      <w:r w:rsidRPr="009548A6">
        <w:rPr>
          <w:rFonts w:hint="eastAsia"/>
          <w:sz w:val="24"/>
          <w:szCs w:val="24"/>
        </w:rPr>
        <w:lastRenderedPageBreak/>
        <w:t>In the housing market, transactions have increased and prices have gradually trended up this year. Homebuilders have stepped up land acquisition and the offering of new housing projects, while banks have recorded faster year-on-year rises in loans for home purchases and building construction. T</w:t>
      </w:r>
      <w:r w:rsidRPr="009548A6">
        <w:rPr>
          <w:sz w:val="24"/>
          <w:szCs w:val="24"/>
        </w:rPr>
        <w:t xml:space="preserve">he Bank will keep a watchful eye on </w:t>
      </w:r>
      <w:r w:rsidRPr="009548A6">
        <w:rPr>
          <w:rFonts w:hint="eastAsia"/>
          <w:sz w:val="24"/>
          <w:szCs w:val="24"/>
        </w:rPr>
        <w:t>risk management in financial institutions associated with real estate lending so as to safeguard</w:t>
      </w:r>
      <w:r w:rsidRPr="009548A6">
        <w:rPr>
          <w:sz w:val="24"/>
          <w:szCs w:val="24"/>
        </w:rPr>
        <w:t xml:space="preserve"> financial stability.</w:t>
      </w:r>
      <w:r w:rsidRPr="009548A6">
        <w:rPr>
          <w:rFonts w:hint="eastAsia"/>
          <w:sz w:val="24"/>
          <w:szCs w:val="24"/>
        </w:rPr>
        <w:t xml:space="preserve"> </w:t>
      </w:r>
    </w:p>
    <w:p w:rsidR="009548A6" w:rsidRPr="009548A6" w:rsidRDefault="009548A6" w:rsidP="009548A6">
      <w:pPr>
        <w:pStyle w:val="af4"/>
        <w:widowControl/>
        <w:numPr>
          <w:ilvl w:val="0"/>
          <w:numId w:val="7"/>
        </w:numPr>
        <w:adjustRightInd/>
        <w:spacing w:before="0" w:afterLines="50" w:after="120" w:line="400" w:lineRule="exact"/>
        <w:jc w:val="both"/>
        <w:textAlignment w:val="auto"/>
        <w:rPr>
          <w:sz w:val="24"/>
          <w:szCs w:val="24"/>
        </w:rPr>
      </w:pPr>
      <w:r w:rsidRPr="009548A6">
        <w:rPr>
          <w:rFonts w:hint="eastAsia"/>
          <w:sz w:val="24"/>
          <w:szCs w:val="24"/>
        </w:rPr>
        <w:t xml:space="preserve">With regard to the latest developments in the US-China trade dispute, the two economies reached a </w:t>
      </w:r>
      <w:r w:rsidRPr="009548A6">
        <w:rPr>
          <w:sz w:val="24"/>
          <w:szCs w:val="24"/>
        </w:rPr>
        <w:t>''</w:t>
      </w:r>
      <w:r w:rsidRPr="009548A6">
        <w:rPr>
          <w:rFonts w:hint="eastAsia"/>
          <w:sz w:val="24"/>
          <w:szCs w:val="24"/>
        </w:rPr>
        <w:t>phase-one</w:t>
      </w:r>
      <w:r w:rsidRPr="009548A6">
        <w:rPr>
          <w:sz w:val="24"/>
          <w:szCs w:val="24"/>
        </w:rPr>
        <w:t>''</w:t>
      </w:r>
      <w:r w:rsidRPr="009548A6">
        <w:rPr>
          <w:rFonts w:hint="eastAsia"/>
          <w:sz w:val="24"/>
          <w:szCs w:val="24"/>
        </w:rPr>
        <w:t xml:space="preserve"> deal last week. The Bank will closely monitor future developments therefrom, as well as the implications of other international uncertainties </w:t>
      </w:r>
      <w:r w:rsidRPr="009548A6">
        <w:rPr>
          <w:sz w:val="24"/>
          <w:szCs w:val="24"/>
        </w:rPr>
        <w:t>–</w:t>
      </w:r>
      <w:r w:rsidRPr="009548A6">
        <w:rPr>
          <w:rFonts w:hint="eastAsia"/>
          <w:sz w:val="24"/>
          <w:szCs w:val="24"/>
        </w:rPr>
        <w:t xml:space="preserve"> including China</w:t>
      </w:r>
      <w:r w:rsidRPr="009548A6">
        <w:rPr>
          <w:sz w:val="24"/>
          <w:szCs w:val="24"/>
        </w:rPr>
        <w:t>'</w:t>
      </w:r>
      <w:r w:rsidRPr="009548A6">
        <w:rPr>
          <w:rFonts w:hint="eastAsia"/>
          <w:sz w:val="24"/>
          <w:szCs w:val="24"/>
        </w:rPr>
        <w:t xml:space="preserve">s economic slowdown, monetary policy moves in major economies, global corporate debt overhang, and geopolitical risks </w:t>
      </w:r>
      <w:r w:rsidRPr="009548A6">
        <w:rPr>
          <w:sz w:val="24"/>
          <w:szCs w:val="24"/>
        </w:rPr>
        <w:t>–</w:t>
      </w:r>
      <w:r w:rsidRPr="009548A6">
        <w:rPr>
          <w:rFonts w:hint="eastAsia"/>
          <w:sz w:val="24"/>
          <w:szCs w:val="24"/>
        </w:rPr>
        <w:t xml:space="preserve"> for </w:t>
      </w:r>
      <w:r w:rsidRPr="009548A6">
        <w:rPr>
          <w:sz w:val="24"/>
          <w:szCs w:val="24"/>
        </w:rPr>
        <w:t>Taiwan's econom</w:t>
      </w:r>
      <w:r w:rsidRPr="009548A6">
        <w:rPr>
          <w:rFonts w:hint="eastAsia"/>
          <w:sz w:val="24"/>
          <w:szCs w:val="24"/>
        </w:rPr>
        <w:t>y</w:t>
      </w:r>
      <w:r w:rsidRPr="009548A6">
        <w:rPr>
          <w:sz w:val="24"/>
          <w:szCs w:val="24"/>
        </w:rPr>
        <w:t xml:space="preserve"> and finan</w:t>
      </w:r>
      <w:r w:rsidRPr="009548A6">
        <w:rPr>
          <w:rFonts w:hint="eastAsia"/>
          <w:sz w:val="24"/>
          <w:szCs w:val="24"/>
        </w:rPr>
        <w:t>cial conditions. If warranted by the situation, the Bank will act timely as appropriate to fulfill its</w:t>
      </w:r>
      <w:r w:rsidRPr="009548A6">
        <w:rPr>
          <w:sz w:val="24"/>
          <w:szCs w:val="24"/>
        </w:rPr>
        <w:t xml:space="preserve"> statutory mandate.</w:t>
      </w:r>
    </w:p>
    <w:p w:rsidR="009548A6" w:rsidRPr="00203561" w:rsidRDefault="009548A6" w:rsidP="00203561">
      <w:pPr>
        <w:pStyle w:val="af4"/>
        <w:widowControl/>
        <w:numPr>
          <w:ilvl w:val="0"/>
          <w:numId w:val="7"/>
        </w:numPr>
        <w:adjustRightInd/>
        <w:spacing w:before="0" w:afterLines="50" w:after="120" w:line="400" w:lineRule="exact"/>
        <w:jc w:val="both"/>
        <w:textAlignment w:val="auto"/>
        <w:rPr>
          <w:sz w:val="24"/>
          <w:szCs w:val="24"/>
        </w:rPr>
      </w:pPr>
      <w:r w:rsidRPr="00203561">
        <w:rPr>
          <w:rFonts w:hint="eastAsia"/>
          <w:sz w:val="24"/>
          <w:szCs w:val="24"/>
        </w:rPr>
        <w:t xml:space="preserve">The </w:t>
      </w:r>
      <w:r w:rsidRPr="00203561">
        <w:rPr>
          <w:sz w:val="24"/>
          <w:szCs w:val="24"/>
        </w:rPr>
        <w:t xml:space="preserve">NT dollar exchange rate is </w:t>
      </w:r>
      <w:r w:rsidRPr="00203561">
        <w:rPr>
          <w:rFonts w:hint="eastAsia"/>
          <w:sz w:val="24"/>
          <w:szCs w:val="24"/>
        </w:rPr>
        <w:t xml:space="preserve">in principal </w:t>
      </w:r>
      <w:r w:rsidRPr="00203561">
        <w:rPr>
          <w:sz w:val="24"/>
          <w:szCs w:val="24"/>
        </w:rPr>
        <w:t xml:space="preserve">determined by market forces. </w:t>
      </w:r>
      <w:r w:rsidRPr="00203561">
        <w:rPr>
          <w:rFonts w:hint="eastAsia"/>
          <w:sz w:val="24"/>
          <w:szCs w:val="24"/>
        </w:rPr>
        <w:t>Nonetheless, i</w:t>
      </w:r>
      <w:r w:rsidRPr="00203561">
        <w:rPr>
          <w:sz w:val="24"/>
          <w:szCs w:val="24"/>
        </w:rPr>
        <w:t xml:space="preserve">f irregular factors (such as massive inflows or outflows of short-term capital) </w:t>
      </w:r>
      <w:r w:rsidRPr="00203561">
        <w:rPr>
          <w:rFonts w:hint="eastAsia"/>
          <w:sz w:val="24"/>
          <w:szCs w:val="24"/>
        </w:rPr>
        <w:t xml:space="preserve">as well as seasonal ones </w:t>
      </w:r>
      <w:r w:rsidRPr="00203561">
        <w:rPr>
          <w:sz w:val="24"/>
          <w:szCs w:val="24"/>
        </w:rPr>
        <w:t xml:space="preserve">lead to excess volatility and disorderly movements in the NT dollar exchange rate with adverse implications for economic and financial stability, the </w:t>
      </w:r>
      <w:r w:rsidRPr="00203561">
        <w:rPr>
          <w:rFonts w:hint="eastAsia"/>
          <w:sz w:val="24"/>
          <w:szCs w:val="24"/>
        </w:rPr>
        <w:t>Bank</w:t>
      </w:r>
      <w:r w:rsidRPr="00203561">
        <w:rPr>
          <w:sz w:val="24"/>
          <w:szCs w:val="24"/>
        </w:rPr>
        <w:t xml:space="preserve"> will, </w:t>
      </w:r>
      <w:r w:rsidRPr="00203561">
        <w:rPr>
          <w:rFonts w:hint="eastAsia"/>
          <w:sz w:val="24"/>
          <w:szCs w:val="24"/>
        </w:rPr>
        <w:t>pursuant to</w:t>
      </w:r>
      <w:r w:rsidRPr="00203561">
        <w:rPr>
          <w:sz w:val="24"/>
          <w:szCs w:val="24"/>
        </w:rPr>
        <w:t xml:space="preserve"> its mandate, step in to maintain an orderly </w:t>
      </w:r>
      <w:r w:rsidRPr="00203561">
        <w:rPr>
          <w:rFonts w:hint="eastAsia"/>
          <w:sz w:val="24"/>
          <w:szCs w:val="24"/>
        </w:rPr>
        <w:t xml:space="preserve">foreign exchange </w:t>
      </w:r>
      <w:r w:rsidRPr="00203561">
        <w:rPr>
          <w:sz w:val="24"/>
          <w:szCs w:val="24"/>
        </w:rPr>
        <w:t>market.</w:t>
      </w:r>
      <w:r w:rsidR="008814F0" w:rsidRPr="00203561">
        <w:rPr>
          <w:sz w:val="24"/>
          <w:szCs w:val="24"/>
        </w:rPr>
        <w:br w:type="page"/>
      </w:r>
    </w:p>
    <w:p w:rsidR="009548A6" w:rsidRPr="00C54C9A" w:rsidRDefault="009548A6" w:rsidP="003332EE">
      <w:pPr>
        <w:spacing w:line="480" w:lineRule="exact"/>
        <w:jc w:val="center"/>
        <w:rPr>
          <w:rFonts w:eastAsia="標楷體"/>
          <w:b/>
          <w:sz w:val="32"/>
          <w:szCs w:val="32"/>
        </w:rPr>
      </w:pPr>
      <w:r w:rsidRPr="00C54C9A">
        <w:rPr>
          <w:rFonts w:eastAsia="標楷體" w:hint="eastAsia"/>
          <w:b/>
          <w:sz w:val="32"/>
          <w:szCs w:val="32"/>
        </w:rPr>
        <w:lastRenderedPageBreak/>
        <w:t>Appendix</w:t>
      </w:r>
    </w:p>
    <w:p w:rsidR="009548A6" w:rsidRPr="00C54C9A" w:rsidRDefault="009548A6" w:rsidP="00383AD9">
      <w:pPr>
        <w:spacing w:beforeLines="50" w:before="120" w:line="480" w:lineRule="exact"/>
        <w:jc w:val="center"/>
        <w:rPr>
          <w:rFonts w:eastAsia="標楷體"/>
          <w:b/>
          <w:sz w:val="28"/>
          <w:szCs w:val="28"/>
        </w:rPr>
      </w:pPr>
      <w:r w:rsidRPr="00C54C9A">
        <w:rPr>
          <w:rFonts w:eastAsia="標楷體" w:hint="eastAsia"/>
          <w:b/>
          <w:sz w:val="28"/>
          <w:szCs w:val="28"/>
        </w:rPr>
        <w:t xml:space="preserve">Table </w:t>
      </w:r>
      <w:proofErr w:type="gramStart"/>
      <w:r w:rsidRPr="00C54C9A">
        <w:rPr>
          <w:rFonts w:eastAsia="標楷體" w:hint="eastAsia"/>
          <w:b/>
          <w:sz w:val="28"/>
          <w:szCs w:val="28"/>
        </w:rPr>
        <w:t xml:space="preserve">1  </w:t>
      </w:r>
      <w:r w:rsidRPr="00C54C9A">
        <w:rPr>
          <w:rFonts w:eastAsia="標楷體"/>
          <w:b/>
          <w:sz w:val="28"/>
          <w:szCs w:val="28"/>
        </w:rPr>
        <w:t>Taiwan</w:t>
      </w:r>
      <w:r w:rsidRPr="00C54C9A">
        <w:rPr>
          <w:rFonts w:eastAsia="標楷體" w:hint="eastAsia"/>
          <w:b/>
          <w:sz w:val="28"/>
          <w:szCs w:val="28"/>
        </w:rPr>
        <w:t>'</w:t>
      </w:r>
      <w:r w:rsidRPr="00C54C9A">
        <w:rPr>
          <w:rFonts w:eastAsia="標楷體"/>
          <w:b/>
          <w:sz w:val="28"/>
          <w:szCs w:val="28"/>
        </w:rPr>
        <w:t>s</w:t>
      </w:r>
      <w:proofErr w:type="gramEnd"/>
      <w:r w:rsidRPr="00C54C9A">
        <w:rPr>
          <w:rFonts w:eastAsia="標楷體"/>
          <w:b/>
          <w:sz w:val="28"/>
          <w:szCs w:val="28"/>
        </w:rPr>
        <w:t xml:space="preserve"> </w:t>
      </w:r>
      <w:r w:rsidRPr="00C54C9A">
        <w:rPr>
          <w:rFonts w:eastAsia="標楷體" w:hint="eastAsia"/>
          <w:b/>
          <w:sz w:val="28"/>
          <w:szCs w:val="28"/>
        </w:rPr>
        <w:t>Economic Growth Forecasts by Major Institutions</w:t>
      </w:r>
    </w:p>
    <w:tbl>
      <w:tblPr>
        <w:tblpPr w:leftFromText="180" w:rightFromText="180" w:vertAnchor="text" w:horzAnchor="margin" w:tblpXSpec="center" w:tblpY="330"/>
        <w:tblW w:w="8647" w:type="dxa"/>
        <w:tblLayout w:type="fixed"/>
        <w:tblCellMar>
          <w:left w:w="28" w:type="dxa"/>
          <w:right w:w="28" w:type="dxa"/>
        </w:tblCellMar>
        <w:tblLook w:val="04A0" w:firstRow="1" w:lastRow="0" w:firstColumn="1" w:lastColumn="0" w:noHBand="0" w:noVBand="1"/>
      </w:tblPr>
      <w:tblGrid>
        <w:gridCol w:w="1843"/>
        <w:gridCol w:w="3402"/>
        <w:gridCol w:w="1701"/>
        <w:gridCol w:w="1701"/>
      </w:tblGrid>
      <w:tr w:rsidR="009548A6" w:rsidRPr="00F76B33" w:rsidTr="003332EE">
        <w:trPr>
          <w:trHeight w:val="144"/>
        </w:trPr>
        <w:tc>
          <w:tcPr>
            <w:tcW w:w="8647" w:type="dxa"/>
            <w:gridSpan w:val="4"/>
            <w:tcBorders>
              <w:bottom w:val="single" w:sz="4" w:space="0" w:color="auto"/>
            </w:tcBorders>
            <w:shd w:val="clear" w:color="000000" w:fill="FFFFFF"/>
            <w:noWrap/>
            <w:vAlign w:val="center"/>
          </w:tcPr>
          <w:p w:rsidR="009548A6" w:rsidRPr="00F76B33" w:rsidRDefault="009548A6" w:rsidP="00CC07B4">
            <w:pPr>
              <w:wordWrap w:val="0"/>
              <w:snapToGrid w:val="0"/>
              <w:spacing w:line="400" w:lineRule="exact"/>
              <w:ind w:right="200"/>
              <w:jc w:val="right"/>
              <w:rPr>
                <w:rFonts w:eastAsia="標楷體"/>
                <w:bCs/>
                <w:sz w:val="22"/>
                <w:szCs w:val="22"/>
              </w:rPr>
            </w:pPr>
            <w:r w:rsidRPr="00F76B33">
              <w:rPr>
                <w:rFonts w:eastAsia="標楷體"/>
              </w:rPr>
              <w:t>Unit: %</w:t>
            </w:r>
          </w:p>
        </w:tc>
      </w:tr>
      <w:tr w:rsidR="009548A6" w:rsidRPr="00A0240E" w:rsidTr="003332EE">
        <w:trPr>
          <w:trHeight w:val="659"/>
        </w:trPr>
        <w:tc>
          <w:tcPr>
            <w:tcW w:w="5245"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A0240E" w:rsidRDefault="009548A6" w:rsidP="00B716D7">
            <w:pPr>
              <w:widowControl/>
              <w:snapToGrid w:val="0"/>
              <w:jc w:val="center"/>
              <w:rPr>
                <w:rFonts w:ascii="標楷體" w:eastAsia="標楷體" w:hAnsi="標楷體"/>
                <w:sz w:val="22"/>
                <w:szCs w:val="22"/>
              </w:rPr>
            </w:pPr>
            <w:r w:rsidRPr="00A3253E">
              <w:rPr>
                <w:rFonts w:eastAsia="標楷體"/>
                <w:sz w:val="22"/>
                <w:szCs w:val="22"/>
              </w:rPr>
              <w:t>Forecast institutions</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A0240E" w:rsidRDefault="009548A6" w:rsidP="00E14A3E">
            <w:pPr>
              <w:snapToGrid w:val="0"/>
              <w:jc w:val="center"/>
              <w:rPr>
                <w:rFonts w:ascii="標楷體" w:eastAsia="標楷體" w:hAnsi="標楷體" w:cs="新細明體"/>
                <w:b/>
                <w:bCs/>
                <w:sz w:val="22"/>
                <w:szCs w:val="22"/>
              </w:rPr>
            </w:pPr>
            <w:r w:rsidRPr="00A0240E">
              <w:rPr>
                <w:rFonts w:eastAsia="標楷體"/>
                <w:bCs/>
                <w:sz w:val="22"/>
                <w:szCs w:val="22"/>
              </w:rPr>
              <w:t>201</w:t>
            </w:r>
            <w:r w:rsidRPr="00A0240E">
              <w:rPr>
                <w:rFonts w:eastAsia="標楷體" w:hint="eastAsia"/>
                <w:bCs/>
                <w:sz w:val="22"/>
                <w:szCs w:val="22"/>
              </w:rPr>
              <w:t>9</w:t>
            </w:r>
            <w:r>
              <w:rPr>
                <w:rFonts w:eastAsia="標楷體" w:hint="eastAsia"/>
                <w:bCs/>
                <w:sz w:val="22"/>
                <w:szCs w:val="22"/>
              </w:rPr>
              <w:t xml:space="preserve"> </w:t>
            </w:r>
            <w:r w:rsidRPr="00A0240E">
              <w:rPr>
                <w:rFonts w:eastAsia="標楷體"/>
                <w:bCs/>
                <w:sz w:val="22"/>
                <w:szCs w:val="22"/>
              </w:rPr>
              <w:t>(f)</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0954A0" w:rsidRDefault="009548A6" w:rsidP="00B716D7">
            <w:pPr>
              <w:snapToGrid w:val="0"/>
              <w:jc w:val="center"/>
              <w:rPr>
                <w:rFonts w:eastAsia="標楷體"/>
                <w:bCs/>
                <w:sz w:val="22"/>
                <w:szCs w:val="22"/>
              </w:rPr>
            </w:pPr>
            <w:r>
              <w:rPr>
                <w:rFonts w:eastAsia="標楷體" w:hint="eastAsia"/>
                <w:bCs/>
                <w:sz w:val="22"/>
                <w:szCs w:val="22"/>
              </w:rPr>
              <w:t>2020 (f)</w:t>
            </w:r>
          </w:p>
        </w:tc>
      </w:tr>
      <w:tr w:rsidR="009548A6" w:rsidRPr="00A0240E" w:rsidTr="003332EE">
        <w:trPr>
          <w:trHeight w:val="458"/>
        </w:trPr>
        <w:tc>
          <w:tcPr>
            <w:tcW w:w="1843" w:type="dxa"/>
            <w:vMerge w:val="restart"/>
            <w:tcBorders>
              <w:top w:val="single" w:sz="4" w:space="0" w:color="auto"/>
              <w:left w:val="single" w:sz="4" w:space="0" w:color="auto"/>
              <w:right w:val="single" w:sz="4" w:space="0" w:color="auto"/>
            </w:tcBorders>
            <w:vAlign w:val="center"/>
          </w:tcPr>
          <w:p w:rsidR="009548A6" w:rsidRPr="00800BD7" w:rsidRDefault="009548A6" w:rsidP="003332EE">
            <w:pPr>
              <w:snapToGrid w:val="0"/>
              <w:jc w:val="center"/>
              <w:rPr>
                <w:rFonts w:eastAsia="標楷體"/>
                <w:bCs/>
                <w:sz w:val="22"/>
                <w:szCs w:val="22"/>
              </w:rPr>
            </w:pPr>
            <w:r w:rsidRPr="00A3253E">
              <w:rPr>
                <w:rFonts w:eastAsia="標楷體"/>
                <w:bCs/>
                <w:sz w:val="22"/>
                <w:szCs w:val="22"/>
              </w:rPr>
              <w:t>Domestic institutions</w:t>
            </w:r>
          </w:p>
        </w:tc>
        <w:tc>
          <w:tcPr>
            <w:tcW w:w="3402" w:type="dxa"/>
            <w:tcBorders>
              <w:top w:val="single" w:sz="4" w:space="0" w:color="auto"/>
              <w:left w:val="single" w:sz="4" w:space="0" w:color="auto"/>
              <w:bottom w:val="single" w:sz="4" w:space="0" w:color="auto"/>
              <w:right w:val="single" w:sz="4" w:space="0" w:color="auto"/>
            </w:tcBorders>
            <w:shd w:val="clear" w:color="auto" w:fill="FFFFCC"/>
            <w:noWrap/>
            <w:vAlign w:val="center"/>
          </w:tcPr>
          <w:p w:rsidR="009548A6" w:rsidRPr="005C7BCC" w:rsidRDefault="009548A6" w:rsidP="009B3719">
            <w:pPr>
              <w:jc w:val="both"/>
              <w:rPr>
                <w:rFonts w:eastAsia="標楷體"/>
                <w:b/>
              </w:rPr>
            </w:pPr>
            <w:r>
              <w:rPr>
                <w:rFonts w:eastAsia="標楷體" w:hint="eastAsia"/>
                <w:b/>
              </w:rPr>
              <w:t xml:space="preserve">CBC </w:t>
            </w:r>
            <w:r w:rsidRPr="005C7BCC">
              <w:rPr>
                <w:rFonts w:eastAsia="標楷體"/>
                <w:b/>
              </w:rPr>
              <w:t>(2019/12/19)</w:t>
            </w:r>
          </w:p>
        </w:tc>
        <w:tc>
          <w:tcPr>
            <w:tcW w:w="1701" w:type="dxa"/>
            <w:tcBorders>
              <w:top w:val="single" w:sz="4" w:space="0" w:color="auto"/>
              <w:left w:val="single" w:sz="4" w:space="0" w:color="auto"/>
              <w:bottom w:val="single" w:sz="4" w:space="0" w:color="auto"/>
              <w:right w:val="single" w:sz="4" w:space="0" w:color="auto"/>
            </w:tcBorders>
            <w:shd w:val="clear" w:color="auto" w:fill="FFFFCC"/>
            <w:vAlign w:val="center"/>
          </w:tcPr>
          <w:p w:rsidR="009548A6" w:rsidRPr="005C7BCC" w:rsidRDefault="009548A6" w:rsidP="009B3719">
            <w:pPr>
              <w:jc w:val="center"/>
              <w:rPr>
                <w:b/>
              </w:rPr>
            </w:pPr>
            <w:r w:rsidRPr="005C7BCC">
              <w:rPr>
                <w:rFonts w:hint="eastAsia"/>
                <w:b/>
              </w:rPr>
              <w:t>2.60</w:t>
            </w:r>
          </w:p>
        </w:tc>
        <w:tc>
          <w:tcPr>
            <w:tcW w:w="1701" w:type="dxa"/>
            <w:tcBorders>
              <w:top w:val="single" w:sz="4" w:space="0" w:color="auto"/>
              <w:left w:val="single" w:sz="4" w:space="0" w:color="auto"/>
              <w:bottom w:val="single" w:sz="4" w:space="0" w:color="auto"/>
              <w:right w:val="single" w:sz="4" w:space="0" w:color="auto"/>
            </w:tcBorders>
            <w:shd w:val="clear" w:color="auto" w:fill="FFFFCC"/>
            <w:vAlign w:val="center"/>
          </w:tcPr>
          <w:p w:rsidR="009548A6" w:rsidRPr="005C7BCC" w:rsidRDefault="009548A6" w:rsidP="009B3719">
            <w:pPr>
              <w:jc w:val="center"/>
              <w:rPr>
                <w:b/>
              </w:rPr>
            </w:pPr>
            <w:r w:rsidRPr="005C7BCC">
              <w:rPr>
                <w:rFonts w:hint="eastAsia"/>
                <w:b/>
              </w:rPr>
              <w:t>2.57</w:t>
            </w:r>
          </w:p>
        </w:tc>
      </w:tr>
      <w:tr w:rsidR="009548A6" w:rsidRPr="00A0240E" w:rsidTr="003332EE">
        <w:trPr>
          <w:trHeight w:val="458"/>
        </w:trPr>
        <w:tc>
          <w:tcPr>
            <w:tcW w:w="1843" w:type="dxa"/>
            <w:vMerge/>
            <w:tcBorders>
              <w:left w:val="single" w:sz="4" w:space="0" w:color="auto"/>
              <w:right w:val="single" w:sz="4" w:space="0" w:color="auto"/>
            </w:tcBorders>
            <w:textDirection w:val="tbRlV"/>
            <w:vAlign w:val="center"/>
          </w:tcPr>
          <w:p w:rsidR="009548A6" w:rsidRPr="00A0240E" w:rsidRDefault="009548A6" w:rsidP="00B716D7">
            <w:pPr>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14096B" w:rsidRDefault="009548A6" w:rsidP="009B3719">
            <w:pPr>
              <w:jc w:val="both"/>
              <w:rPr>
                <w:rFonts w:eastAsia="標楷體"/>
              </w:rPr>
            </w:pPr>
            <w:r>
              <w:rPr>
                <w:rFonts w:eastAsia="標楷體" w:hint="eastAsia"/>
              </w:rPr>
              <w:t xml:space="preserve">CIER </w:t>
            </w:r>
            <w:r w:rsidRPr="0014096B">
              <w:rPr>
                <w:rFonts w:eastAsia="標楷體"/>
              </w:rPr>
              <w:t>(2019/12/19)</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9B3719">
            <w:pPr>
              <w:jc w:val="center"/>
            </w:pPr>
            <w:r w:rsidRPr="0014096B">
              <w:rPr>
                <w:rFonts w:hint="eastAsia"/>
              </w:rPr>
              <w:t>2.54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9B3719">
            <w:pPr>
              <w:jc w:val="center"/>
            </w:pPr>
            <w:r w:rsidRPr="0014096B">
              <w:rPr>
                <w:rFonts w:hint="eastAsia"/>
              </w:rPr>
              <w:t>2.44</w:t>
            </w:r>
          </w:p>
        </w:tc>
      </w:tr>
      <w:tr w:rsidR="009548A6" w:rsidRPr="00A0240E" w:rsidTr="003332EE">
        <w:trPr>
          <w:trHeight w:val="458"/>
        </w:trPr>
        <w:tc>
          <w:tcPr>
            <w:tcW w:w="1843" w:type="dxa"/>
            <w:vMerge/>
            <w:tcBorders>
              <w:left w:val="single" w:sz="4" w:space="0" w:color="auto"/>
              <w:right w:val="single" w:sz="4" w:space="0" w:color="auto"/>
            </w:tcBorders>
            <w:textDirection w:val="tbRlV"/>
            <w:vAlign w:val="center"/>
          </w:tcPr>
          <w:p w:rsidR="009548A6" w:rsidRPr="00A0240E" w:rsidRDefault="009548A6" w:rsidP="00B716D7">
            <w:pPr>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14096B" w:rsidRDefault="009548A6" w:rsidP="00457C4A">
            <w:pPr>
              <w:jc w:val="both"/>
            </w:pPr>
            <w:r w:rsidRPr="00A3253E">
              <w:rPr>
                <w:rFonts w:eastAsia="標楷體"/>
              </w:rPr>
              <w:t xml:space="preserve">Academia </w:t>
            </w:r>
            <w:proofErr w:type="spellStart"/>
            <w:r w:rsidRPr="00A3253E">
              <w:rPr>
                <w:rFonts w:eastAsia="標楷體"/>
              </w:rPr>
              <w:t>Sinica</w:t>
            </w:r>
            <w:proofErr w:type="spellEnd"/>
            <w:r w:rsidRPr="0014096B">
              <w:rPr>
                <w:rFonts w:eastAsia="標楷體" w:hint="eastAsia"/>
              </w:rPr>
              <w:t xml:space="preserve"> (2019/12/18)</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457C4A">
            <w:pPr>
              <w:jc w:val="center"/>
            </w:pPr>
            <w:r w:rsidRPr="0014096B">
              <w:rPr>
                <w:rFonts w:hint="eastAsia"/>
              </w:rPr>
              <w:t>2.62</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457C4A">
            <w:pPr>
              <w:jc w:val="center"/>
            </w:pPr>
            <w:r w:rsidRPr="0014096B">
              <w:rPr>
                <w:rFonts w:hint="eastAsia"/>
              </w:rPr>
              <w:t>2.58</w:t>
            </w:r>
          </w:p>
        </w:tc>
      </w:tr>
      <w:tr w:rsidR="009548A6" w:rsidRPr="00A0240E" w:rsidTr="003332EE">
        <w:trPr>
          <w:trHeight w:val="458"/>
        </w:trPr>
        <w:tc>
          <w:tcPr>
            <w:tcW w:w="1843" w:type="dxa"/>
            <w:vMerge/>
            <w:tcBorders>
              <w:left w:val="single" w:sz="4" w:space="0" w:color="auto"/>
              <w:right w:val="single" w:sz="4" w:space="0" w:color="auto"/>
            </w:tcBorders>
            <w:textDirection w:val="tbRlV"/>
            <w:vAlign w:val="center"/>
          </w:tcPr>
          <w:p w:rsidR="009548A6" w:rsidRPr="00A0240E" w:rsidRDefault="009548A6" w:rsidP="00B716D7">
            <w:pPr>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14096B" w:rsidRDefault="009548A6" w:rsidP="009B3719">
            <w:pPr>
              <w:jc w:val="both"/>
              <w:rPr>
                <w:rFonts w:eastAsia="標楷體"/>
              </w:rPr>
            </w:pPr>
            <w:r>
              <w:rPr>
                <w:rFonts w:eastAsia="標楷體" w:hint="eastAsia"/>
              </w:rPr>
              <w:t xml:space="preserve">TRI </w:t>
            </w:r>
            <w:r w:rsidRPr="0014096B">
              <w:rPr>
                <w:rFonts w:eastAsia="標楷體"/>
              </w:rPr>
              <w:t>(2019/12/17)</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9B3719">
            <w:pPr>
              <w:jc w:val="center"/>
            </w:pPr>
            <w:r w:rsidRPr="0014096B">
              <w:rPr>
                <w:rFonts w:hint="eastAsia"/>
              </w:rPr>
              <w:t>2.59</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9B3719">
            <w:pPr>
              <w:jc w:val="center"/>
            </w:pPr>
            <w:r w:rsidRPr="0014096B">
              <w:rPr>
                <w:rFonts w:hint="eastAsia"/>
              </w:rPr>
              <w:t>2.63</w:t>
            </w:r>
          </w:p>
        </w:tc>
      </w:tr>
      <w:tr w:rsidR="009548A6" w:rsidRPr="00A0240E" w:rsidTr="003332EE">
        <w:trPr>
          <w:trHeight w:val="458"/>
        </w:trPr>
        <w:tc>
          <w:tcPr>
            <w:tcW w:w="1843" w:type="dxa"/>
            <w:vMerge/>
            <w:tcBorders>
              <w:left w:val="single" w:sz="4" w:space="0" w:color="auto"/>
              <w:right w:val="single" w:sz="4" w:space="0" w:color="auto"/>
            </w:tcBorders>
            <w:textDirection w:val="tbRlV"/>
            <w:vAlign w:val="center"/>
            <w:hideMark/>
          </w:tcPr>
          <w:p w:rsidR="009548A6" w:rsidRPr="00A0240E" w:rsidRDefault="009548A6" w:rsidP="00B716D7">
            <w:pPr>
              <w:widowControl/>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14096B" w:rsidRDefault="009548A6" w:rsidP="009B3719">
            <w:pPr>
              <w:jc w:val="both"/>
              <w:rPr>
                <w:rFonts w:eastAsia="標楷體"/>
              </w:rPr>
            </w:pPr>
            <w:r>
              <w:rPr>
                <w:rFonts w:eastAsia="標楷體" w:hint="eastAsia"/>
              </w:rPr>
              <w:t>NTU/Cathay</w:t>
            </w:r>
            <w:r w:rsidRPr="0014096B">
              <w:rPr>
                <w:rFonts w:eastAsia="標楷體"/>
              </w:rPr>
              <w:t xml:space="preserve"> (2019/12/16)</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548A6" w:rsidRPr="0014096B" w:rsidRDefault="009548A6" w:rsidP="009B3719">
            <w:pPr>
              <w:jc w:val="center"/>
            </w:pPr>
            <w:r w:rsidRPr="0014096B">
              <w:rPr>
                <w:rFonts w:hint="eastAsia"/>
              </w:rPr>
              <w:t>2.50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9B3719">
            <w:pPr>
              <w:jc w:val="center"/>
            </w:pPr>
            <w:r w:rsidRPr="0014096B">
              <w:rPr>
                <w:rFonts w:hint="eastAsia"/>
              </w:rPr>
              <w:t>2.30</w:t>
            </w:r>
          </w:p>
        </w:tc>
      </w:tr>
      <w:tr w:rsidR="009548A6" w:rsidRPr="00A0240E" w:rsidTr="003332EE">
        <w:trPr>
          <w:trHeight w:val="458"/>
        </w:trPr>
        <w:tc>
          <w:tcPr>
            <w:tcW w:w="1843" w:type="dxa"/>
            <w:vMerge/>
            <w:tcBorders>
              <w:left w:val="single" w:sz="4" w:space="0" w:color="auto"/>
              <w:right w:val="single" w:sz="4" w:space="0" w:color="auto"/>
            </w:tcBorders>
            <w:textDirection w:val="tbRlV"/>
            <w:vAlign w:val="center"/>
          </w:tcPr>
          <w:p w:rsidR="009548A6" w:rsidRPr="00A0240E" w:rsidRDefault="009548A6" w:rsidP="00B716D7">
            <w:pPr>
              <w:widowControl/>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14096B" w:rsidRDefault="009548A6" w:rsidP="009B3719">
            <w:pPr>
              <w:jc w:val="both"/>
              <w:rPr>
                <w:rFonts w:eastAsia="標楷體"/>
              </w:rPr>
            </w:pPr>
            <w:r>
              <w:rPr>
                <w:rFonts w:eastAsia="標楷體" w:hint="eastAsia"/>
              </w:rPr>
              <w:t xml:space="preserve">DGBAS </w:t>
            </w:r>
            <w:r w:rsidRPr="0014096B">
              <w:rPr>
                <w:rFonts w:eastAsia="標楷體"/>
              </w:rPr>
              <w:t>(2019/11/29)</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9B3719">
            <w:pPr>
              <w:jc w:val="center"/>
            </w:pPr>
            <w:r w:rsidRPr="0014096B">
              <w:rPr>
                <w:rFonts w:hint="eastAsia"/>
              </w:rPr>
              <w:t>2.64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9B3719">
            <w:pPr>
              <w:jc w:val="center"/>
            </w:pPr>
            <w:r w:rsidRPr="0014096B">
              <w:rPr>
                <w:rFonts w:hint="eastAsia"/>
              </w:rPr>
              <w:t>2.72</w:t>
            </w:r>
          </w:p>
        </w:tc>
      </w:tr>
      <w:tr w:rsidR="009548A6" w:rsidRPr="00A0240E" w:rsidTr="003332EE">
        <w:trPr>
          <w:trHeight w:val="389"/>
        </w:trPr>
        <w:tc>
          <w:tcPr>
            <w:tcW w:w="1843" w:type="dxa"/>
            <w:vMerge/>
            <w:tcBorders>
              <w:left w:val="single" w:sz="4" w:space="0" w:color="auto"/>
              <w:bottom w:val="double" w:sz="4" w:space="0" w:color="auto"/>
              <w:right w:val="single" w:sz="4" w:space="0" w:color="auto"/>
            </w:tcBorders>
            <w:vAlign w:val="center"/>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double" w:sz="4" w:space="0" w:color="auto"/>
              <w:right w:val="single" w:sz="4" w:space="0" w:color="auto"/>
            </w:tcBorders>
            <w:shd w:val="clear" w:color="000000" w:fill="FFFFFF"/>
            <w:noWrap/>
            <w:vAlign w:val="center"/>
          </w:tcPr>
          <w:p w:rsidR="009548A6" w:rsidRPr="0014096B" w:rsidRDefault="009548A6" w:rsidP="002F41A7">
            <w:pPr>
              <w:jc w:val="center"/>
              <w:rPr>
                <w:rFonts w:eastAsia="標楷體"/>
                <w:b/>
              </w:rPr>
            </w:pPr>
            <w:r>
              <w:rPr>
                <w:rFonts w:eastAsia="標楷體" w:hint="eastAsia"/>
                <w:b/>
              </w:rPr>
              <w:t xml:space="preserve">    </w:t>
            </w:r>
            <w:r w:rsidRPr="00A3253E">
              <w:rPr>
                <w:rFonts w:eastAsia="標楷體"/>
                <w:b/>
              </w:rPr>
              <w:t xml:space="preserve">Forecast </w:t>
            </w:r>
            <w:r w:rsidRPr="00A3253E">
              <w:rPr>
                <w:rFonts w:eastAsia="標楷體"/>
                <w:b/>
                <w:u w:val="single"/>
              </w:rPr>
              <w:t>Average</w:t>
            </w:r>
          </w:p>
        </w:tc>
        <w:tc>
          <w:tcPr>
            <w:tcW w:w="1701" w:type="dxa"/>
            <w:tcBorders>
              <w:top w:val="single" w:sz="4" w:space="0" w:color="auto"/>
              <w:left w:val="single" w:sz="4" w:space="0" w:color="auto"/>
              <w:bottom w:val="double" w:sz="4" w:space="0" w:color="auto"/>
              <w:right w:val="single" w:sz="4" w:space="0" w:color="auto"/>
            </w:tcBorders>
            <w:shd w:val="clear" w:color="000000" w:fill="FFFFFF"/>
            <w:vAlign w:val="center"/>
          </w:tcPr>
          <w:p w:rsidR="009548A6" w:rsidRPr="0014096B" w:rsidRDefault="009548A6" w:rsidP="00C962EA">
            <w:pPr>
              <w:jc w:val="center"/>
              <w:rPr>
                <w:rFonts w:eastAsia="標楷體"/>
                <w:b/>
              </w:rPr>
            </w:pPr>
            <w:r w:rsidRPr="0014096B">
              <w:rPr>
                <w:rFonts w:eastAsia="標楷體"/>
                <w:b/>
              </w:rPr>
              <w:t>2.</w:t>
            </w:r>
            <w:r>
              <w:rPr>
                <w:rFonts w:eastAsia="標楷體" w:hint="eastAsia"/>
                <w:b/>
              </w:rPr>
              <w:t>58</w:t>
            </w:r>
          </w:p>
        </w:tc>
        <w:tc>
          <w:tcPr>
            <w:tcW w:w="1701" w:type="dxa"/>
            <w:tcBorders>
              <w:top w:val="single" w:sz="4" w:space="0" w:color="auto"/>
              <w:left w:val="single" w:sz="4" w:space="0" w:color="auto"/>
              <w:bottom w:val="double" w:sz="4" w:space="0" w:color="auto"/>
              <w:right w:val="single" w:sz="4" w:space="0" w:color="auto"/>
            </w:tcBorders>
            <w:shd w:val="clear" w:color="000000" w:fill="FFFFFF"/>
            <w:vAlign w:val="center"/>
          </w:tcPr>
          <w:p w:rsidR="009548A6" w:rsidRPr="0014096B" w:rsidRDefault="009548A6" w:rsidP="00C962EA">
            <w:pPr>
              <w:jc w:val="center"/>
              <w:rPr>
                <w:rFonts w:eastAsia="標楷體"/>
                <w:b/>
              </w:rPr>
            </w:pPr>
            <w:r w:rsidRPr="0014096B">
              <w:rPr>
                <w:rFonts w:eastAsia="標楷體"/>
                <w:b/>
              </w:rPr>
              <w:t>2.</w:t>
            </w:r>
            <w:r>
              <w:rPr>
                <w:rFonts w:eastAsia="標楷體" w:hint="eastAsia"/>
                <w:b/>
              </w:rPr>
              <w:t>54</w:t>
            </w:r>
          </w:p>
        </w:tc>
      </w:tr>
      <w:tr w:rsidR="009548A6" w:rsidRPr="00FD429D" w:rsidTr="003332EE">
        <w:trPr>
          <w:trHeight w:val="456"/>
        </w:trPr>
        <w:tc>
          <w:tcPr>
            <w:tcW w:w="1843" w:type="dxa"/>
            <w:vMerge w:val="restart"/>
            <w:tcBorders>
              <w:top w:val="double" w:sz="4" w:space="0" w:color="auto"/>
              <w:left w:val="single" w:sz="4" w:space="0" w:color="auto"/>
              <w:right w:val="single" w:sz="4" w:space="0" w:color="auto"/>
            </w:tcBorders>
            <w:shd w:val="clear" w:color="000000" w:fill="FFFFFF"/>
            <w:vAlign w:val="center"/>
            <w:hideMark/>
          </w:tcPr>
          <w:p w:rsidR="009548A6" w:rsidRDefault="009548A6" w:rsidP="003332EE">
            <w:pPr>
              <w:snapToGrid w:val="0"/>
              <w:jc w:val="center"/>
              <w:rPr>
                <w:rFonts w:eastAsia="標楷體"/>
                <w:bCs/>
                <w:sz w:val="22"/>
                <w:szCs w:val="22"/>
              </w:rPr>
            </w:pPr>
            <w:r>
              <w:rPr>
                <w:rFonts w:eastAsia="標楷體" w:hint="eastAsia"/>
                <w:bCs/>
                <w:sz w:val="22"/>
                <w:szCs w:val="22"/>
              </w:rPr>
              <w:t>Foreign</w:t>
            </w:r>
            <w:r w:rsidRPr="00A3253E">
              <w:rPr>
                <w:rFonts w:eastAsia="標楷體"/>
                <w:bCs/>
                <w:sz w:val="22"/>
                <w:szCs w:val="22"/>
              </w:rPr>
              <w:t xml:space="preserve"> </w:t>
            </w:r>
          </w:p>
          <w:p w:rsidR="009548A6" w:rsidRPr="00A0240E" w:rsidRDefault="009548A6" w:rsidP="003332EE">
            <w:pPr>
              <w:snapToGrid w:val="0"/>
              <w:jc w:val="center"/>
              <w:rPr>
                <w:rFonts w:eastAsia="標楷體"/>
                <w:bCs/>
                <w:sz w:val="22"/>
                <w:szCs w:val="22"/>
              </w:rPr>
            </w:pPr>
            <w:r w:rsidRPr="00A3253E">
              <w:rPr>
                <w:rFonts w:eastAsia="標楷體"/>
                <w:bCs/>
                <w:sz w:val="22"/>
                <w:szCs w:val="22"/>
              </w:rPr>
              <w:t>institutions</w:t>
            </w:r>
          </w:p>
        </w:tc>
        <w:tc>
          <w:tcPr>
            <w:tcW w:w="3402" w:type="dxa"/>
            <w:tcBorders>
              <w:top w:val="double" w:sz="4" w:space="0" w:color="auto"/>
              <w:left w:val="single" w:sz="4" w:space="0" w:color="auto"/>
              <w:bottom w:val="single" w:sz="4" w:space="0" w:color="auto"/>
              <w:right w:val="single" w:sz="4" w:space="0" w:color="auto"/>
            </w:tcBorders>
            <w:shd w:val="clear" w:color="000000" w:fill="FFFFFF"/>
            <w:noWrap/>
            <w:vAlign w:val="center"/>
            <w:hideMark/>
          </w:tcPr>
          <w:p w:rsidR="009548A6" w:rsidRPr="00FD429D" w:rsidRDefault="009548A6" w:rsidP="00566BBA">
            <w:pPr>
              <w:jc w:val="both"/>
            </w:pPr>
            <w:r w:rsidRPr="00FD429D">
              <w:rPr>
                <w:rFonts w:hint="eastAsia"/>
              </w:rPr>
              <w:t>Deutsche Bank</w:t>
            </w:r>
            <w:r>
              <w:rPr>
                <w:rFonts w:hint="eastAsia"/>
              </w:rPr>
              <w:t xml:space="preserve"> </w:t>
            </w:r>
            <w:r w:rsidRPr="00FD429D">
              <w:rPr>
                <w:rFonts w:hint="eastAsia"/>
              </w:rPr>
              <w:t>(2019/12/17)</w:t>
            </w:r>
          </w:p>
        </w:tc>
        <w:tc>
          <w:tcPr>
            <w:tcW w:w="1701" w:type="dxa"/>
            <w:tcBorders>
              <w:top w:val="double" w:sz="4" w:space="0" w:color="auto"/>
              <w:left w:val="single" w:sz="4" w:space="0" w:color="auto"/>
              <w:bottom w:val="single" w:sz="4" w:space="0" w:color="auto"/>
              <w:right w:val="single" w:sz="4" w:space="0" w:color="auto"/>
            </w:tcBorders>
            <w:shd w:val="clear" w:color="000000" w:fill="FFFFFF"/>
            <w:noWrap/>
            <w:vAlign w:val="center"/>
            <w:hideMark/>
          </w:tcPr>
          <w:p w:rsidR="009548A6" w:rsidRPr="00FD429D" w:rsidRDefault="009548A6" w:rsidP="008703B0">
            <w:pPr>
              <w:jc w:val="center"/>
            </w:pPr>
            <w:r w:rsidRPr="00FD429D">
              <w:rPr>
                <w:rFonts w:hint="eastAsia"/>
              </w:rPr>
              <w:t>2.60</w:t>
            </w:r>
          </w:p>
        </w:tc>
        <w:tc>
          <w:tcPr>
            <w:tcW w:w="1701" w:type="dxa"/>
            <w:tcBorders>
              <w:top w:val="double" w:sz="4" w:space="0" w:color="auto"/>
              <w:left w:val="single" w:sz="4" w:space="0" w:color="auto"/>
              <w:bottom w:val="single" w:sz="4" w:space="0" w:color="auto"/>
              <w:right w:val="single" w:sz="4" w:space="0" w:color="auto"/>
            </w:tcBorders>
            <w:shd w:val="clear" w:color="000000" w:fill="FFFFFF"/>
            <w:vAlign w:val="center"/>
          </w:tcPr>
          <w:p w:rsidR="009548A6" w:rsidRPr="00FD429D" w:rsidRDefault="009548A6" w:rsidP="008703B0">
            <w:pPr>
              <w:jc w:val="center"/>
            </w:pPr>
            <w:r w:rsidRPr="00FD429D">
              <w:rPr>
                <w:rFonts w:hint="eastAsia"/>
              </w:rPr>
              <w:t>2.80</w:t>
            </w:r>
          </w:p>
        </w:tc>
      </w:tr>
      <w:tr w:rsidR="009548A6" w:rsidRPr="00A0240E" w:rsidTr="003332EE">
        <w:trPr>
          <w:trHeight w:val="456"/>
        </w:trPr>
        <w:tc>
          <w:tcPr>
            <w:tcW w:w="1843" w:type="dxa"/>
            <w:vMerge/>
            <w:tcBorders>
              <w:left w:val="single" w:sz="4" w:space="0" w:color="auto"/>
              <w:right w:val="single" w:sz="4" w:space="0" w:color="auto"/>
            </w:tcBorders>
            <w:vAlign w:val="center"/>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65298B" w:rsidRDefault="009548A6" w:rsidP="008703B0">
            <w:pPr>
              <w:jc w:val="both"/>
            </w:pPr>
            <w:r w:rsidRPr="00566BBA">
              <w:rPr>
                <w:rFonts w:hint="eastAsia"/>
                <w:color w:val="000000" w:themeColor="text1"/>
              </w:rPr>
              <w:t xml:space="preserve">IHS </w:t>
            </w:r>
            <w:proofErr w:type="spellStart"/>
            <w:r w:rsidRPr="00566BBA">
              <w:rPr>
                <w:rFonts w:hint="eastAsia"/>
                <w:color w:val="000000" w:themeColor="text1"/>
              </w:rPr>
              <w:t>Markit</w:t>
            </w:r>
            <w:proofErr w:type="spellEnd"/>
            <w:r>
              <w:rPr>
                <w:rFonts w:hint="eastAsia"/>
                <w:color w:val="000000" w:themeColor="text1"/>
              </w:rPr>
              <w:t xml:space="preserve"> </w:t>
            </w:r>
            <w:r w:rsidRPr="00566BBA">
              <w:rPr>
                <w:rFonts w:hint="eastAsia"/>
                <w:color w:val="000000" w:themeColor="text1"/>
              </w:rPr>
              <w:t>(2019/12/16)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65298B" w:rsidRDefault="009548A6" w:rsidP="008703B0">
            <w:pPr>
              <w:jc w:val="center"/>
            </w:pPr>
            <w:r w:rsidRPr="00566BBA">
              <w:rPr>
                <w:rFonts w:hint="eastAsia"/>
                <w:color w:val="000000" w:themeColor="text1"/>
              </w:rPr>
              <w:t>2.46</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566BBA">
              <w:rPr>
                <w:rFonts w:hint="eastAsia"/>
                <w:color w:val="000000" w:themeColor="text1"/>
              </w:rPr>
              <w:t>2.23</w:t>
            </w:r>
          </w:p>
        </w:tc>
      </w:tr>
      <w:tr w:rsidR="009548A6" w:rsidRPr="00A0240E" w:rsidTr="003332EE">
        <w:trPr>
          <w:trHeight w:val="456"/>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r w:rsidRPr="0065298B">
              <w:rPr>
                <w:rFonts w:hint="eastAsia"/>
              </w:rPr>
              <w:t>Goldman Sachs</w:t>
            </w:r>
            <w:r>
              <w:rPr>
                <w:rFonts w:hint="eastAsia"/>
              </w:rPr>
              <w:t xml:space="preserve"> (</w:t>
            </w:r>
            <w:r w:rsidRPr="0065298B">
              <w:rPr>
                <w:rFonts w:hint="eastAsia"/>
              </w:rPr>
              <w:t>2019/12/16</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2.50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2.40</w:t>
            </w:r>
          </w:p>
        </w:tc>
      </w:tr>
      <w:tr w:rsidR="009548A6" w:rsidRPr="00A0240E" w:rsidTr="003332EE">
        <w:trPr>
          <w:trHeight w:val="456"/>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r w:rsidRPr="0065298B">
              <w:rPr>
                <w:rFonts w:hint="eastAsia"/>
              </w:rPr>
              <w:t>Standard Chartered</w:t>
            </w:r>
            <w:r>
              <w:rPr>
                <w:rFonts w:hint="eastAsia"/>
              </w:rPr>
              <w:t xml:space="preserve"> (</w:t>
            </w:r>
            <w:r w:rsidRPr="0065298B">
              <w:rPr>
                <w:rFonts w:hint="eastAsia"/>
              </w:rPr>
              <w:t>2019/12/16)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2.40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2.20</w:t>
            </w:r>
          </w:p>
        </w:tc>
      </w:tr>
      <w:tr w:rsidR="009548A6" w:rsidRPr="00A0240E" w:rsidTr="003332EE">
        <w:trPr>
          <w:trHeight w:val="456"/>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r w:rsidRPr="0065298B">
              <w:rPr>
                <w:rFonts w:hint="eastAsia"/>
              </w:rPr>
              <w:t>J.P. Morgan</w:t>
            </w:r>
            <w:r>
              <w:rPr>
                <w:rFonts w:hint="eastAsia"/>
              </w:rPr>
              <w:t xml:space="preserve"> (</w:t>
            </w:r>
            <w:r w:rsidRPr="0065298B">
              <w:rPr>
                <w:rFonts w:hint="eastAsia"/>
              </w:rPr>
              <w:t>2019/12/16</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2.60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2.50</w:t>
            </w:r>
          </w:p>
        </w:tc>
      </w:tr>
      <w:tr w:rsidR="009548A6" w:rsidRPr="00A0240E" w:rsidTr="003332EE">
        <w:trPr>
          <w:trHeight w:val="436"/>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r w:rsidRPr="0065298B">
              <w:rPr>
                <w:rFonts w:hint="eastAsia"/>
              </w:rPr>
              <w:t>HSBC</w:t>
            </w:r>
            <w:r>
              <w:rPr>
                <w:rFonts w:hint="eastAsia"/>
              </w:rPr>
              <w:t xml:space="preserve"> (</w:t>
            </w:r>
            <w:r w:rsidRPr="0065298B">
              <w:rPr>
                <w:rFonts w:hint="eastAsia"/>
              </w:rPr>
              <w:t>2019/12/16</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2.40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2.10</w:t>
            </w:r>
          </w:p>
        </w:tc>
      </w:tr>
      <w:tr w:rsidR="009548A6" w:rsidRPr="00A0240E" w:rsidTr="003332EE">
        <w:trPr>
          <w:trHeight w:val="468"/>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proofErr w:type="spellStart"/>
            <w:r w:rsidRPr="0065298B">
              <w:rPr>
                <w:rFonts w:hint="eastAsia"/>
              </w:rPr>
              <w:t>BofA</w:t>
            </w:r>
            <w:proofErr w:type="spellEnd"/>
            <w:r w:rsidRPr="0065298B">
              <w:rPr>
                <w:rFonts w:hint="eastAsia"/>
              </w:rPr>
              <w:t xml:space="preserve"> Merrill Lynch</w:t>
            </w:r>
            <w:r>
              <w:rPr>
                <w:rFonts w:hint="eastAsia"/>
              </w:rPr>
              <w:t xml:space="preserve"> (</w:t>
            </w:r>
            <w:r w:rsidRPr="0065298B">
              <w:rPr>
                <w:rFonts w:hint="eastAsia"/>
              </w:rPr>
              <w:t>2019/12/13</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2.50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2.40</w:t>
            </w:r>
          </w:p>
        </w:tc>
      </w:tr>
      <w:tr w:rsidR="009548A6" w:rsidRPr="00A0240E" w:rsidTr="003332EE">
        <w:trPr>
          <w:trHeight w:val="456"/>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r w:rsidRPr="0065298B">
              <w:rPr>
                <w:rFonts w:hint="eastAsia"/>
              </w:rPr>
              <w:t>Barclays Capital</w:t>
            </w:r>
            <w:r>
              <w:rPr>
                <w:rFonts w:hint="eastAsia"/>
              </w:rPr>
              <w:t xml:space="preserve"> (</w:t>
            </w:r>
            <w:r w:rsidRPr="0065298B">
              <w:rPr>
                <w:rFonts w:hint="eastAsia"/>
              </w:rPr>
              <w:t>2019/12/13</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2.50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2.40</w:t>
            </w:r>
          </w:p>
        </w:tc>
      </w:tr>
      <w:tr w:rsidR="009548A6" w:rsidRPr="00A0240E" w:rsidTr="003332EE">
        <w:trPr>
          <w:trHeight w:val="456"/>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r w:rsidRPr="0065298B">
              <w:rPr>
                <w:rFonts w:hint="eastAsia"/>
              </w:rPr>
              <w:t>Credit Suisse</w:t>
            </w:r>
            <w:r>
              <w:rPr>
                <w:rFonts w:hint="eastAsia"/>
              </w:rPr>
              <w:t xml:space="preserve"> (</w:t>
            </w:r>
            <w:r w:rsidRPr="0065298B">
              <w:rPr>
                <w:rFonts w:hint="eastAsia"/>
              </w:rPr>
              <w:t>2019/12/12</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2.50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2.50</w:t>
            </w:r>
          </w:p>
        </w:tc>
      </w:tr>
      <w:tr w:rsidR="009548A6" w:rsidRPr="00A0240E" w:rsidTr="003332EE">
        <w:trPr>
          <w:trHeight w:val="456"/>
        </w:trPr>
        <w:tc>
          <w:tcPr>
            <w:tcW w:w="1843" w:type="dxa"/>
            <w:vMerge/>
            <w:tcBorders>
              <w:left w:val="single" w:sz="4" w:space="0" w:color="auto"/>
              <w:right w:val="single" w:sz="4" w:space="0" w:color="auto"/>
            </w:tcBorders>
            <w:vAlign w:val="center"/>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65298B" w:rsidRDefault="009548A6" w:rsidP="008703B0">
            <w:pPr>
              <w:jc w:val="both"/>
            </w:pPr>
            <w:r w:rsidRPr="0065298B">
              <w:rPr>
                <w:rFonts w:hint="eastAsia"/>
              </w:rPr>
              <w:t>Citi</w:t>
            </w:r>
            <w:r>
              <w:rPr>
                <w:rFonts w:hint="eastAsia"/>
              </w:rPr>
              <w:t xml:space="preserve"> (</w:t>
            </w:r>
            <w:r w:rsidRPr="0065298B">
              <w:rPr>
                <w:rFonts w:hint="eastAsia"/>
              </w:rPr>
              <w:t>2019/12/12</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65298B" w:rsidRDefault="009548A6" w:rsidP="008703B0">
            <w:pPr>
              <w:jc w:val="center"/>
            </w:pPr>
            <w:r w:rsidRPr="0065298B">
              <w:rPr>
                <w:rFonts w:hint="eastAsia"/>
              </w:rPr>
              <w:t>2.60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2.40</w:t>
            </w:r>
          </w:p>
        </w:tc>
      </w:tr>
      <w:tr w:rsidR="009548A6" w:rsidRPr="00A0240E" w:rsidTr="003332EE">
        <w:trPr>
          <w:trHeight w:val="456"/>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r w:rsidRPr="0065298B">
              <w:rPr>
                <w:rFonts w:hint="eastAsia"/>
              </w:rPr>
              <w:t>Morgan Stanley</w:t>
            </w:r>
            <w:r>
              <w:rPr>
                <w:rFonts w:hint="eastAsia"/>
              </w:rPr>
              <w:t xml:space="preserve"> (</w:t>
            </w:r>
            <w:r w:rsidRPr="0065298B">
              <w:rPr>
                <w:rFonts w:hint="eastAsia"/>
              </w:rPr>
              <w:t>2019/12/12</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2.40</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2.40</w:t>
            </w:r>
          </w:p>
        </w:tc>
      </w:tr>
      <w:tr w:rsidR="009548A6" w:rsidRPr="00A0240E" w:rsidTr="003332EE">
        <w:trPr>
          <w:trHeight w:val="456"/>
        </w:trPr>
        <w:tc>
          <w:tcPr>
            <w:tcW w:w="1843" w:type="dxa"/>
            <w:vMerge/>
            <w:tcBorders>
              <w:left w:val="single" w:sz="4" w:space="0" w:color="auto"/>
              <w:right w:val="single" w:sz="4" w:space="0" w:color="auto"/>
            </w:tcBorders>
            <w:vAlign w:val="center"/>
            <w:hideMark/>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both"/>
            </w:pPr>
            <w:r w:rsidRPr="0065298B">
              <w:rPr>
                <w:rFonts w:hint="eastAsia"/>
              </w:rPr>
              <w:t>UBS</w:t>
            </w:r>
            <w:r>
              <w:rPr>
                <w:rFonts w:hint="eastAsia"/>
              </w:rPr>
              <w:t xml:space="preserve"> (</w:t>
            </w:r>
            <w:r w:rsidRPr="0065298B">
              <w:rPr>
                <w:rFonts w:hint="eastAsia"/>
              </w:rPr>
              <w:t>2019/12/12</w:t>
            </w:r>
            <w:r>
              <w:rPr>
                <w:rFonts w:hint="eastAsia"/>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65298B" w:rsidRDefault="009548A6" w:rsidP="008703B0">
            <w:pPr>
              <w:jc w:val="center"/>
            </w:pPr>
            <w:r w:rsidRPr="0065298B">
              <w:rPr>
                <w:rFonts w:hint="eastAsia"/>
              </w:rPr>
              <w:t>2.45</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65298B" w:rsidRDefault="009548A6" w:rsidP="008703B0">
            <w:pPr>
              <w:jc w:val="center"/>
            </w:pPr>
            <w:r w:rsidRPr="0065298B">
              <w:rPr>
                <w:rFonts w:hint="eastAsia"/>
              </w:rPr>
              <w:t>1.86</w:t>
            </w:r>
          </w:p>
        </w:tc>
      </w:tr>
      <w:tr w:rsidR="009548A6" w:rsidRPr="00A0240E" w:rsidTr="003332EE">
        <w:trPr>
          <w:trHeight w:val="456"/>
        </w:trPr>
        <w:tc>
          <w:tcPr>
            <w:tcW w:w="1843" w:type="dxa"/>
            <w:vMerge/>
            <w:tcBorders>
              <w:left w:val="single" w:sz="4" w:space="0" w:color="auto"/>
              <w:bottom w:val="single" w:sz="4" w:space="0" w:color="auto"/>
              <w:right w:val="single" w:sz="4" w:space="0" w:color="auto"/>
            </w:tcBorders>
            <w:vAlign w:val="center"/>
          </w:tcPr>
          <w:p w:rsidR="009548A6" w:rsidRPr="00A0240E" w:rsidRDefault="009548A6" w:rsidP="00B716D7">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65298B" w:rsidRDefault="009548A6" w:rsidP="009548A6">
            <w:pPr>
              <w:ind w:firstLineChars="400" w:firstLine="801"/>
            </w:pPr>
            <w:r w:rsidRPr="00A3253E">
              <w:rPr>
                <w:rFonts w:eastAsia="標楷體"/>
                <w:b/>
              </w:rPr>
              <w:t xml:space="preserve">Forecast </w:t>
            </w:r>
            <w:r w:rsidRPr="00A3253E">
              <w:rPr>
                <w:rFonts w:eastAsia="標楷體"/>
                <w:b/>
                <w:u w:val="single"/>
              </w:rPr>
              <w:t>Average</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566BBA" w:rsidRDefault="009548A6" w:rsidP="008703B0">
            <w:pPr>
              <w:jc w:val="center"/>
              <w:rPr>
                <w:b/>
                <w:color w:val="000000" w:themeColor="text1"/>
              </w:rPr>
            </w:pPr>
            <w:r w:rsidRPr="00566BBA">
              <w:rPr>
                <w:rFonts w:hint="eastAsia"/>
                <w:b/>
                <w:color w:val="000000" w:themeColor="text1"/>
              </w:rPr>
              <w:t>2.49</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566BBA" w:rsidRDefault="009548A6" w:rsidP="008703B0">
            <w:pPr>
              <w:jc w:val="center"/>
              <w:rPr>
                <w:b/>
                <w:color w:val="000000" w:themeColor="text1"/>
              </w:rPr>
            </w:pPr>
            <w:r>
              <w:rPr>
                <w:rFonts w:hint="eastAsia"/>
                <w:b/>
                <w:color w:val="000000" w:themeColor="text1"/>
              </w:rPr>
              <w:t>2.35</w:t>
            </w:r>
          </w:p>
        </w:tc>
      </w:tr>
    </w:tbl>
    <w:p w:rsidR="009548A6" w:rsidRPr="00A0240E" w:rsidRDefault="009548A6" w:rsidP="00383AD9">
      <w:pPr>
        <w:widowControl/>
        <w:snapToGrid w:val="0"/>
        <w:spacing w:beforeLines="50" w:before="120"/>
        <w:rPr>
          <w:rFonts w:eastAsia="標楷體"/>
          <w:szCs w:val="28"/>
        </w:rPr>
      </w:pPr>
    </w:p>
    <w:p w:rsidR="009548A6" w:rsidRDefault="009548A6" w:rsidP="00383AD9">
      <w:pPr>
        <w:widowControl/>
        <w:snapToGrid w:val="0"/>
        <w:spacing w:beforeLines="50" w:before="120"/>
        <w:rPr>
          <w:rFonts w:eastAsia="標楷體"/>
          <w:szCs w:val="28"/>
        </w:rPr>
        <w:sectPr w:rsidR="009548A6" w:rsidSect="00383AD9">
          <w:footerReference w:type="default" r:id="rId15"/>
          <w:pgSz w:w="11907" w:h="16840" w:code="9"/>
          <w:pgMar w:top="1304" w:right="1418" w:bottom="1418" w:left="1418" w:header="0" w:footer="454" w:gutter="0"/>
          <w:paperSrc w:first="15" w:other="15"/>
          <w:pgNumType w:start="1"/>
          <w:cols w:space="425"/>
          <w:docGrid w:linePitch="272"/>
        </w:sectPr>
      </w:pPr>
    </w:p>
    <w:p w:rsidR="009548A6" w:rsidRPr="00C54C9A" w:rsidRDefault="009548A6" w:rsidP="00C54C9A">
      <w:pPr>
        <w:spacing w:line="480" w:lineRule="exact"/>
        <w:jc w:val="center"/>
        <w:rPr>
          <w:rFonts w:eastAsia="標楷體"/>
          <w:b/>
          <w:sz w:val="32"/>
          <w:szCs w:val="28"/>
        </w:rPr>
      </w:pPr>
      <w:r>
        <w:rPr>
          <w:rFonts w:eastAsia="標楷體" w:hint="eastAsia"/>
          <w:b/>
          <w:sz w:val="28"/>
          <w:szCs w:val="28"/>
        </w:rPr>
        <w:lastRenderedPageBreak/>
        <w:t xml:space="preserve">Table </w:t>
      </w:r>
      <w:proofErr w:type="gramStart"/>
      <w:r>
        <w:rPr>
          <w:rFonts w:eastAsia="標楷體" w:hint="eastAsia"/>
          <w:b/>
          <w:sz w:val="28"/>
          <w:szCs w:val="28"/>
        </w:rPr>
        <w:t xml:space="preserve">2  </w:t>
      </w:r>
      <w:r>
        <w:rPr>
          <w:rFonts w:eastAsia="標楷體"/>
          <w:b/>
          <w:sz w:val="28"/>
          <w:szCs w:val="28"/>
        </w:rPr>
        <w:t>Taiwan</w:t>
      </w:r>
      <w:r w:rsidRPr="00C37050">
        <w:rPr>
          <w:rFonts w:eastAsia="標楷體" w:hint="eastAsia"/>
          <w:b/>
          <w:sz w:val="28"/>
          <w:szCs w:val="28"/>
        </w:rPr>
        <w:t>'</w:t>
      </w:r>
      <w:r>
        <w:rPr>
          <w:rFonts w:eastAsia="標楷體"/>
          <w:b/>
          <w:sz w:val="28"/>
          <w:szCs w:val="28"/>
        </w:rPr>
        <w:t>s</w:t>
      </w:r>
      <w:proofErr w:type="gramEnd"/>
      <w:r>
        <w:rPr>
          <w:rFonts w:eastAsia="標楷體"/>
          <w:b/>
          <w:sz w:val="28"/>
          <w:szCs w:val="28"/>
        </w:rPr>
        <w:t xml:space="preserve"> </w:t>
      </w:r>
      <w:r>
        <w:rPr>
          <w:rFonts w:eastAsia="標楷體" w:hint="eastAsia"/>
          <w:b/>
          <w:sz w:val="28"/>
          <w:szCs w:val="28"/>
        </w:rPr>
        <w:t>Inflation Forecasts by Major Institutions</w:t>
      </w:r>
    </w:p>
    <w:tbl>
      <w:tblPr>
        <w:tblpPr w:leftFromText="180" w:rightFromText="180" w:vertAnchor="text" w:horzAnchor="page" w:tblpX="1657" w:tblpY="210"/>
        <w:tblW w:w="8646" w:type="dxa"/>
        <w:tblLayout w:type="fixed"/>
        <w:tblCellMar>
          <w:left w:w="28" w:type="dxa"/>
          <w:right w:w="28" w:type="dxa"/>
        </w:tblCellMar>
        <w:tblLook w:val="04A0" w:firstRow="1" w:lastRow="0" w:firstColumn="1" w:lastColumn="0" w:noHBand="0" w:noVBand="1"/>
      </w:tblPr>
      <w:tblGrid>
        <w:gridCol w:w="1871"/>
        <w:gridCol w:w="3402"/>
        <w:gridCol w:w="1701"/>
        <w:gridCol w:w="1672"/>
      </w:tblGrid>
      <w:tr w:rsidR="009548A6" w:rsidRPr="00D6542E" w:rsidTr="00C54C9A">
        <w:trPr>
          <w:trHeight w:val="144"/>
        </w:trPr>
        <w:tc>
          <w:tcPr>
            <w:tcW w:w="8646" w:type="dxa"/>
            <w:gridSpan w:val="4"/>
            <w:tcBorders>
              <w:bottom w:val="single" w:sz="4" w:space="0" w:color="auto"/>
            </w:tcBorders>
            <w:shd w:val="clear" w:color="000000" w:fill="FFFFFF"/>
            <w:noWrap/>
            <w:vAlign w:val="center"/>
          </w:tcPr>
          <w:p w:rsidR="009548A6" w:rsidRPr="00D6542E" w:rsidRDefault="009548A6" w:rsidP="00CC07B4">
            <w:pPr>
              <w:wordWrap w:val="0"/>
              <w:snapToGrid w:val="0"/>
              <w:spacing w:line="400" w:lineRule="exact"/>
              <w:ind w:right="200"/>
              <w:jc w:val="right"/>
              <w:rPr>
                <w:rFonts w:eastAsia="標楷體"/>
                <w:bCs/>
                <w:sz w:val="22"/>
                <w:szCs w:val="22"/>
              </w:rPr>
            </w:pPr>
            <w:r>
              <w:rPr>
                <w:rFonts w:eastAsia="標楷體" w:hint="eastAsia"/>
              </w:rPr>
              <w:t xml:space="preserve">Unit: </w:t>
            </w:r>
            <w:r w:rsidRPr="00D6542E">
              <w:rPr>
                <w:rFonts w:eastAsia="標楷體"/>
              </w:rPr>
              <w:t>%</w:t>
            </w:r>
          </w:p>
        </w:tc>
      </w:tr>
      <w:tr w:rsidR="009548A6" w:rsidRPr="00D6542E" w:rsidTr="00C54C9A">
        <w:trPr>
          <w:trHeight w:val="659"/>
        </w:trPr>
        <w:tc>
          <w:tcPr>
            <w:tcW w:w="5273"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D6542E" w:rsidRDefault="009548A6" w:rsidP="00C54C9A">
            <w:pPr>
              <w:widowControl/>
              <w:snapToGrid w:val="0"/>
              <w:jc w:val="center"/>
              <w:rPr>
                <w:rFonts w:eastAsia="標楷體"/>
                <w:sz w:val="22"/>
                <w:szCs w:val="22"/>
              </w:rPr>
            </w:pPr>
            <w:r w:rsidRPr="00A3253E">
              <w:rPr>
                <w:rFonts w:eastAsia="標楷體"/>
                <w:sz w:val="22"/>
                <w:szCs w:val="22"/>
              </w:rPr>
              <w:t>Forecast institutions</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D6542E" w:rsidRDefault="009548A6" w:rsidP="00C54C9A">
            <w:pPr>
              <w:snapToGrid w:val="0"/>
              <w:jc w:val="center"/>
              <w:rPr>
                <w:rFonts w:eastAsia="標楷體"/>
                <w:b/>
                <w:bCs/>
                <w:sz w:val="22"/>
                <w:szCs w:val="22"/>
              </w:rPr>
            </w:pPr>
            <w:r w:rsidRPr="00D6542E">
              <w:rPr>
                <w:rFonts w:eastAsia="標楷體"/>
                <w:bCs/>
                <w:sz w:val="22"/>
                <w:szCs w:val="22"/>
              </w:rPr>
              <w:t>2019</w:t>
            </w:r>
            <w:r>
              <w:rPr>
                <w:rFonts w:eastAsia="標楷體" w:hint="eastAsia"/>
                <w:bCs/>
                <w:sz w:val="22"/>
                <w:szCs w:val="22"/>
              </w:rPr>
              <w:t xml:space="preserve"> </w:t>
            </w:r>
            <w:r w:rsidRPr="00D6542E">
              <w:rPr>
                <w:rFonts w:eastAsia="標楷體"/>
                <w:bCs/>
                <w:sz w:val="22"/>
                <w:szCs w:val="22"/>
              </w:rPr>
              <w:t>(f)</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D6542E" w:rsidRDefault="009548A6" w:rsidP="00C54C9A">
            <w:pPr>
              <w:snapToGrid w:val="0"/>
              <w:jc w:val="center"/>
              <w:rPr>
                <w:rFonts w:eastAsia="標楷體"/>
                <w:bCs/>
                <w:sz w:val="22"/>
                <w:szCs w:val="22"/>
              </w:rPr>
            </w:pPr>
            <w:r w:rsidRPr="00D6542E">
              <w:rPr>
                <w:rFonts w:eastAsia="標楷體"/>
                <w:bCs/>
                <w:sz w:val="22"/>
                <w:szCs w:val="22"/>
              </w:rPr>
              <w:t>2020</w:t>
            </w:r>
            <w:r>
              <w:rPr>
                <w:rFonts w:eastAsia="標楷體" w:hint="eastAsia"/>
                <w:bCs/>
                <w:sz w:val="22"/>
                <w:szCs w:val="22"/>
              </w:rPr>
              <w:t xml:space="preserve"> </w:t>
            </w:r>
            <w:r w:rsidRPr="00D6542E">
              <w:rPr>
                <w:rFonts w:eastAsia="標楷體"/>
                <w:bCs/>
                <w:sz w:val="22"/>
                <w:szCs w:val="22"/>
              </w:rPr>
              <w:t>(f)</w:t>
            </w:r>
          </w:p>
        </w:tc>
      </w:tr>
      <w:tr w:rsidR="009548A6" w:rsidRPr="00D6542E" w:rsidTr="00C54C9A">
        <w:trPr>
          <w:trHeight w:val="458"/>
        </w:trPr>
        <w:tc>
          <w:tcPr>
            <w:tcW w:w="1871" w:type="dxa"/>
            <w:vMerge w:val="restart"/>
            <w:tcBorders>
              <w:top w:val="single" w:sz="4" w:space="0" w:color="auto"/>
              <w:left w:val="single" w:sz="4" w:space="0" w:color="auto"/>
              <w:right w:val="single" w:sz="4" w:space="0" w:color="auto"/>
            </w:tcBorders>
            <w:vAlign w:val="center"/>
          </w:tcPr>
          <w:p w:rsidR="009548A6" w:rsidRPr="00800BD7" w:rsidRDefault="009548A6" w:rsidP="00C54C9A">
            <w:pPr>
              <w:snapToGrid w:val="0"/>
              <w:jc w:val="center"/>
              <w:rPr>
                <w:rFonts w:eastAsia="標楷體"/>
                <w:bCs/>
                <w:sz w:val="22"/>
                <w:szCs w:val="22"/>
              </w:rPr>
            </w:pPr>
            <w:r w:rsidRPr="00A3253E">
              <w:rPr>
                <w:rFonts w:eastAsia="標楷體"/>
                <w:bCs/>
                <w:sz w:val="22"/>
                <w:szCs w:val="22"/>
              </w:rPr>
              <w:t>Domestic institutions</w:t>
            </w:r>
          </w:p>
        </w:tc>
        <w:tc>
          <w:tcPr>
            <w:tcW w:w="3402" w:type="dxa"/>
            <w:tcBorders>
              <w:top w:val="single" w:sz="4" w:space="0" w:color="auto"/>
              <w:left w:val="single" w:sz="4" w:space="0" w:color="auto"/>
              <w:bottom w:val="single" w:sz="4" w:space="0" w:color="auto"/>
              <w:right w:val="single" w:sz="4" w:space="0" w:color="auto"/>
            </w:tcBorders>
            <w:shd w:val="clear" w:color="auto" w:fill="FFFFCC"/>
            <w:noWrap/>
            <w:vAlign w:val="center"/>
          </w:tcPr>
          <w:p w:rsidR="009548A6" w:rsidRPr="00D6542E" w:rsidRDefault="009548A6" w:rsidP="00C54C9A">
            <w:pPr>
              <w:jc w:val="both"/>
              <w:rPr>
                <w:rFonts w:eastAsia="標楷體"/>
                <w:b/>
              </w:rPr>
            </w:pPr>
            <w:r>
              <w:rPr>
                <w:rFonts w:eastAsia="標楷體" w:hint="eastAsia"/>
                <w:b/>
              </w:rPr>
              <w:t xml:space="preserve">CBC </w:t>
            </w:r>
            <w:r>
              <w:rPr>
                <w:rFonts w:eastAsia="標楷體"/>
                <w:b/>
              </w:rPr>
              <w:t>(2019/</w:t>
            </w:r>
            <w:r>
              <w:rPr>
                <w:rFonts w:eastAsia="標楷體" w:hint="eastAsia"/>
                <w:b/>
              </w:rPr>
              <w:t>12</w:t>
            </w:r>
            <w:r w:rsidRPr="00D6542E">
              <w:rPr>
                <w:rFonts w:eastAsia="標楷體"/>
                <w:b/>
              </w:rPr>
              <w:t>/19)</w:t>
            </w:r>
          </w:p>
        </w:tc>
        <w:tc>
          <w:tcPr>
            <w:tcW w:w="1701" w:type="dxa"/>
            <w:tcBorders>
              <w:top w:val="single" w:sz="4" w:space="0" w:color="auto"/>
              <w:left w:val="single" w:sz="4" w:space="0" w:color="auto"/>
              <w:bottom w:val="single" w:sz="4" w:space="0" w:color="auto"/>
              <w:right w:val="single" w:sz="4" w:space="0" w:color="auto"/>
            </w:tcBorders>
            <w:shd w:val="clear" w:color="auto" w:fill="FFFFCC"/>
            <w:vAlign w:val="center"/>
          </w:tcPr>
          <w:p w:rsidR="009548A6" w:rsidRPr="00D6542E" w:rsidRDefault="009548A6" w:rsidP="00C54C9A">
            <w:pPr>
              <w:widowControl/>
              <w:snapToGrid w:val="0"/>
              <w:jc w:val="center"/>
              <w:rPr>
                <w:rFonts w:eastAsia="標楷體"/>
                <w:b/>
                <w:bCs/>
              </w:rPr>
            </w:pPr>
            <w:r>
              <w:rPr>
                <w:rFonts w:eastAsia="標楷體"/>
                <w:b/>
              </w:rPr>
              <w:t>0.</w:t>
            </w:r>
            <w:r>
              <w:rPr>
                <w:rFonts w:eastAsia="標楷體" w:hint="eastAsia"/>
                <w:b/>
              </w:rPr>
              <w:t>54</w:t>
            </w:r>
            <w:r w:rsidRPr="00D6542E">
              <w:rPr>
                <w:rFonts w:eastAsia="標楷體"/>
                <w:b/>
                <w:bCs/>
              </w:rPr>
              <w:br/>
              <w:t>(CPI)</w:t>
            </w:r>
          </w:p>
          <w:p w:rsidR="009548A6" w:rsidRPr="00D6542E" w:rsidRDefault="009548A6" w:rsidP="00C54C9A">
            <w:pPr>
              <w:widowControl/>
              <w:snapToGrid w:val="0"/>
              <w:jc w:val="center"/>
              <w:rPr>
                <w:rFonts w:eastAsia="標楷體"/>
                <w:b/>
              </w:rPr>
            </w:pPr>
            <w:r w:rsidRPr="00D6542E">
              <w:rPr>
                <w:rFonts w:eastAsia="標楷體"/>
                <w:b/>
                <w:bCs/>
              </w:rPr>
              <w:t>0.</w:t>
            </w:r>
            <w:r>
              <w:rPr>
                <w:rFonts w:eastAsia="標楷體" w:hint="eastAsia"/>
                <w:b/>
                <w:bCs/>
              </w:rPr>
              <w:t>49</w:t>
            </w:r>
            <w:r w:rsidRPr="00D6542E">
              <w:rPr>
                <w:rFonts w:eastAsia="標楷體"/>
                <w:b/>
                <w:bCs/>
              </w:rPr>
              <w:br/>
              <w:t>(</w:t>
            </w:r>
            <w:r>
              <w:rPr>
                <w:rFonts w:eastAsia="標楷體" w:hint="eastAsia"/>
                <w:b/>
                <w:bCs/>
              </w:rPr>
              <w:t xml:space="preserve">Core </w:t>
            </w:r>
            <w:r w:rsidRPr="00D6542E">
              <w:rPr>
                <w:rFonts w:eastAsia="標楷體"/>
                <w:b/>
                <w:bCs/>
              </w:rPr>
              <w:t>CPI*)</w:t>
            </w:r>
          </w:p>
        </w:tc>
        <w:tc>
          <w:tcPr>
            <w:tcW w:w="1672" w:type="dxa"/>
            <w:tcBorders>
              <w:top w:val="single" w:sz="4" w:space="0" w:color="auto"/>
              <w:left w:val="single" w:sz="4" w:space="0" w:color="auto"/>
              <w:bottom w:val="single" w:sz="4" w:space="0" w:color="auto"/>
              <w:right w:val="single" w:sz="4" w:space="0" w:color="auto"/>
            </w:tcBorders>
            <w:shd w:val="clear" w:color="auto" w:fill="FFFFCC"/>
            <w:vAlign w:val="center"/>
          </w:tcPr>
          <w:p w:rsidR="009548A6" w:rsidRPr="00D6542E" w:rsidRDefault="009548A6" w:rsidP="00C54C9A">
            <w:pPr>
              <w:widowControl/>
              <w:snapToGrid w:val="0"/>
              <w:jc w:val="center"/>
              <w:rPr>
                <w:rFonts w:eastAsia="標楷體"/>
                <w:b/>
                <w:bCs/>
              </w:rPr>
            </w:pPr>
            <w:r w:rsidRPr="00D6542E">
              <w:rPr>
                <w:rFonts w:eastAsia="標楷體"/>
                <w:b/>
              </w:rPr>
              <w:t>0.</w:t>
            </w:r>
            <w:r>
              <w:rPr>
                <w:rFonts w:eastAsia="標楷體" w:hint="eastAsia"/>
                <w:b/>
              </w:rPr>
              <w:t>77</w:t>
            </w:r>
            <w:r w:rsidRPr="00D6542E">
              <w:rPr>
                <w:rFonts w:eastAsia="標楷體"/>
                <w:b/>
                <w:bCs/>
              </w:rPr>
              <w:br/>
              <w:t>(CPI)</w:t>
            </w:r>
          </w:p>
          <w:p w:rsidR="009548A6" w:rsidRPr="00D6542E" w:rsidRDefault="009548A6" w:rsidP="00C54C9A">
            <w:pPr>
              <w:widowControl/>
              <w:snapToGrid w:val="0"/>
              <w:jc w:val="center"/>
              <w:rPr>
                <w:rFonts w:eastAsia="標楷體"/>
                <w:b/>
              </w:rPr>
            </w:pPr>
            <w:r w:rsidRPr="00D6542E">
              <w:rPr>
                <w:rFonts w:eastAsia="標楷體"/>
                <w:b/>
                <w:bCs/>
              </w:rPr>
              <w:t>0.</w:t>
            </w:r>
            <w:r>
              <w:rPr>
                <w:rFonts w:eastAsia="標楷體"/>
                <w:b/>
                <w:bCs/>
              </w:rPr>
              <w:t>7</w:t>
            </w:r>
            <w:r>
              <w:rPr>
                <w:rFonts w:eastAsia="標楷體" w:hint="eastAsia"/>
                <w:b/>
                <w:bCs/>
              </w:rPr>
              <w:t>0</w:t>
            </w:r>
            <w:r w:rsidRPr="00D6542E">
              <w:rPr>
                <w:rFonts w:eastAsia="標楷體"/>
                <w:b/>
                <w:bCs/>
              </w:rPr>
              <w:br/>
              <w:t>(</w:t>
            </w:r>
            <w:r>
              <w:rPr>
                <w:rFonts w:eastAsia="標楷體" w:hint="eastAsia"/>
                <w:b/>
                <w:bCs/>
              </w:rPr>
              <w:t xml:space="preserve">Core </w:t>
            </w:r>
            <w:r w:rsidRPr="00D6542E">
              <w:rPr>
                <w:rFonts w:eastAsia="標楷體"/>
                <w:b/>
                <w:bCs/>
              </w:rPr>
              <w:t>CPI*)</w:t>
            </w:r>
          </w:p>
        </w:tc>
      </w:tr>
      <w:tr w:rsidR="009548A6" w:rsidRPr="00D6542E" w:rsidTr="00C54C9A">
        <w:trPr>
          <w:trHeight w:val="458"/>
        </w:trPr>
        <w:tc>
          <w:tcPr>
            <w:tcW w:w="1871" w:type="dxa"/>
            <w:vMerge/>
            <w:tcBorders>
              <w:left w:val="single" w:sz="4" w:space="0" w:color="auto"/>
              <w:right w:val="single" w:sz="4" w:space="0" w:color="auto"/>
            </w:tcBorders>
            <w:textDirection w:val="tbRlV"/>
            <w:vAlign w:val="center"/>
          </w:tcPr>
          <w:p w:rsidR="009548A6" w:rsidRPr="00D6542E" w:rsidRDefault="009548A6" w:rsidP="00C54C9A">
            <w:pPr>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14096B" w:rsidRDefault="009548A6" w:rsidP="00C54C9A">
            <w:pPr>
              <w:jc w:val="both"/>
              <w:rPr>
                <w:rFonts w:eastAsia="標楷體"/>
              </w:rPr>
            </w:pPr>
            <w:r>
              <w:rPr>
                <w:rFonts w:eastAsia="標楷體" w:hint="eastAsia"/>
              </w:rPr>
              <w:t xml:space="preserve">CIER </w:t>
            </w:r>
            <w:r w:rsidRPr="0014096B">
              <w:rPr>
                <w:rFonts w:eastAsia="標楷體"/>
              </w:rPr>
              <w:t>(2019/12/19)</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C54C9A">
            <w:pPr>
              <w:jc w:val="center"/>
              <w:rPr>
                <w:rFonts w:eastAsia="標楷體"/>
              </w:rPr>
            </w:pPr>
            <w:r w:rsidRPr="0014096B">
              <w:rPr>
                <w:rFonts w:eastAsia="標楷體" w:hint="eastAsia"/>
              </w:rPr>
              <w:t>0.54</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C54C9A">
            <w:pPr>
              <w:jc w:val="center"/>
              <w:rPr>
                <w:rFonts w:eastAsia="標楷體"/>
              </w:rPr>
            </w:pPr>
            <w:r w:rsidRPr="0014096B">
              <w:rPr>
                <w:rFonts w:eastAsia="標楷體" w:hint="eastAsia"/>
              </w:rPr>
              <w:t>1.02</w:t>
            </w:r>
          </w:p>
        </w:tc>
      </w:tr>
      <w:tr w:rsidR="009548A6" w:rsidRPr="00D6542E" w:rsidTr="00C54C9A">
        <w:trPr>
          <w:trHeight w:val="458"/>
        </w:trPr>
        <w:tc>
          <w:tcPr>
            <w:tcW w:w="1871" w:type="dxa"/>
            <w:vMerge/>
            <w:tcBorders>
              <w:left w:val="single" w:sz="4" w:space="0" w:color="auto"/>
              <w:right w:val="single" w:sz="4" w:space="0" w:color="auto"/>
            </w:tcBorders>
            <w:textDirection w:val="tbRlV"/>
            <w:vAlign w:val="center"/>
          </w:tcPr>
          <w:p w:rsidR="009548A6" w:rsidRPr="00D6542E" w:rsidRDefault="009548A6" w:rsidP="00C54C9A">
            <w:pPr>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14096B" w:rsidRDefault="009548A6" w:rsidP="00C54C9A">
            <w:pPr>
              <w:jc w:val="both"/>
              <w:rPr>
                <w:rFonts w:eastAsia="標楷體"/>
              </w:rPr>
            </w:pPr>
            <w:r w:rsidRPr="00A3253E">
              <w:rPr>
                <w:rFonts w:eastAsia="標楷體"/>
              </w:rPr>
              <w:t xml:space="preserve">Academia </w:t>
            </w:r>
            <w:proofErr w:type="spellStart"/>
            <w:r w:rsidRPr="00A3253E">
              <w:rPr>
                <w:rFonts w:eastAsia="標楷體"/>
              </w:rPr>
              <w:t>Sinica</w:t>
            </w:r>
            <w:proofErr w:type="spellEnd"/>
            <w:r w:rsidRPr="0014096B">
              <w:rPr>
                <w:rFonts w:eastAsia="標楷體" w:hint="eastAsia"/>
              </w:rPr>
              <w:t xml:space="preserve"> (2019/12/18)</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C54C9A">
            <w:pPr>
              <w:jc w:val="center"/>
              <w:rPr>
                <w:rFonts w:eastAsia="標楷體"/>
              </w:rPr>
            </w:pPr>
            <w:r w:rsidRPr="0014096B">
              <w:rPr>
                <w:rFonts w:eastAsia="標楷體"/>
              </w:rPr>
              <w:t>0.52</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C54C9A">
            <w:pPr>
              <w:jc w:val="center"/>
              <w:rPr>
                <w:rFonts w:eastAsia="標楷體"/>
              </w:rPr>
            </w:pPr>
            <w:r w:rsidRPr="0014096B">
              <w:rPr>
                <w:rFonts w:eastAsia="標楷體"/>
              </w:rPr>
              <w:t>0.73</w:t>
            </w:r>
          </w:p>
        </w:tc>
      </w:tr>
      <w:tr w:rsidR="009548A6" w:rsidRPr="00D6542E" w:rsidTr="00C54C9A">
        <w:trPr>
          <w:trHeight w:val="458"/>
        </w:trPr>
        <w:tc>
          <w:tcPr>
            <w:tcW w:w="1871" w:type="dxa"/>
            <w:vMerge/>
            <w:tcBorders>
              <w:left w:val="single" w:sz="4" w:space="0" w:color="auto"/>
              <w:right w:val="single" w:sz="4" w:space="0" w:color="auto"/>
            </w:tcBorders>
            <w:textDirection w:val="tbRlV"/>
            <w:vAlign w:val="center"/>
          </w:tcPr>
          <w:p w:rsidR="009548A6" w:rsidRPr="00D6542E" w:rsidRDefault="009548A6" w:rsidP="00C54C9A">
            <w:pPr>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14096B" w:rsidRDefault="009548A6" w:rsidP="00C54C9A">
            <w:pPr>
              <w:jc w:val="both"/>
              <w:rPr>
                <w:rFonts w:eastAsia="標楷體"/>
              </w:rPr>
            </w:pPr>
            <w:r>
              <w:rPr>
                <w:rFonts w:eastAsia="標楷體" w:hint="eastAsia"/>
              </w:rPr>
              <w:t xml:space="preserve">TRI </w:t>
            </w:r>
            <w:r w:rsidRPr="0014096B">
              <w:rPr>
                <w:rFonts w:eastAsia="標楷體"/>
              </w:rPr>
              <w:t>(2019/12/17)</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C54C9A">
            <w:pPr>
              <w:jc w:val="center"/>
              <w:rPr>
                <w:rFonts w:eastAsia="標楷體"/>
              </w:rPr>
            </w:pPr>
            <w:r w:rsidRPr="0014096B">
              <w:rPr>
                <w:rFonts w:eastAsia="標楷體"/>
              </w:rPr>
              <w:t>0.52</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C54C9A">
            <w:pPr>
              <w:jc w:val="center"/>
              <w:rPr>
                <w:rFonts w:eastAsia="標楷體"/>
              </w:rPr>
            </w:pPr>
            <w:r w:rsidRPr="0014096B">
              <w:rPr>
                <w:rFonts w:eastAsia="標楷體"/>
              </w:rPr>
              <w:t>0.94</w:t>
            </w:r>
          </w:p>
        </w:tc>
      </w:tr>
      <w:tr w:rsidR="009548A6" w:rsidRPr="00D6542E" w:rsidTr="00C54C9A">
        <w:trPr>
          <w:trHeight w:val="458"/>
        </w:trPr>
        <w:tc>
          <w:tcPr>
            <w:tcW w:w="1871" w:type="dxa"/>
            <w:vMerge/>
            <w:tcBorders>
              <w:left w:val="single" w:sz="4" w:space="0" w:color="auto"/>
              <w:right w:val="single" w:sz="4" w:space="0" w:color="auto"/>
            </w:tcBorders>
            <w:textDirection w:val="tbRlV"/>
            <w:vAlign w:val="center"/>
          </w:tcPr>
          <w:p w:rsidR="009548A6" w:rsidRPr="00D6542E" w:rsidRDefault="009548A6" w:rsidP="00C54C9A">
            <w:pPr>
              <w:snapToGrid w:val="0"/>
              <w:ind w:left="113" w:right="113"/>
              <w:jc w:val="center"/>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14096B" w:rsidRDefault="009548A6" w:rsidP="00C54C9A">
            <w:pPr>
              <w:jc w:val="both"/>
              <w:rPr>
                <w:rFonts w:eastAsia="標楷體"/>
              </w:rPr>
            </w:pPr>
            <w:r>
              <w:rPr>
                <w:rFonts w:eastAsia="標楷體" w:hint="eastAsia"/>
              </w:rPr>
              <w:t xml:space="preserve">DGBAS </w:t>
            </w:r>
            <w:r w:rsidRPr="0014096B">
              <w:rPr>
                <w:rFonts w:eastAsia="標楷體"/>
              </w:rPr>
              <w:t>(2019/11/29)</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C54C9A">
            <w:pPr>
              <w:jc w:val="center"/>
              <w:rPr>
                <w:rFonts w:eastAsia="標楷體"/>
              </w:rPr>
            </w:pPr>
            <w:r w:rsidRPr="0014096B">
              <w:rPr>
                <w:rFonts w:eastAsia="標楷體"/>
              </w:rPr>
              <w:t>0.55</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14096B" w:rsidRDefault="009548A6" w:rsidP="00C54C9A">
            <w:pPr>
              <w:jc w:val="center"/>
              <w:rPr>
                <w:rFonts w:eastAsia="標楷體"/>
              </w:rPr>
            </w:pPr>
            <w:r w:rsidRPr="0014096B">
              <w:rPr>
                <w:rFonts w:eastAsia="標楷體"/>
              </w:rPr>
              <w:t>0.71</w:t>
            </w:r>
          </w:p>
        </w:tc>
      </w:tr>
      <w:tr w:rsidR="009548A6" w:rsidRPr="00D6542E" w:rsidTr="00C54C9A">
        <w:trPr>
          <w:trHeight w:val="389"/>
        </w:trPr>
        <w:tc>
          <w:tcPr>
            <w:tcW w:w="1871" w:type="dxa"/>
            <w:vMerge/>
            <w:tcBorders>
              <w:left w:val="single" w:sz="4" w:space="0" w:color="auto"/>
              <w:bottom w:val="double" w:sz="4" w:space="0" w:color="auto"/>
              <w:right w:val="single" w:sz="4" w:space="0" w:color="auto"/>
            </w:tcBorders>
            <w:vAlign w:val="center"/>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double" w:sz="4" w:space="0" w:color="auto"/>
              <w:right w:val="single" w:sz="4" w:space="0" w:color="auto"/>
            </w:tcBorders>
            <w:shd w:val="clear" w:color="000000" w:fill="FFFFFF"/>
            <w:noWrap/>
            <w:vAlign w:val="center"/>
          </w:tcPr>
          <w:p w:rsidR="009548A6" w:rsidRPr="0014096B" w:rsidRDefault="009548A6" w:rsidP="00C54C9A">
            <w:pPr>
              <w:jc w:val="center"/>
              <w:rPr>
                <w:rFonts w:eastAsia="標楷體"/>
                <w:b/>
              </w:rPr>
            </w:pPr>
            <w:r>
              <w:rPr>
                <w:rFonts w:eastAsia="標楷體" w:hint="eastAsia"/>
                <w:b/>
              </w:rPr>
              <w:t xml:space="preserve">   </w:t>
            </w:r>
            <w:r w:rsidRPr="00A3253E">
              <w:rPr>
                <w:rFonts w:eastAsia="標楷體"/>
                <w:b/>
              </w:rPr>
              <w:t xml:space="preserve">Forecast </w:t>
            </w:r>
            <w:r w:rsidRPr="00A3253E">
              <w:rPr>
                <w:rFonts w:eastAsia="標楷體"/>
                <w:b/>
                <w:u w:val="single"/>
              </w:rPr>
              <w:t>Average</w:t>
            </w:r>
          </w:p>
        </w:tc>
        <w:tc>
          <w:tcPr>
            <w:tcW w:w="1701" w:type="dxa"/>
            <w:tcBorders>
              <w:top w:val="single" w:sz="4" w:space="0" w:color="auto"/>
              <w:left w:val="single" w:sz="4" w:space="0" w:color="auto"/>
              <w:bottom w:val="double" w:sz="4" w:space="0" w:color="auto"/>
              <w:right w:val="single" w:sz="4" w:space="0" w:color="auto"/>
            </w:tcBorders>
            <w:shd w:val="clear" w:color="000000" w:fill="FFFFFF"/>
            <w:vAlign w:val="center"/>
          </w:tcPr>
          <w:p w:rsidR="009548A6" w:rsidRPr="0014096B" w:rsidRDefault="009548A6" w:rsidP="00C54C9A">
            <w:pPr>
              <w:jc w:val="center"/>
              <w:rPr>
                <w:rFonts w:eastAsia="標楷體"/>
                <w:b/>
              </w:rPr>
            </w:pPr>
            <w:r w:rsidRPr="0014096B">
              <w:rPr>
                <w:rFonts w:eastAsia="標楷體"/>
                <w:b/>
              </w:rPr>
              <w:t>0.</w:t>
            </w:r>
            <w:r>
              <w:rPr>
                <w:rFonts w:eastAsia="標楷體" w:hint="eastAsia"/>
                <w:b/>
              </w:rPr>
              <w:t>53</w:t>
            </w:r>
          </w:p>
        </w:tc>
        <w:tc>
          <w:tcPr>
            <w:tcW w:w="1672" w:type="dxa"/>
            <w:tcBorders>
              <w:top w:val="single" w:sz="4" w:space="0" w:color="auto"/>
              <w:left w:val="single" w:sz="4" w:space="0" w:color="auto"/>
              <w:bottom w:val="double" w:sz="4" w:space="0" w:color="auto"/>
              <w:right w:val="single" w:sz="4" w:space="0" w:color="auto"/>
            </w:tcBorders>
            <w:shd w:val="clear" w:color="000000" w:fill="FFFFFF"/>
            <w:vAlign w:val="center"/>
          </w:tcPr>
          <w:p w:rsidR="009548A6" w:rsidRPr="0014096B" w:rsidRDefault="009548A6" w:rsidP="00C54C9A">
            <w:pPr>
              <w:jc w:val="center"/>
              <w:rPr>
                <w:rFonts w:eastAsia="標楷體"/>
                <w:b/>
              </w:rPr>
            </w:pPr>
            <w:r w:rsidRPr="0014096B">
              <w:rPr>
                <w:rFonts w:eastAsia="標楷體"/>
                <w:b/>
              </w:rPr>
              <w:t>0.</w:t>
            </w:r>
            <w:r>
              <w:rPr>
                <w:rFonts w:eastAsia="標楷體" w:hint="eastAsia"/>
                <w:b/>
              </w:rPr>
              <w:t>83</w:t>
            </w:r>
          </w:p>
        </w:tc>
      </w:tr>
      <w:tr w:rsidR="009548A6" w:rsidRPr="00D6542E" w:rsidTr="00C54C9A">
        <w:trPr>
          <w:trHeight w:val="456"/>
        </w:trPr>
        <w:tc>
          <w:tcPr>
            <w:tcW w:w="1871" w:type="dxa"/>
            <w:vMerge w:val="restart"/>
            <w:tcBorders>
              <w:top w:val="double" w:sz="4" w:space="0" w:color="auto"/>
              <w:left w:val="single" w:sz="4" w:space="0" w:color="auto"/>
              <w:right w:val="single" w:sz="4" w:space="0" w:color="auto"/>
            </w:tcBorders>
            <w:shd w:val="clear" w:color="000000" w:fill="FFFFFF"/>
            <w:vAlign w:val="center"/>
            <w:hideMark/>
          </w:tcPr>
          <w:p w:rsidR="009548A6" w:rsidRDefault="009548A6" w:rsidP="00C54C9A">
            <w:pPr>
              <w:snapToGrid w:val="0"/>
              <w:jc w:val="center"/>
              <w:rPr>
                <w:rFonts w:eastAsia="標楷體"/>
                <w:bCs/>
                <w:sz w:val="22"/>
                <w:szCs w:val="22"/>
              </w:rPr>
            </w:pPr>
            <w:r>
              <w:rPr>
                <w:rFonts w:eastAsia="標楷體" w:hint="eastAsia"/>
                <w:bCs/>
                <w:sz w:val="22"/>
                <w:szCs w:val="22"/>
              </w:rPr>
              <w:t>Foreign</w:t>
            </w:r>
            <w:r w:rsidRPr="00A3253E">
              <w:rPr>
                <w:rFonts w:eastAsia="標楷體"/>
                <w:bCs/>
                <w:sz w:val="22"/>
                <w:szCs w:val="22"/>
              </w:rPr>
              <w:t xml:space="preserve"> </w:t>
            </w:r>
          </w:p>
          <w:p w:rsidR="009548A6" w:rsidRPr="00D6542E" w:rsidRDefault="009548A6" w:rsidP="005261B8">
            <w:pPr>
              <w:snapToGrid w:val="0"/>
              <w:jc w:val="center"/>
              <w:rPr>
                <w:rFonts w:eastAsia="標楷體"/>
                <w:bCs/>
                <w:sz w:val="22"/>
                <w:szCs w:val="22"/>
              </w:rPr>
            </w:pPr>
            <w:r w:rsidRPr="00A3253E">
              <w:rPr>
                <w:rFonts w:eastAsia="標楷體"/>
                <w:bCs/>
                <w:sz w:val="22"/>
                <w:szCs w:val="22"/>
              </w:rPr>
              <w:t>institutions</w:t>
            </w:r>
          </w:p>
        </w:tc>
        <w:tc>
          <w:tcPr>
            <w:tcW w:w="3402" w:type="dxa"/>
            <w:tcBorders>
              <w:top w:val="double" w:sz="4" w:space="0" w:color="auto"/>
              <w:left w:val="single" w:sz="4" w:space="0" w:color="auto"/>
              <w:bottom w:val="single" w:sz="4" w:space="0" w:color="auto"/>
              <w:right w:val="single" w:sz="4" w:space="0" w:color="auto"/>
            </w:tcBorders>
            <w:shd w:val="clear" w:color="000000" w:fill="FFFFFF"/>
            <w:noWrap/>
            <w:vAlign w:val="center"/>
            <w:hideMark/>
          </w:tcPr>
          <w:p w:rsidR="009548A6" w:rsidRPr="00566BBA" w:rsidRDefault="009548A6" w:rsidP="00C54C9A">
            <w:pPr>
              <w:jc w:val="both"/>
              <w:rPr>
                <w:color w:val="000000" w:themeColor="text1"/>
              </w:rPr>
            </w:pPr>
            <w:r>
              <w:t>Deutsche Bank</w:t>
            </w:r>
            <w:r>
              <w:rPr>
                <w:rFonts w:hint="eastAsia"/>
              </w:rPr>
              <w:t xml:space="preserve"> </w:t>
            </w:r>
            <w:r>
              <w:t>(2019/12/1</w:t>
            </w:r>
            <w:r>
              <w:rPr>
                <w:rFonts w:hint="eastAsia"/>
              </w:rPr>
              <w:t>7</w:t>
            </w:r>
            <w:r w:rsidRPr="00BE6CC8">
              <w:t>)</w:t>
            </w:r>
          </w:p>
        </w:tc>
        <w:tc>
          <w:tcPr>
            <w:tcW w:w="1701" w:type="dxa"/>
            <w:tcBorders>
              <w:top w:val="double" w:sz="4" w:space="0" w:color="auto"/>
              <w:left w:val="single" w:sz="4" w:space="0" w:color="auto"/>
              <w:bottom w:val="single" w:sz="4" w:space="0" w:color="auto"/>
              <w:right w:val="single" w:sz="4" w:space="0" w:color="auto"/>
            </w:tcBorders>
            <w:shd w:val="clear" w:color="000000" w:fill="FFFFFF"/>
            <w:noWrap/>
            <w:vAlign w:val="center"/>
            <w:hideMark/>
          </w:tcPr>
          <w:p w:rsidR="009548A6" w:rsidRPr="00566BBA" w:rsidRDefault="009548A6" w:rsidP="00C54C9A">
            <w:pPr>
              <w:jc w:val="center"/>
              <w:rPr>
                <w:color w:val="000000" w:themeColor="text1"/>
              </w:rPr>
            </w:pPr>
            <w:r w:rsidRPr="00FC5BAA">
              <w:t>0.50</w:t>
            </w:r>
          </w:p>
        </w:tc>
        <w:tc>
          <w:tcPr>
            <w:tcW w:w="1672" w:type="dxa"/>
            <w:tcBorders>
              <w:top w:val="double" w:sz="4" w:space="0" w:color="auto"/>
              <w:left w:val="single" w:sz="4" w:space="0" w:color="auto"/>
              <w:bottom w:val="single" w:sz="4" w:space="0" w:color="auto"/>
              <w:right w:val="single" w:sz="4" w:space="0" w:color="auto"/>
            </w:tcBorders>
            <w:shd w:val="clear" w:color="000000" w:fill="FFFFFF"/>
            <w:vAlign w:val="center"/>
          </w:tcPr>
          <w:p w:rsidR="009548A6" w:rsidRPr="00566BBA" w:rsidRDefault="009548A6" w:rsidP="00C54C9A">
            <w:pPr>
              <w:jc w:val="center"/>
              <w:rPr>
                <w:color w:val="000000" w:themeColor="text1"/>
              </w:rPr>
            </w:pPr>
            <w:r w:rsidRPr="00FC5BAA">
              <w:t>0.80</w:t>
            </w:r>
          </w:p>
        </w:tc>
      </w:tr>
      <w:tr w:rsidR="009548A6" w:rsidRPr="00D6542E" w:rsidTr="00C54C9A">
        <w:trPr>
          <w:trHeight w:val="456"/>
        </w:trPr>
        <w:tc>
          <w:tcPr>
            <w:tcW w:w="1871" w:type="dxa"/>
            <w:vMerge/>
            <w:tcBorders>
              <w:left w:val="single" w:sz="4" w:space="0" w:color="auto"/>
              <w:right w:val="single" w:sz="4" w:space="0" w:color="auto"/>
            </w:tcBorders>
            <w:vAlign w:val="center"/>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BE6CC8" w:rsidRDefault="009548A6" w:rsidP="00C54C9A">
            <w:pPr>
              <w:jc w:val="both"/>
            </w:pPr>
            <w:r w:rsidRPr="00566BBA">
              <w:rPr>
                <w:color w:val="000000" w:themeColor="text1"/>
              </w:rPr>
              <w:t xml:space="preserve">IHS </w:t>
            </w:r>
            <w:proofErr w:type="spellStart"/>
            <w:r w:rsidRPr="00566BBA">
              <w:rPr>
                <w:color w:val="000000" w:themeColor="text1"/>
              </w:rPr>
              <w:t>Markit</w:t>
            </w:r>
            <w:proofErr w:type="spellEnd"/>
            <w:r>
              <w:rPr>
                <w:rFonts w:hint="eastAsia"/>
                <w:color w:val="000000" w:themeColor="text1"/>
              </w:rPr>
              <w:t xml:space="preserve"> </w:t>
            </w:r>
            <w:r w:rsidRPr="00566BBA">
              <w:rPr>
                <w:color w:val="000000" w:themeColor="text1"/>
              </w:rPr>
              <w:t>(2019/1</w:t>
            </w:r>
            <w:r w:rsidRPr="00566BBA">
              <w:rPr>
                <w:rFonts w:hint="eastAsia"/>
                <w:color w:val="000000" w:themeColor="text1"/>
              </w:rPr>
              <w:t>2</w:t>
            </w:r>
            <w:r w:rsidRPr="00566BBA">
              <w:rPr>
                <w:color w:val="000000" w:themeColor="text1"/>
              </w:rPr>
              <w:t>/1</w:t>
            </w:r>
            <w:r w:rsidRPr="00566BBA">
              <w:rPr>
                <w:rFonts w:hint="eastAsia"/>
                <w:color w:val="000000" w:themeColor="text1"/>
              </w:rPr>
              <w:t>6</w:t>
            </w:r>
            <w:r w:rsidRPr="00566BBA">
              <w:rPr>
                <w:color w:val="000000" w:themeColor="text1"/>
              </w:rPr>
              <w:t>)</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FC5BAA" w:rsidRDefault="009548A6" w:rsidP="00C54C9A">
            <w:pPr>
              <w:jc w:val="center"/>
            </w:pPr>
            <w:r w:rsidRPr="00566BBA">
              <w:rPr>
                <w:color w:val="000000" w:themeColor="text1"/>
              </w:rPr>
              <w:t>0.5</w:t>
            </w:r>
            <w:r w:rsidRPr="00566BBA">
              <w:rPr>
                <w:rFonts w:hint="eastAsia"/>
                <w:color w:val="000000" w:themeColor="text1"/>
              </w:rPr>
              <w:t>6</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566BBA">
              <w:rPr>
                <w:color w:val="000000" w:themeColor="text1"/>
              </w:rPr>
              <w:t>0.9</w:t>
            </w:r>
            <w:r w:rsidRPr="00566BBA">
              <w:rPr>
                <w:rFonts w:hint="eastAsia"/>
                <w:color w:val="000000" w:themeColor="text1"/>
              </w:rPr>
              <w:t>6</w:t>
            </w:r>
          </w:p>
        </w:tc>
      </w:tr>
      <w:tr w:rsidR="009548A6" w:rsidRPr="00D6542E" w:rsidTr="00C54C9A">
        <w:trPr>
          <w:trHeight w:val="456"/>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r w:rsidRPr="00BE6CC8">
              <w:t>Goldman Sachs</w:t>
            </w:r>
            <w:r>
              <w:rPr>
                <w:rFonts w:hint="eastAsia"/>
              </w:rPr>
              <w:t xml:space="preserve"> </w:t>
            </w:r>
            <w:r w:rsidRPr="00BE6CC8">
              <w:t>(2019/12/16)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0.60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0.80</w:t>
            </w:r>
          </w:p>
        </w:tc>
      </w:tr>
      <w:tr w:rsidR="009548A6" w:rsidRPr="00D6542E" w:rsidTr="00C54C9A">
        <w:trPr>
          <w:trHeight w:val="456"/>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r w:rsidRPr="00BE6CC8">
              <w:t>Standard Chartered</w:t>
            </w:r>
            <w:r>
              <w:rPr>
                <w:rFonts w:hint="eastAsia"/>
              </w:rPr>
              <w:t xml:space="preserve"> </w:t>
            </w:r>
            <w:r w:rsidRPr="00BE6CC8">
              <w:t>(2019/12/16)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0.70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1.00</w:t>
            </w:r>
          </w:p>
        </w:tc>
      </w:tr>
      <w:tr w:rsidR="009548A6" w:rsidRPr="00D6542E" w:rsidTr="00C54C9A">
        <w:trPr>
          <w:trHeight w:val="456"/>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r w:rsidRPr="00BE6CC8">
              <w:t>J.P. Morgan</w:t>
            </w:r>
            <w:r>
              <w:rPr>
                <w:rFonts w:hint="eastAsia"/>
              </w:rPr>
              <w:t xml:space="preserve"> </w:t>
            </w:r>
            <w:r w:rsidRPr="00BE6CC8">
              <w:t>(2019/12/16)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0.60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1.00</w:t>
            </w:r>
          </w:p>
        </w:tc>
      </w:tr>
      <w:tr w:rsidR="009548A6" w:rsidRPr="00D6542E" w:rsidTr="00C54C9A">
        <w:trPr>
          <w:trHeight w:val="436"/>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r w:rsidRPr="00BE6CC8">
              <w:t>HSBC</w:t>
            </w:r>
            <w:r>
              <w:rPr>
                <w:rFonts w:hint="eastAsia"/>
              </w:rPr>
              <w:t xml:space="preserve"> </w:t>
            </w:r>
            <w:r w:rsidRPr="00BE6CC8">
              <w:t>(2019/12/16)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0.50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0.70</w:t>
            </w:r>
          </w:p>
        </w:tc>
      </w:tr>
      <w:tr w:rsidR="009548A6" w:rsidRPr="00D6542E" w:rsidTr="00C54C9A">
        <w:trPr>
          <w:trHeight w:val="468"/>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proofErr w:type="spellStart"/>
            <w:r w:rsidRPr="00BE6CC8">
              <w:t>BofA</w:t>
            </w:r>
            <w:proofErr w:type="spellEnd"/>
            <w:r w:rsidRPr="00BE6CC8">
              <w:t xml:space="preserve"> Merrill Lynch</w:t>
            </w:r>
            <w:r>
              <w:rPr>
                <w:rFonts w:hint="eastAsia"/>
              </w:rPr>
              <w:t xml:space="preserve"> </w:t>
            </w:r>
            <w:r w:rsidRPr="00BE6CC8">
              <w:t>(2019/12/13)</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0.60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1.10</w:t>
            </w:r>
          </w:p>
        </w:tc>
      </w:tr>
      <w:tr w:rsidR="009548A6" w:rsidRPr="00D6542E" w:rsidTr="00C54C9A">
        <w:trPr>
          <w:trHeight w:val="456"/>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r w:rsidRPr="00BE6CC8">
              <w:t>Barclays Capital</w:t>
            </w:r>
            <w:r>
              <w:rPr>
                <w:rFonts w:hint="eastAsia"/>
              </w:rPr>
              <w:t xml:space="preserve"> </w:t>
            </w:r>
            <w:r w:rsidRPr="00BE6CC8">
              <w:t>(2019/12/13)</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0.60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1.00</w:t>
            </w:r>
          </w:p>
        </w:tc>
      </w:tr>
      <w:tr w:rsidR="009548A6" w:rsidRPr="00D6542E" w:rsidTr="00C54C9A">
        <w:trPr>
          <w:trHeight w:val="456"/>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r w:rsidRPr="00BE6CC8">
              <w:t>Credit Suisse</w:t>
            </w:r>
            <w:r>
              <w:rPr>
                <w:rFonts w:hint="eastAsia"/>
              </w:rPr>
              <w:t xml:space="preserve"> </w:t>
            </w:r>
            <w:r w:rsidRPr="00BE6CC8">
              <w:t>(2019/12/12)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0.60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1.20</w:t>
            </w:r>
          </w:p>
        </w:tc>
      </w:tr>
      <w:tr w:rsidR="009548A6" w:rsidRPr="00D6542E" w:rsidTr="00C54C9A">
        <w:trPr>
          <w:trHeight w:val="456"/>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r w:rsidRPr="00BE6CC8">
              <w:t>Citi</w:t>
            </w:r>
            <w:r>
              <w:rPr>
                <w:rFonts w:hint="eastAsia"/>
              </w:rPr>
              <w:t xml:space="preserve"> </w:t>
            </w:r>
            <w:r w:rsidRPr="00BE6CC8">
              <w:t>(2019/12/12)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0.70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1.20</w:t>
            </w:r>
          </w:p>
        </w:tc>
      </w:tr>
      <w:tr w:rsidR="009548A6" w:rsidRPr="00D6542E" w:rsidTr="00C54C9A">
        <w:trPr>
          <w:trHeight w:val="456"/>
        </w:trPr>
        <w:tc>
          <w:tcPr>
            <w:tcW w:w="1871" w:type="dxa"/>
            <w:vMerge/>
            <w:tcBorders>
              <w:left w:val="single" w:sz="4" w:space="0" w:color="auto"/>
              <w:right w:val="single" w:sz="4" w:space="0" w:color="auto"/>
            </w:tcBorders>
            <w:vAlign w:val="center"/>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BE6CC8" w:rsidRDefault="009548A6" w:rsidP="00C54C9A">
            <w:pPr>
              <w:jc w:val="both"/>
            </w:pPr>
            <w:r w:rsidRPr="00BE6CC8">
              <w:t>Morgan Stanley</w:t>
            </w:r>
            <w:r>
              <w:rPr>
                <w:rFonts w:hint="eastAsia"/>
              </w:rPr>
              <w:t xml:space="preserve"> </w:t>
            </w:r>
            <w:r w:rsidRPr="00BE6CC8">
              <w:t>(2019/12/12)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FC5BAA" w:rsidRDefault="009548A6" w:rsidP="00C54C9A">
            <w:pPr>
              <w:jc w:val="center"/>
            </w:pPr>
            <w:r w:rsidRPr="00FC5BAA">
              <w:t>0.70</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0.80</w:t>
            </w:r>
          </w:p>
        </w:tc>
      </w:tr>
      <w:tr w:rsidR="009548A6" w:rsidRPr="00D6542E" w:rsidTr="00C54C9A">
        <w:trPr>
          <w:trHeight w:val="456"/>
        </w:trPr>
        <w:tc>
          <w:tcPr>
            <w:tcW w:w="1871" w:type="dxa"/>
            <w:vMerge/>
            <w:tcBorders>
              <w:left w:val="single" w:sz="4" w:space="0" w:color="auto"/>
              <w:right w:val="single" w:sz="4" w:space="0" w:color="auto"/>
            </w:tcBorders>
            <w:vAlign w:val="center"/>
            <w:hideMark/>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BE6CC8" w:rsidRDefault="009548A6" w:rsidP="00C54C9A">
            <w:pPr>
              <w:jc w:val="both"/>
            </w:pPr>
            <w:r w:rsidRPr="00BE6CC8">
              <w:t>UBS</w:t>
            </w:r>
            <w:r>
              <w:rPr>
                <w:rFonts w:hint="eastAsia"/>
              </w:rPr>
              <w:t xml:space="preserve"> </w:t>
            </w:r>
            <w:r w:rsidRPr="00BE6CC8">
              <w:t>(2019/12/12)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548A6" w:rsidRPr="00FC5BAA" w:rsidRDefault="009548A6" w:rsidP="00C54C9A">
            <w:pPr>
              <w:jc w:val="center"/>
            </w:pPr>
            <w:r w:rsidRPr="00FC5BAA">
              <w:t>0.98</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FC5BAA" w:rsidRDefault="009548A6" w:rsidP="00C54C9A">
            <w:pPr>
              <w:jc w:val="center"/>
            </w:pPr>
            <w:r w:rsidRPr="00FC5BAA">
              <w:t>1.61</w:t>
            </w:r>
          </w:p>
        </w:tc>
      </w:tr>
      <w:tr w:rsidR="009548A6" w:rsidRPr="00D6542E" w:rsidTr="00C54C9A">
        <w:trPr>
          <w:trHeight w:val="456"/>
        </w:trPr>
        <w:tc>
          <w:tcPr>
            <w:tcW w:w="1871" w:type="dxa"/>
            <w:vMerge/>
            <w:tcBorders>
              <w:left w:val="single" w:sz="4" w:space="0" w:color="auto"/>
              <w:bottom w:val="single" w:sz="4" w:space="0" w:color="auto"/>
              <w:right w:val="single" w:sz="4" w:space="0" w:color="auto"/>
            </w:tcBorders>
            <w:vAlign w:val="center"/>
          </w:tcPr>
          <w:p w:rsidR="009548A6" w:rsidRPr="00D6542E" w:rsidRDefault="009548A6" w:rsidP="00C54C9A">
            <w:pPr>
              <w:widowControl/>
              <w:snapToGrid w:val="0"/>
              <w:rPr>
                <w:rFonts w:eastAsia="標楷體"/>
                <w:bCs/>
                <w:sz w:val="22"/>
                <w:szCs w:val="22"/>
              </w:rPr>
            </w:pPr>
          </w:p>
        </w:tc>
        <w:tc>
          <w:tcPr>
            <w:tcW w:w="340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D6542E" w:rsidRDefault="009548A6" w:rsidP="00C54C9A">
            <w:pPr>
              <w:jc w:val="center"/>
              <w:rPr>
                <w:rFonts w:eastAsia="標楷體"/>
                <w:b/>
              </w:rPr>
            </w:pPr>
            <w:r>
              <w:rPr>
                <w:rFonts w:eastAsia="標楷體" w:hint="eastAsia"/>
                <w:b/>
              </w:rPr>
              <w:t xml:space="preserve">   </w:t>
            </w:r>
            <w:r w:rsidRPr="00A3253E">
              <w:rPr>
                <w:rFonts w:eastAsia="標楷體"/>
                <w:b/>
              </w:rPr>
              <w:t xml:space="preserve">Forecast </w:t>
            </w:r>
            <w:r w:rsidRPr="00A3253E">
              <w:rPr>
                <w:rFonts w:eastAsia="標楷體"/>
                <w:b/>
                <w:u w:val="single"/>
              </w:rPr>
              <w:t>Average</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8A6" w:rsidRPr="00566BBA" w:rsidRDefault="009548A6" w:rsidP="00C54C9A">
            <w:pPr>
              <w:jc w:val="center"/>
              <w:rPr>
                <w:b/>
                <w:color w:val="000000" w:themeColor="text1"/>
              </w:rPr>
            </w:pPr>
            <w:r>
              <w:rPr>
                <w:b/>
                <w:color w:val="000000" w:themeColor="text1"/>
              </w:rPr>
              <w:t>0.6</w:t>
            </w:r>
            <w:r>
              <w:rPr>
                <w:rFonts w:hint="eastAsia"/>
                <w:b/>
                <w:color w:val="000000" w:themeColor="text1"/>
              </w:rPr>
              <w:t>4</w:t>
            </w:r>
          </w:p>
        </w:tc>
        <w:tc>
          <w:tcPr>
            <w:tcW w:w="1672" w:type="dxa"/>
            <w:tcBorders>
              <w:top w:val="single" w:sz="4" w:space="0" w:color="auto"/>
              <w:left w:val="single" w:sz="4" w:space="0" w:color="auto"/>
              <w:bottom w:val="single" w:sz="4" w:space="0" w:color="auto"/>
              <w:right w:val="single" w:sz="4" w:space="0" w:color="auto"/>
            </w:tcBorders>
            <w:shd w:val="clear" w:color="000000" w:fill="FFFFFF"/>
            <w:vAlign w:val="center"/>
          </w:tcPr>
          <w:p w:rsidR="009548A6" w:rsidRPr="00566BBA" w:rsidRDefault="009548A6" w:rsidP="00C54C9A">
            <w:pPr>
              <w:jc w:val="center"/>
              <w:rPr>
                <w:b/>
                <w:color w:val="000000" w:themeColor="text1"/>
              </w:rPr>
            </w:pPr>
            <w:r>
              <w:rPr>
                <w:rFonts w:hint="eastAsia"/>
                <w:b/>
                <w:color w:val="000000" w:themeColor="text1"/>
              </w:rPr>
              <w:t>1.01</w:t>
            </w:r>
          </w:p>
        </w:tc>
      </w:tr>
    </w:tbl>
    <w:p w:rsidR="009548A6" w:rsidRDefault="009548A6" w:rsidP="00CA0E32">
      <w:pPr>
        <w:widowControl/>
        <w:snapToGrid w:val="0"/>
        <w:spacing w:beforeLines="50" w:before="180"/>
        <w:rPr>
          <w:rFonts w:eastAsia="標楷體"/>
          <w:szCs w:val="28"/>
        </w:rPr>
        <w:sectPr w:rsidR="009548A6" w:rsidSect="005D1020">
          <w:footerReference w:type="default" r:id="rId16"/>
          <w:pgSz w:w="11906" w:h="16838" w:code="9"/>
          <w:pgMar w:top="1418" w:right="1418" w:bottom="1418" w:left="1418" w:header="851" w:footer="851" w:gutter="0"/>
          <w:cols w:space="425"/>
          <w:docGrid w:type="lines" w:linePitch="360"/>
        </w:sectPr>
      </w:pPr>
      <w:r>
        <w:rPr>
          <w:rFonts w:eastAsia="標楷體" w:hint="eastAsia"/>
        </w:rPr>
        <w:t xml:space="preserve">　</w:t>
      </w:r>
      <w:r w:rsidRPr="00557E39">
        <w:rPr>
          <w:rFonts w:eastAsia="標楷體"/>
        </w:rPr>
        <w:t>*</w:t>
      </w:r>
      <w:r>
        <w:rPr>
          <w:rFonts w:eastAsia="標楷體" w:hint="eastAsia"/>
        </w:rPr>
        <w:t xml:space="preserve"> </w:t>
      </w:r>
      <w:r w:rsidRPr="00557E39">
        <w:rPr>
          <w:rFonts w:eastAsia="標楷體"/>
        </w:rPr>
        <w:t>Excluding</w:t>
      </w:r>
      <w:r>
        <w:rPr>
          <w:rFonts w:eastAsia="標楷體"/>
        </w:rPr>
        <w:t xml:space="preserve"> vegetables, fruit, and energy.</w:t>
      </w:r>
    </w:p>
    <w:p w:rsidR="009548A6" w:rsidRPr="00627180" w:rsidRDefault="009548A6" w:rsidP="00F11744">
      <w:pPr>
        <w:spacing w:line="480" w:lineRule="exact"/>
        <w:jc w:val="center"/>
        <w:rPr>
          <w:rFonts w:eastAsia="標楷體"/>
          <w:b/>
          <w:sz w:val="32"/>
          <w:szCs w:val="28"/>
        </w:rPr>
      </w:pPr>
      <w:r>
        <w:rPr>
          <w:rFonts w:eastAsia="標楷體" w:hint="eastAsia"/>
          <w:b/>
          <w:sz w:val="28"/>
          <w:szCs w:val="28"/>
        </w:rPr>
        <w:lastRenderedPageBreak/>
        <w:t xml:space="preserve">Table </w:t>
      </w:r>
      <w:proofErr w:type="gramStart"/>
      <w:r>
        <w:rPr>
          <w:rFonts w:eastAsia="標楷體" w:hint="eastAsia"/>
          <w:b/>
          <w:sz w:val="28"/>
          <w:szCs w:val="28"/>
        </w:rPr>
        <w:t>3  Real</w:t>
      </w:r>
      <w:proofErr w:type="gramEnd"/>
      <w:r>
        <w:rPr>
          <w:rFonts w:eastAsia="標楷體" w:hint="eastAsia"/>
          <w:b/>
          <w:sz w:val="28"/>
          <w:szCs w:val="28"/>
        </w:rPr>
        <w:t xml:space="preserve"> Deposit Rates of Selected Economies</w:t>
      </w:r>
    </w:p>
    <w:tbl>
      <w:tblPr>
        <w:tblW w:w="9087" w:type="dxa"/>
        <w:tblInd w:w="13" w:type="dxa"/>
        <w:tblLayout w:type="fixed"/>
        <w:tblCellMar>
          <w:left w:w="28" w:type="dxa"/>
          <w:right w:w="28" w:type="dxa"/>
        </w:tblCellMar>
        <w:tblLook w:val="04A0" w:firstRow="1" w:lastRow="0" w:firstColumn="1" w:lastColumn="0" w:noHBand="0" w:noVBand="1"/>
      </w:tblPr>
      <w:tblGrid>
        <w:gridCol w:w="1575"/>
        <w:gridCol w:w="2504"/>
        <w:gridCol w:w="2504"/>
        <w:gridCol w:w="2504"/>
      </w:tblGrid>
      <w:tr w:rsidR="009548A6" w:rsidRPr="00627180" w:rsidTr="00B15B68">
        <w:trPr>
          <w:trHeight w:val="696"/>
        </w:trPr>
        <w:tc>
          <w:tcPr>
            <w:tcW w:w="9087" w:type="dxa"/>
            <w:gridSpan w:val="4"/>
            <w:tcBorders>
              <w:top w:val="nil"/>
              <w:left w:val="nil"/>
              <w:bottom w:val="single" w:sz="8" w:space="0" w:color="auto"/>
              <w:right w:val="nil"/>
            </w:tcBorders>
            <w:shd w:val="clear" w:color="auto" w:fill="auto"/>
            <w:noWrap/>
            <w:vAlign w:val="bottom"/>
            <w:hideMark/>
          </w:tcPr>
          <w:p w:rsidR="009548A6" w:rsidRPr="00627180" w:rsidRDefault="009548A6" w:rsidP="00010A62">
            <w:pPr>
              <w:widowControl/>
              <w:wordWrap w:val="0"/>
              <w:ind w:right="200"/>
              <w:jc w:val="right"/>
              <w:rPr>
                <w:rFonts w:eastAsia="標楷體"/>
                <w:szCs w:val="22"/>
              </w:rPr>
            </w:pPr>
            <w:r>
              <w:rPr>
                <w:rFonts w:eastAsia="標楷體" w:hint="eastAsia"/>
                <w:szCs w:val="22"/>
              </w:rPr>
              <w:t xml:space="preserve">Unit: </w:t>
            </w:r>
            <w:r w:rsidRPr="00627180">
              <w:rPr>
                <w:rFonts w:eastAsia="標楷體"/>
                <w:szCs w:val="22"/>
              </w:rPr>
              <w:t>%</w:t>
            </w:r>
          </w:p>
        </w:tc>
      </w:tr>
      <w:tr w:rsidR="009548A6" w:rsidRPr="00627180" w:rsidTr="00B15B68">
        <w:trPr>
          <w:trHeight w:val="224"/>
        </w:trPr>
        <w:tc>
          <w:tcPr>
            <w:tcW w:w="1575"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9548A6" w:rsidRPr="00BF0031" w:rsidRDefault="009548A6" w:rsidP="00B15B68">
            <w:pPr>
              <w:widowControl/>
              <w:snapToGrid w:val="0"/>
              <w:jc w:val="center"/>
              <w:rPr>
                <w:rFonts w:ascii="標楷體" w:eastAsia="標楷體" w:hAnsi="標楷體" w:cs="Arial"/>
                <w:sz w:val="22"/>
              </w:rPr>
            </w:pPr>
            <w:r w:rsidRPr="00C82BE2">
              <w:rPr>
                <w:rFonts w:eastAsia="標楷體"/>
                <w:sz w:val="22"/>
                <w:szCs w:val="22"/>
              </w:rPr>
              <w:t>Economies</w:t>
            </w:r>
          </w:p>
        </w:tc>
        <w:tc>
          <w:tcPr>
            <w:tcW w:w="2504" w:type="dxa"/>
            <w:tcBorders>
              <w:top w:val="single" w:sz="8" w:space="0" w:color="auto"/>
              <w:left w:val="nil"/>
              <w:bottom w:val="nil"/>
              <w:right w:val="single" w:sz="4" w:space="0" w:color="auto"/>
            </w:tcBorders>
            <w:shd w:val="clear" w:color="auto" w:fill="auto"/>
            <w:noWrap/>
            <w:vAlign w:val="bottom"/>
            <w:hideMark/>
          </w:tcPr>
          <w:p w:rsidR="009548A6" w:rsidRPr="00BF0031" w:rsidRDefault="009548A6" w:rsidP="00B15B68">
            <w:pPr>
              <w:widowControl/>
              <w:snapToGrid w:val="0"/>
              <w:jc w:val="center"/>
              <w:rPr>
                <w:sz w:val="22"/>
              </w:rPr>
            </w:pPr>
            <w:r w:rsidRPr="00BF0031">
              <w:rPr>
                <w:sz w:val="22"/>
              </w:rPr>
              <w:t>(1)</w:t>
            </w:r>
          </w:p>
        </w:tc>
        <w:tc>
          <w:tcPr>
            <w:tcW w:w="2504" w:type="dxa"/>
            <w:tcBorders>
              <w:top w:val="single" w:sz="8" w:space="0" w:color="auto"/>
              <w:left w:val="nil"/>
              <w:bottom w:val="nil"/>
              <w:right w:val="single" w:sz="4" w:space="0" w:color="auto"/>
            </w:tcBorders>
            <w:shd w:val="clear" w:color="auto" w:fill="auto"/>
            <w:noWrap/>
            <w:vAlign w:val="bottom"/>
            <w:hideMark/>
          </w:tcPr>
          <w:p w:rsidR="009548A6" w:rsidRPr="00BF0031" w:rsidRDefault="009548A6" w:rsidP="00B15B68">
            <w:pPr>
              <w:widowControl/>
              <w:snapToGrid w:val="0"/>
              <w:jc w:val="center"/>
              <w:rPr>
                <w:sz w:val="22"/>
              </w:rPr>
            </w:pPr>
            <w:r w:rsidRPr="00BF0031">
              <w:rPr>
                <w:sz w:val="22"/>
              </w:rPr>
              <w:t>(2)</w:t>
            </w:r>
          </w:p>
        </w:tc>
        <w:tc>
          <w:tcPr>
            <w:tcW w:w="2504" w:type="dxa"/>
            <w:tcBorders>
              <w:top w:val="single" w:sz="8" w:space="0" w:color="auto"/>
              <w:left w:val="nil"/>
              <w:bottom w:val="nil"/>
              <w:right w:val="single" w:sz="4" w:space="0" w:color="auto"/>
            </w:tcBorders>
            <w:shd w:val="clear" w:color="auto" w:fill="auto"/>
            <w:noWrap/>
            <w:vAlign w:val="bottom"/>
            <w:hideMark/>
          </w:tcPr>
          <w:p w:rsidR="009548A6" w:rsidRPr="00BF0031" w:rsidRDefault="009548A6" w:rsidP="00B15B68">
            <w:pPr>
              <w:widowControl/>
              <w:snapToGrid w:val="0"/>
              <w:jc w:val="center"/>
              <w:rPr>
                <w:sz w:val="22"/>
              </w:rPr>
            </w:pPr>
            <w:r w:rsidRPr="00BF0031">
              <w:rPr>
                <w:sz w:val="22"/>
              </w:rPr>
              <w:t>(3)=(1)-(2)</w:t>
            </w:r>
          </w:p>
        </w:tc>
      </w:tr>
      <w:tr w:rsidR="009548A6" w:rsidRPr="00627180" w:rsidTr="00B15B68">
        <w:trPr>
          <w:trHeight w:val="355"/>
        </w:trPr>
        <w:tc>
          <w:tcPr>
            <w:tcW w:w="1575" w:type="dxa"/>
            <w:vMerge/>
            <w:tcBorders>
              <w:top w:val="single" w:sz="8" w:space="0" w:color="auto"/>
              <w:left w:val="single" w:sz="4" w:space="0" w:color="auto"/>
              <w:bottom w:val="single" w:sz="4" w:space="0" w:color="000000"/>
              <w:right w:val="single" w:sz="4" w:space="0" w:color="auto"/>
            </w:tcBorders>
            <w:vAlign w:val="center"/>
            <w:hideMark/>
          </w:tcPr>
          <w:p w:rsidR="009548A6" w:rsidRPr="00BF0031" w:rsidRDefault="009548A6" w:rsidP="00B15B68">
            <w:pPr>
              <w:widowControl/>
              <w:snapToGrid w:val="0"/>
              <w:rPr>
                <w:rFonts w:ascii="標楷體" w:eastAsia="標楷體" w:hAnsi="標楷體" w:cs="Arial"/>
                <w:sz w:val="22"/>
              </w:rPr>
            </w:pPr>
          </w:p>
        </w:tc>
        <w:tc>
          <w:tcPr>
            <w:tcW w:w="2504" w:type="dxa"/>
            <w:tcBorders>
              <w:top w:val="nil"/>
              <w:left w:val="nil"/>
              <w:right w:val="single" w:sz="4" w:space="0" w:color="auto"/>
            </w:tcBorders>
            <w:shd w:val="clear" w:color="auto" w:fill="auto"/>
            <w:vAlign w:val="center"/>
            <w:hideMark/>
          </w:tcPr>
          <w:p w:rsidR="009548A6" w:rsidRPr="00BF0031" w:rsidRDefault="009548A6" w:rsidP="00B15B68">
            <w:pPr>
              <w:widowControl/>
              <w:snapToGrid w:val="0"/>
              <w:jc w:val="center"/>
              <w:rPr>
                <w:sz w:val="22"/>
              </w:rPr>
            </w:pPr>
            <w:r w:rsidRPr="00C82BE2">
              <w:rPr>
                <w:color w:val="000000" w:themeColor="text1"/>
                <w:sz w:val="22"/>
                <w:szCs w:val="22"/>
              </w:rPr>
              <w:t xml:space="preserve">1-year </w:t>
            </w:r>
            <w:r w:rsidRPr="00C82BE2">
              <w:rPr>
                <w:b/>
                <w:color w:val="000000" w:themeColor="text1"/>
                <w:sz w:val="22"/>
                <w:szCs w:val="22"/>
              </w:rPr>
              <w:t>time deposit rate</w:t>
            </w:r>
            <w:r w:rsidRPr="00BF0031">
              <w:rPr>
                <w:sz w:val="22"/>
              </w:rPr>
              <w:t>*</w:t>
            </w:r>
          </w:p>
        </w:tc>
        <w:tc>
          <w:tcPr>
            <w:tcW w:w="2504" w:type="dxa"/>
            <w:tcBorders>
              <w:top w:val="nil"/>
              <w:left w:val="nil"/>
              <w:right w:val="single" w:sz="4" w:space="0" w:color="auto"/>
            </w:tcBorders>
            <w:shd w:val="clear" w:color="auto" w:fill="auto"/>
            <w:noWrap/>
            <w:vAlign w:val="center"/>
            <w:hideMark/>
          </w:tcPr>
          <w:p w:rsidR="009548A6" w:rsidRPr="00BF0031" w:rsidRDefault="009548A6" w:rsidP="00B15B68">
            <w:pPr>
              <w:widowControl/>
              <w:snapToGrid w:val="0"/>
              <w:jc w:val="center"/>
              <w:rPr>
                <w:sz w:val="22"/>
              </w:rPr>
            </w:pPr>
            <w:r w:rsidRPr="00C82BE2">
              <w:rPr>
                <w:color w:val="000000" w:themeColor="text1"/>
                <w:sz w:val="22"/>
                <w:szCs w:val="22"/>
              </w:rPr>
              <w:t>CPI annual growth rate</w:t>
            </w:r>
            <w:r w:rsidRPr="00BF0031">
              <w:rPr>
                <w:sz w:val="22"/>
              </w:rPr>
              <w:t>**</w:t>
            </w:r>
          </w:p>
        </w:tc>
        <w:tc>
          <w:tcPr>
            <w:tcW w:w="25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548A6" w:rsidRPr="00BF0031" w:rsidRDefault="009548A6" w:rsidP="00B15B68">
            <w:pPr>
              <w:widowControl/>
              <w:snapToGrid w:val="0"/>
              <w:jc w:val="center"/>
              <w:rPr>
                <w:rFonts w:ascii="標楷體" w:eastAsia="標楷體" w:hAnsi="標楷體" w:cs="Arial"/>
                <w:b/>
                <w:bCs/>
                <w:sz w:val="22"/>
              </w:rPr>
            </w:pPr>
            <w:r w:rsidRPr="00C1471D">
              <w:rPr>
                <w:rFonts w:eastAsia="標楷體" w:hint="eastAsia"/>
                <w:b/>
                <w:bCs/>
                <w:color w:val="000000" w:themeColor="text1"/>
                <w:sz w:val="22"/>
                <w:szCs w:val="22"/>
              </w:rPr>
              <w:t>Real interest rate</w:t>
            </w:r>
          </w:p>
        </w:tc>
      </w:tr>
      <w:tr w:rsidR="009548A6" w:rsidRPr="00627180" w:rsidTr="00B15B68">
        <w:trPr>
          <w:trHeight w:val="261"/>
        </w:trPr>
        <w:tc>
          <w:tcPr>
            <w:tcW w:w="1575" w:type="dxa"/>
            <w:vMerge/>
            <w:tcBorders>
              <w:top w:val="single" w:sz="8" w:space="0" w:color="auto"/>
              <w:left w:val="single" w:sz="4" w:space="0" w:color="auto"/>
              <w:bottom w:val="single" w:sz="4" w:space="0" w:color="000000"/>
              <w:right w:val="single" w:sz="4" w:space="0" w:color="auto"/>
            </w:tcBorders>
            <w:vAlign w:val="center"/>
            <w:hideMark/>
          </w:tcPr>
          <w:p w:rsidR="009548A6" w:rsidRPr="00BF0031" w:rsidRDefault="009548A6" w:rsidP="00B15B68">
            <w:pPr>
              <w:widowControl/>
              <w:snapToGrid w:val="0"/>
              <w:rPr>
                <w:rFonts w:ascii="標楷體" w:eastAsia="標楷體" w:hAnsi="標楷體" w:cs="Arial"/>
                <w:sz w:val="22"/>
              </w:rPr>
            </w:pPr>
          </w:p>
        </w:tc>
        <w:tc>
          <w:tcPr>
            <w:tcW w:w="2504" w:type="dxa"/>
            <w:tcBorders>
              <w:top w:val="nil"/>
              <w:left w:val="nil"/>
              <w:bottom w:val="single" w:sz="4" w:space="0" w:color="auto"/>
              <w:right w:val="single" w:sz="4" w:space="0" w:color="auto"/>
            </w:tcBorders>
            <w:shd w:val="clear" w:color="auto" w:fill="auto"/>
            <w:noWrap/>
            <w:vAlign w:val="center"/>
            <w:hideMark/>
          </w:tcPr>
          <w:p w:rsidR="009548A6" w:rsidRPr="00BF0031" w:rsidRDefault="009548A6" w:rsidP="009A7217">
            <w:pPr>
              <w:widowControl/>
              <w:snapToGrid w:val="0"/>
              <w:jc w:val="center"/>
              <w:rPr>
                <w:sz w:val="22"/>
              </w:rPr>
            </w:pPr>
            <w:r w:rsidRPr="009A7217">
              <w:rPr>
                <w:sz w:val="22"/>
              </w:rPr>
              <w:t>(</w:t>
            </w:r>
            <w:r>
              <w:rPr>
                <w:rFonts w:hint="eastAsia"/>
                <w:sz w:val="22"/>
              </w:rPr>
              <w:t xml:space="preserve">As of </w:t>
            </w:r>
            <w:r w:rsidRPr="009A7217">
              <w:rPr>
                <w:rFonts w:hint="eastAsia"/>
                <w:sz w:val="22"/>
              </w:rPr>
              <w:t>2019</w:t>
            </w:r>
            <w:r>
              <w:rPr>
                <w:rFonts w:ascii="標楷體" w:eastAsia="標楷體" w:hAnsi="標楷體" w:hint="eastAsia"/>
                <w:sz w:val="22"/>
              </w:rPr>
              <w:t>/</w:t>
            </w:r>
            <w:r w:rsidRPr="009A7217">
              <w:rPr>
                <w:rFonts w:hint="eastAsia"/>
                <w:sz w:val="22"/>
              </w:rPr>
              <w:t>12</w:t>
            </w:r>
            <w:r>
              <w:rPr>
                <w:rFonts w:ascii="標楷體" w:eastAsia="標楷體" w:hAnsi="標楷體" w:hint="eastAsia"/>
                <w:sz w:val="22"/>
              </w:rPr>
              <w:t>/</w:t>
            </w:r>
            <w:r w:rsidRPr="009A7217">
              <w:rPr>
                <w:rFonts w:hint="eastAsia"/>
                <w:sz w:val="22"/>
              </w:rPr>
              <w:t>19</w:t>
            </w:r>
            <w:r w:rsidRPr="009A7217">
              <w:rPr>
                <w:sz w:val="22"/>
              </w:rPr>
              <w:t>)</w:t>
            </w:r>
          </w:p>
        </w:tc>
        <w:tc>
          <w:tcPr>
            <w:tcW w:w="2504" w:type="dxa"/>
            <w:tcBorders>
              <w:top w:val="nil"/>
              <w:left w:val="nil"/>
              <w:bottom w:val="single" w:sz="4" w:space="0" w:color="auto"/>
              <w:right w:val="single" w:sz="4" w:space="0" w:color="auto"/>
            </w:tcBorders>
            <w:shd w:val="clear" w:color="auto" w:fill="auto"/>
            <w:noWrap/>
            <w:vAlign w:val="center"/>
            <w:hideMark/>
          </w:tcPr>
          <w:p w:rsidR="009548A6" w:rsidRPr="00BF0031" w:rsidRDefault="009548A6" w:rsidP="00B15B68">
            <w:pPr>
              <w:widowControl/>
              <w:snapToGrid w:val="0"/>
              <w:jc w:val="center"/>
              <w:rPr>
                <w:sz w:val="22"/>
              </w:rPr>
            </w:pPr>
            <w:r w:rsidRPr="00BF0031">
              <w:rPr>
                <w:sz w:val="22"/>
              </w:rPr>
              <w:t>(</w:t>
            </w:r>
            <w:r w:rsidRPr="00C82BE2">
              <w:rPr>
                <w:color w:val="000000" w:themeColor="text1"/>
                <w:sz w:val="22"/>
                <w:szCs w:val="22"/>
              </w:rPr>
              <w:t>201</w:t>
            </w:r>
            <w:r w:rsidRPr="00C82BE2">
              <w:rPr>
                <w:rFonts w:hint="eastAsia"/>
                <w:color w:val="000000" w:themeColor="text1"/>
                <w:sz w:val="22"/>
                <w:szCs w:val="22"/>
              </w:rPr>
              <w:t>9</w:t>
            </w:r>
            <w:r w:rsidRPr="00C82BE2">
              <w:rPr>
                <w:rFonts w:eastAsia="標楷體" w:hint="eastAsia"/>
                <w:color w:val="000000" w:themeColor="text1"/>
                <w:sz w:val="22"/>
                <w:szCs w:val="22"/>
              </w:rPr>
              <w:t xml:space="preserve"> forecast</w:t>
            </w:r>
            <w:r w:rsidRPr="00BF0031">
              <w:rPr>
                <w:sz w:val="22"/>
              </w:rPr>
              <w:t>)</w:t>
            </w:r>
          </w:p>
        </w:tc>
        <w:tc>
          <w:tcPr>
            <w:tcW w:w="2504" w:type="dxa"/>
            <w:vMerge/>
            <w:tcBorders>
              <w:top w:val="nil"/>
              <w:left w:val="single" w:sz="4" w:space="0" w:color="auto"/>
              <w:bottom w:val="single" w:sz="4" w:space="0" w:color="000000"/>
              <w:right w:val="single" w:sz="4" w:space="0" w:color="auto"/>
            </w:tcBorders>
            <w:vAlign w:val="center"/>
            <w:hideMark/>
          </w:tcPr>
          <w:p w:rsidR="009548A6" w:rsidRPr="00627180" w:rsidRDefault="009548A6" w:rsidP="00B15B68">
            <w:pPr>
              <w:widowControl/>
              <w:snapToGrid w:val="0"/>
              <w:rPr>
                <w:rFonts w:ascii="標楷體" w:eastAsia="標楷體" w:hAnsi="標楷體" w:cs="Arial"/>
                <w:b/>
                <w:bCs/>
              </w:rPr>
            </w:pP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FFFFFF" w:fill="FFFFFF"/>
            <w:noWrap/>
            <w:vAlign w:val="center"/>
            <w:hideMark/>
          </w:tcPr>
          <w:p w:rsidR="009548A6" w:rsidRPr="000C770C" w:rsidRDefault="009548A6" w:rsidP="0000419E">
            <w:pPr>
              <w:jc w:val="center"/>
              <w:rPr>
                <w:rFonts w:eastAsia="標楷體"/>
                <w:color w:val="000000" w:themeColor="text1"/>
              </w:rPr>
            </w:pPr>
            <w:r w:rsidRPr="000C770C">
              <w:rPr>
                <w:rFonts w:eastAsia="標楷體" w:hint="eastAsia"/>
                <w:color w:val="000000" w:themeColor="text1"/>
              </w:rPr>
              <w:t>Malaysia</w:t>
            </w:r>
          </w:p>
        </w:tc>
        <w:tc>
          <w:tcPr>
            <w:tcW w:w="2504" w:type="dxa"/>
            <w:tcBorders>
              <w:top w:val="single" w:sz="4" w:space="0" w:color="auto"/>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2.750</w:t>
            </w:r>
          </w:p>
        </w:tc>
        <w:tc>
          <w:tcPr>
            <w:tcW w:w="2504" w:type="dxa"/>
            <w:tcBorders>
              <w:top w:val="single" w:sz="4" w:space="0" w:color="auto"/>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0.69</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2.060</w:t>
            </w: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auto" w:fill="auto"/>
            <w:noWrap/>
            <w:vAlign w:val="center"/>
          </w:tcPr>
          <w:p w:rsidR="009548A6" w:rsidRPr="000C770C" w:rsidRDefault="009548A6" w:rsidP="0000419E">
            <w:pPr>
              <w:jc w:val="center"/>
              <w:rPr>
                <w:rFonts w:eastAsia="標楷體"/>
                <w:color w:val="000000" w:themeColor="text1"/>
              </w:rPr>
            </w:pPr>
            <w:r w:rsidRPr="000C770C">
              <w:rPr>
                <w:rFonts w:eastAsia="標楷體" w:hint="eastAsia"/>
                <w:color w:val="000000" w:themeColor="text1"/>
              </w:rPr>
              <w:t>Indonesia</w:t>
            </w:r>
          </w:p>
        </w:tc>
        <w:tc>
          <w:tcPr>
            <w:tcW w:w="2504" w:type="dxa"/>
            <w:tcBorders>
              <w:top w:val="nil"/>
              <w:left w:val="nil"/>
              <w:bottom w:val="single" w:sz="4" w:space="0" w:color="auto"/>
              <w:right w:val="single" w:sz="4" w:space="0" w:color="auto"/>
            </w:tcBorders>
            <w:shd w:val="clear" w:color="auto" w:fill="auto"/>
            <w:vAlign w:val="center"/>
          </w:tcPr>
          <w:p w:rsidR="009548A6" w:rsidRPr="009A7217" w:rsidRDefault="009548A6" w:rsidP="009A7217">
            <w:pPr>
              <w:jc w:val="center"/>
              <w:rPr>
                <w:rFonts w:eastAsia="標楷體"/>
              </w:rPr>
            </w:pPr>
            <w:r w:rsidRPr="009A7217">
              <w:rPr>
                <w:rFonts w:eastAsia="標楷體"/>
              </w:rPr>
              <w:t>4.750</w:t>
            </w:r>
          </w:p>
        </w:tc>
        <w:tc>
          <w:tcPr>
            <w:tcW w:w="2504" w:type="dxa"/>
            <w:tcBorders>
              <w:top w:val="nil"/>
              <w:left w:val="nil"/>
              <w:bottom w:val="single" w:sz="4" w:space="0" w:color="auto"/>
              <w:right w:val="single" w:sz="4" w:space="0" w:color="auto"/>
            </w:tcBorders>
            <w:shd w:val="clear" w:color="auto" w:fill="auto"/>
            <w:vAlign w:val="center"/>
          </w:tcPr>
          <w:p w:rsidR="009548A6" w:rsidRPr="009A7217" w:rsidRDefault="009548A6" w:rsidP="009A7217">
            <w:pPr>
              <w:jc w:val="center"/>
              <w:rPr>
                <w:rFonts w:eastAsia="標楷體"/>
              </w:rPr>
            </w:pPr>
            <w:r w:rsidRPr="009A7217">
              <w:rPr>
                <w:rFonts w:eastAsia="標楷體"/>
              </w:rPr>
              <w:t>3.05</w:t>
            </w:r>
          </w:p>
        </w:tc>
        <w:tc>
          <w:tcPr>
            <w:tcW w:w="2504" w:type="dxa"/>
            <w:tcBorders>
              <w:top w:val="nil"/>
              <w:left w:val="nil"/>
              <w:bottom w:val="single" w:sz="4" w:space="0" w:color="auto"/>
              <w:right w:val="single" w:sz="4" w:space="0" w:color="auto"/>
            </w:tcBorders>
            <w:shd w:val="clear" w:color="auto" w:fill="auto"/>
            <w:vAlign w:val="center"/>
          </w:tcPr>
          <w:p w:rsidR="009548A6" w:rsidRPr="009A7217" w:rsidRDefault="009548A6" w:rsidP="009A7217">
            <w:pPr>
              <w:jc w:val="center"/>
              <w:rPr>
                <w:rFonts w:eastAsia="標楷體"/>
              </w:rPr>
            </w:pPr>
            <w:r w:rsidRPr="009A7217">
              <w:rPr>
                <w:rFonts w:eastAsia="標楷體"/>
              </w:rPr>
              <w:t>1.700</w:t>
            </w: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9548A6" w:rsidRPr="000C770C" w:rsidRDefault="009548A6" w:rsidP="0000419E">
            <w:pPr>
              <w:jc w:val="center"/>
              <w:rPr>
                <w:rFonts w:eastAsia="標楷體"/>
                <w:color w:val="000000" w:themeColor="text1"/>
              </w:rPr>
            </w:pPr>
            <w:r w:rsidRPr="000C770C">
              <w:rPr>
                <w:rFonts w:eastAsia="標楷體" w:hint="eastAsia"/>
                <w:color w:val="000000" w:themeColor="text1"/>
              </w:rPr>
              <w:t>South Korea</w:t>
            </w:r>
          </w:p>
        </w:tc>
        <w:tc>
          <w:tcPr>
            <w:tcW w:w="2504" w:type="dxa"/>
            <w:tcBorders>
              <w:top w:val="nil"/>
              <w:left w:val="nil"/>
              <w:bottom w:val="single" w:sz="4" w:space="0" w:color="auto"/>
              <w:right w:val="single" w:sz="4" w:space="0" w:color="auto"/>
            </w:tcBorders>
            <w:shd w:val="clear" w:color="auto" w:fill="auto"/>
            <w:vAlign w:val="center"/>
            <w:hideMark/>
          </w:tcPr>
          <w:p w:rsidR="009548A6" w:rsidRPr="009A7217" w:rsidRDefault="009548A6" w:rsidP="009A7217">
            <w:pPr>
              <w:jc w:val="center"/>
              <w:rPr>
                <w:rFonts w:eastAsia="標楷體"/>
              </w:rPr>
            </w:pPr>
            <w:r w:rsidRPr="009A7217">
              <w:rPr>
                <w:rFonts w:eastAsia="標楷體"/>
              </w:rPr>
              <w:t>1.100</w:t>
            </w:r>
          </w:p>
        </w:tc>
        <w:tc>
          <w:tcPr>
            <w:tcW w:w="2504" w:type="dxa"/>
            <w:tcBorders>
              <w:top w:val="nil"/>
              <w:left w:val="nil"/>
              <w:bottom w:val="single" w:sz="4" w:space="0" w:color="auto"/>
              <w:right w:val="single" w:sz="4" w:space="0" w:color="auto"/>
            </w:tcBorders>
            <w:shd w:val="clear" w:color="auto" w:fill="auto"/>
            <w:vAlign w:val="center"/>
            <w:hideMark/>
          </w:tcPr>
          <w:p w:rsidR="009548A6" w:rsidRPr="009A7217" w:rsidRDefault="009548A6" w:rsidP="009A7217">
            <w:pPr>
              <w:jc w:val="center"/>
              <w:rPr>
                <w:rFonts w:eastAsia="標楷體"/>
              </w:rPr>
            </w:pPr>
            <w:r w:rsidRPr="009A7217">
              <w:rPr>
                <w:rFonts w:eastAsia="標楷體"/>
              </w:rPr>
              <w:t>0.36</w:t>
            </w:r>
          </w:p>
        </w:tc>
        <w:tc>
          <w:tcPr>
            <w:tcW w:w="2504" w:type="dxa"/>
            <w:tcBorders>
              <w:top w:val="nil"/>
              <w:left w:val="nil"/>
              <w:bottom w:val="single" w:sz="4" w:space="0" w:color="auto"/>
              <w:right w:val="single" w:sz="4" w:space="0" w:color="auto"/>
            </w:tcBorders>
            <w:shd w:val="clear" w:color="auto" w:fill="auto"/>
            <w:vAlign w:val="center"/>
            <w:hideMark/>
          </w:tcPr>
          <w:p w:rsidR="009548A6" w:rsidRPr="009A7217" w:rsidRDefault="009548A6" w:rsidP="009A7217">
            <w:pPr>
              <w:jc w:val="center"/>
              <w:rPr>
                <w:rFonts w:eastAsia="標楷體"/>
              </w:rPr>
            </w:pPr>
            <w:r w:rsidRPr="009A7217">
              <w:rPr>
                <w:rFonts w:eastAsia="標楷體"/>
              </w:rPr>
              <w:t>0.740</w:t>
            </w: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FFFFFF" w:fill="FFFFFF"/>
            <w:noWrap/>
            <w:vAlign w:val="center"/>
            <w:hideMark/>
          </w:tcPr>
          <w:p w:rsidR="009548A6" w:rsidRPr="000C770C" w:rsidRDefault="009548A6" w:rsidP="0000419E">
            <w:pPr>
              <w:jc w:val="center"/>
              <w:rPr>
                <w:rFonts w:eastAsia="標楷體"/>
                <w:color w:val="000000" w:themeColor="text1"/>
              </w:rPr>
            </w:pPr>
            <w:r w:rsidRPr="000C770C">
              <w:rPr>
                <w:rFonts w:eastAsia="標楷體" w:hint="eastAsia"/>
                <w:color w:val="000000" w:themeColor="text1"/>
              </w:rPr>
              <w:t>Thailand</w:t>
            </w:r>
          </w:p>
        </w:tc>
        <w:tc>
          <w:tcPr>
            <w:tcW w:w="2504" w:type="dxa"/>
            <w:tcBorders>
              <w:top w:val="nil"/>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1.438</w:t>
            </w:r>
          </w:p>
        </w:tc>
        <w:tc>
          <w:tcPr>
            <w:tcW w:w="2504" w:type="dxa"/>
            <w:tcBorders>
              <w:top w:val="nil"/>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0.71</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0.728</w:t>
            </w: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auto" w:fill="FFFFCC"/>
            <w:noWrap/>
            <w:vAlign w:val="center"/>
            <w:hideMark/>
          </w:tcPr>
          <w:p w:rsidR="009548A6" w:rsidRPr="009A7217" w:rsidRDefault="009548A6" w:rsidP="009A7217">
            <w:pPr>
              <w:jc w:val="center"/>
              <w:rPr>
                <w:rFonts w:eastAsia="標楷體"/>
                <w:b/>
              </w:rPr>
            </w:pPr>
            <w:r>
              <w:rPr>
                <w:rFonts w:eastAsia="標楷體" w:hint="eastAsia"/>
                <w:b/>
              </w:rPr>
              <w:t>Taiwan</w:t>
            </w:r>
          </w:p>
        </w:tc>
        <w:tc>
          <w:tcPr>
            <w:tcW w:w="2504" w:type="dxa"/>
            <w:tcBorders>
              <w:top w:val="nil"/>
              <w:left w:val="nil"/>
              <w:bottom w:val="single" w:sz="4" w:space="0" w:color="auto"/>
              <w:right w:val="nil"/>
            </w:tcBorders>
            <w:shd w:val="clear" w:color="auto" w:fill="FFFFCC"/>
            <w:noWrap/>
            <w:vAlign w:val="center"/>
            <w:hideMark/>
          </w:tcPr>
          <w:p w:rsidR="009548A6" w:rsidRPr="009A7217" w:rsidRDefault="009548A6" w:rsidP="009A7217">
            <w:pPr>
              <w:jc w:val="center"/>
              <w:rPr>
                <w:rFonts w:eastAsia="標楷體"/>
                <w:b/>
              </w:rPr>
            </w:pPr>
            <w:r w:rsidRPr="009A7217">
              <w:rPr>
                <w:rFonts w:eastAsia="標楷體"/>
                <w:b/>
              </w:rPr>
              <w:t>1.065</w:t>
            </w:r>
          </w:p>
        </w:tc>
        <w:tc>
          <w:tcPr>
            <w:tcW w:w="2504" w:type="dxa"/>
            <w:tcBorders>
              <w:top w:val="nil"/>
              <w:left w:val="single" w:sz="4" w:space="0" w:color="auto"/>
              <w:bottom w:val="single" w:sz="4" w:space="0" w:color="auto"/>
              <w:right w:val="nil"/>
            </w:tcBorders>
            <w:shd w:val="clear" w:color="auto" w:fill="FFFFCC"/>
            <w:noWrap/>
            <w:vAlign w:val="center"/>
            <w:hideMark/>
          </w:tcPr>
          <w:p w:rsidR="009548A6" w:rsidRPr="009A7217" w:rsidRDefault="009548A6" w:rsidP="009A7217">
            <w:pPr>
              <w:jc w:val="center"/>
              <w:rPr>
                <w:rFonts w:eastAsia="標楷體"/>
                <w:b/>
              </w:rPr>
            </w:pPr>
            <w:r w:rsidRPr="009A7217">
              <w:rPr>
                <w:rFonts w:eastAsia="標楷體"/>
                <w:b/>
              </w:rPr>
              <w:t>0.54</w:t>
            </w:r>
          </w:p>
        </w:tc>
        <w:tc>
          <w:tcPr>
            <w:tcW w:w="2504" w:type="dxa"/>
            <w:tcBorders>
              <w:top w:val="nil"/>
              <w:left w:val="single" w:sz="4" w:space="0" w:color="auto"/>
              <w:bottom w:val="single" w:sz="4" w:space="0" w:color="auto"/>
              <w:right w:val="single" w:sz="4" w:space="0" w:color="auto"/>
            </w:tcBorders>
            <w:shd w:val="clear" w:color="auto" w:fill="FFFFCC"/>
            <w:noWrap/>
            <w:vAlign w:val="center"/>
            <w:hideMark/>
          </w:tcPr>
          <w:p w:rsidR="009548A6" w:rsidRPr="009A7217" w:rsidRDefault="009548A6" w:rsidP="009A7217">
            <w:pPr>
              <w:jc w:val="center"/>
              <w:rPr>
                <w:rFonts w:eastAsia="標楷體"/>
                <w:b/>
              </w:rPr>
            </w:pPr>
            <w:r w:rsidRPr="009A7217">
              <w:rPr>
                <w:rFonts w:eastAsia="標楷體"/>
                <w:b/>
              </w:rPr>
              <w:t>0.525</w:t>
            </w:r>
          </w:p>
        </w:tc>
      </w:tr>
      <w:tr w:rsidR="009548A6" w:rsidRPr="009A7217" w:rsidTr="009A7217">
        <w:trPr>
          <w:trHeight w:val="588"/>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Pr>
                <w:rFonts w:eastAsia="標楷體" w:hint="eastAsia"/>
              </w:rPr>
              <w:t>Singapore</w:t>
            </w:r>
          </w:p>
        </w:tc>
        <w:tc>
          <w:tcPr>
            <w:tcW w:w="2504" w:type="dxa"/>
            <w:tcBorders>
              <w:top w:val="single" w:sz="4" w:space="0" w:color="auto"/>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0.700</w:t>
            </w:r>
          </w:p>
        </w:tc>
        <w:tc>
          <w:tcPr>
            <w:tcW w:w="2504" w:type="dxa"/>
            <w:tcBorders>
              <w:top w:val="single" w:sz="4" w:space="0" w:color="auto"/>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0.58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0.120</w:t>
            </w:r>
          </w:p>
        </w:tc>
      </w:tr>
      <w:tr w:rsidR="009548A6" w:rsidRPr="009A7217" w:rsidTr="009A7217">
        <w:trPr>
          <w:trHeight w:val="588"/>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Pr>
                <w:rFonts w:eastAsia="標楷體" w:hint="eastAsia"/>
              </w:rPr>
              <w:t>US</w:t>
            </w:r>
          </w:p>
        </w:tc>
        <w:tc>
          <w:tcPr>
            <w:tcW w:w="2504" w:type="dxa"/>
            <w:tcBorders>
              <w:top w:val="single" w:sz="4" w:space="0" w:color="auto"/>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1.730</w:t>
            </w:r>
          </w:p>
        </w:tc>
        <w:tc>
          <w:tcPr>
            <w:tcW w:w="2504" w:type="dxa"/>
            <w:tcBorders>
              <w:top w:val="single" w:sz="4" w:space="0" w:color="auto"/>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1.81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-0.080</w:t>
            </w: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FFFFFF" w:fill="FFFFFF"/>
            <w:noWrap/>
            <w:vAlign w:val="center"/>
            <w:hideMark/>
          </w:tcPr>
          <w:p w:rsidR="009548A6" w:rsidRPr="00B26BA1" w:rsidRDefault="009548A6" w:rsidP="0000419E">
            <w:pPr>
              <w:jc w:val="center"/>
              <w:rPr>
                <w:rFonts w:eastAsia="標楷體"/>
              </w:rPr>
            </w:pPr>
            <w:r w:rsidRPr="000C770C">
              <w:rPr>
                <w:rFonts w:eastAsia="標楷體" w:hint="eastAsia"/>
                <w:color w:val="000000" w:themeColor="text1"/>
              </w:rPr>
              <w:t>Switzerland</w:t>
            </w:r>
          </w:p>
        </w:tc>
        <w:tc>
          <w:tcPr>
            <w:tcW w:w="2504" w:type="dxa"/>
            <w:tcBorders>
              <w:top w:val="nil"/>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0.000</w:t>
            </w:r>
          </w:p>
        </w:tc>
        <w:tc>
          <w:tcPr>
            <w:tcW w:w="2504" w:type="dxa"/>
            <w:tcBorders>
              <w:top w:val="nil"/>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0.35</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-0.350</w:t>
            </w: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FFFFFF" w:fill="FFFFFF"/>
            <w:noWrap/>
            <w:vAlign w:val="center"/>
            <w:hideMark/>
          </w:tcPr>
          <w:p w:rsidR="009548A6" w:rsidRPr="00B26BA1" w:rsidRDefault="009548A6" w:rsidP="0000419E">
            <w:pPr>
              <w:jc w:val="center"/>
              <w:rPr>
                <w:rFonts w:eastAsia="標楷體"/>
              </w:rPr>
            </w:pPr>
            <w:r w:rsidRPr="000C770C">
              <w:rPr>
                <w:rFonts w:eastAsia="標楷體" w:hint="eastAsia"/>
                <w:color w:val="000000" w:themeColor="text1"/>
              </w:rPr>
              <w:t>Japan</w:t>
            </w:r>
          </w:p>
        </w:tc>
        <w:tc>
          <w:tcPr>
            <w:tcW w:w="2504" w:type="dxa"/>
            <w:tcBorders>
              <w:top w:val="nil"/>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0.010</w:t>
            </w:r>
          </w:p>
        </w:tc>
        <w:tc>
          <w:tcPr>
            <w:tcW w:w="2504" w:type="dxa"/>
            <w:tcBorders>
              <w:top w:val="nil"/>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0.49</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-0.480</w:t>
            </w: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FFFFFF" w:fill="FFFFFF"/>
            <w:noWrap/>
            <w:vAlign w:val="center"/>
            <w:hideMark/>
          </w:tcPr>
          <w:p w:rsidR="009548A6" w:rsidRPr="009A7217" w:rsidRDefault="009548A6" w:rsidP="009A7217">
            <w:pPr>
              <w:jc w:val="center"/>
              <w:rPr>
                <w:rFonts w:eastAsia="標楷體"/>
              </w:rPr>
            </w:pPr>
            <w:r>
              <w:rPr>
                <w:rFonts w:eastAsia="標楷體" w:hint="eastAsia"/>
              </w:rPr>
              <w:t>UK</w:t>
            </w:r>
          </w:p>
        </w:tc>
        <w:tc>
          <w:tcPr>
            <w:tcW w:w="2504" w:type="dxa"/>
            <w:tcBorders>
              <w:top w:val="nil"/>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0.850</w:t>
            </w:r>
          </w:p>
        </w:tc>
        <w:tc>
          <w:tcPr>
            <w:tcW w:w="2504" w:type="dxa"/>
            <w:tcBorders>
              <w:top w:val="nil"/>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1.80</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-0.950</w:t>
            </w:r>
          </w:p>
        </w:tc>
      </w:tr>
      <w:tr w:rsidR="009548A6" w:rsidRPr="009A7217" w:rsidTr="009A7217">
        <w:trPr>
          <w:trHeight w:val="588"/>
        </w:trPr>
        <w:tc>
          <w:tcPr>
            <w:tcW w:w="1575" w:type="dxa"/>
            <w:tcBorders>
              <w:top w:val="nil"/>
              <w:left w:val="single" w:sz="4" w:space="0" w:color="auto"/>
              <w:bottom w:val="single" w:sz="4" w:space="0" w:color="auto"/>
              <w:right w:val="single" w:sz="4" w:space="0" w:color="auto"/>
            </w:tcBorders>
            <w:shd w:val="clear" w:color="FFFFFF" w:fill="FFFFFF"/>
            <w:noWrap/>
            <w:vAlign w:val="center"/>
            <w:hideMark/>
          </w:tcPr>
          <w:p w:rsidR="009548A6" w:rsidRPr="009A7217" w:rsidRDefault="009548A6" w:rsidP="009A7217">
            <w:pPr>
              <w:jc w:val="center"/>
              <w:rPr>
                <w:rFonts w:eastAsia="標楷體"/>
              </w:rPr>
            </w:pPr>
            <w:r w:rsidRPr="0015371A">
              <w:rPr>
                <w:rFonts w:eastAsia="標楷體" w:hint="eastAsia"/>
                <w:color w:val="000000" w:themeColor="text1"/>
              </w:rPr>
              <w:t>Euro area</w:t>
            </w:r>
          </w:p>
        </w:tc>
        <w:tc>
          <w:tcPr>
            <w:tcW w:w="2504" w:type="dxa"/>
            <w:tcBorders>
              <w:top w:val="nil"/>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0.050</w:t>
            </w:r>
          </w:p>
        </w:tc>
        <w:tc>
          <w:tcPr>
            <w:tcW w:w="2504" w:type="dxa"/>
            <w:tcBorders>
              <w:top w:val="nil"/>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1.22</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-1.170</w:t>
            </w:r>
          </w:p>
        </w:tc>
      </w:tr>
      <w:tr w:rsidR="009548A6" w:rsidRPr="009A7217" w:rsidTr="009A7217">
        <w:trPr>
          <w:trHeight w:val="588"/>
        </w:trPr>
        <w:tc>
          <w:tcPr>
            <w:tcW w:w="1575" w:type="dxa"/>
            <w:tcBorders>
              <w:top w:val="nil"/>
              <w:left w:val="single" w:sz="4" w:space="0" w:color="auto"/>
              <w:bottom w:val="nil"/>
              <w:right w:val="single" w:sz="4" w:space="0" w:color="auto"/>
            </w:tcBorders>
            <w:shd w:val="clear" w:color="auto" w:fill="auto"/>
            <w:noWrap/>
            <w:vAlign w:val="center"/>
            <w:hideMark/>
          </w:tcPr>
          <w:p w:rsidR="009548A6" w:rsidRPr="009A7217" w:rsidRDefault="009548A6" w:rsidP="009A7217">
            <w:pPr>
              <w:jc w:val="center"/>
              <w:rPr>
                <w:rFonts w:eastAsia="標楷體"/>
              </w:rPr>
            </w:pPr>
            <w:r>
              <w:rPr>
                <w:rFonts w:eastAsia="標楷體" w:hint="eastAsia"/>
              </w:rPr>
              <w:t>China</w:t>
            </w:r>
          </w:p>
        </w:tc>
        <w:tc>
          <w:tcPr>
            <w:tcW w:w="2504" w:type="dxa"/>
            <w:tcBorders>
              <w:top w:val="nil"/>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1.500</w:t>
            </w:r>
          </w:p>
        </w:tc>
        <w:tc>
          <w:tcPr>
            <w:tcW w:w="2504" w:type="dxa"/>
            <w:tcBorders>
              <w:top w:val="nil"/>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2.73</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-1.230</w:t>
            </w:r>
          </w:p>
        </w:tc>
      </w:tr>
      <w:tr w:rsidR="009548A6" w:rsidRPr="009A7217" w:rsidTr="009A7217">
        <w:trPr>
          <w:trHeight w:val="588"/>
        </w:trPr>
        <w:tc>
          <w:tcPr>
            <w:tcW w:w="1575"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rsidR="009548A6" w:rsidRPr="00B26BA1" w:rsidRDefault="009548A6" w:rsidP="0000419E">
            <w:pPr>
              <w:jc w:val="center"/>
              <w:rPr>
                <w:rFonts w:eastAsia="標楷體"/>
              </w:rPr>
            </w:pPr>
            <w:r w:rsidRPr="000C770C">
              <w:rPr>
                <w:rFonts w:eastAsia="標楷體" w:hint="eastAsia"/>
                <w:color w:val="000000" w:themeColor="text1"/>
              </w:rPr>
              <w:t>Philippines</w:t>
            </w:r>
          </w:p>
        </w:tc>
        <w:tc>
          <w:tcPr>
            <w:tcW w:w="2504" w:type="dxa"/>
            <w:tcBorders>
              <w:top w:val="nil"/>
              <w:left w:val="nil"/>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0.500</w:t>
            </w:r>
          </w:p>
        </w:tc>
        <w:tc>
          <w:tcPr>
            <w:tcW w:w="2504" w:type="dxa"/>
            <w:tcBorders>
              <w:top w:val="nil"/>
              <w:left w:val="single" w:sz="4" w:space="0" w:color="auto"/>
              <w:bottom w:val="single" w:sz="4" w:space="0" w:color="auto"/>
              <w:right w:val="nil"/>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2.43</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-1.930</w:t>
            </w:r>
          </w:p>
        </w:tc>
      </w:tr>
      <w:tr w:rsidR="009548A6" w:rsidRPr="009A7217" w:rsidTr="009A7217">
        <w:trPr>
          <w:trHeight w:val="588"/>
        </w:trPr>
        <w:tc>
          <w:tcPr>
            <w:tcW w:w="1575" w:type="dxa"/>
            <w:tcBorders>
              <w:top w:val="nil"/>
              <w:left w:val="single" w:sz="4" w:space="0" w:color="auto"/>
              <w:bottom w:val="single" w:sz="8" w:space="0" w:color="auto"/>
              <w:right w:val="single" w:sz="4" w:space="0" w:color="auto"/>
            </w:tcBorders>
            <w:shd w:val="clear" w:color="FFFFFF" w:fill="FFFFFF"/>
            <w:noWrap/>
            <w:vAlign w:val="center"/>
            <w:hideMark/>
          </w:tcPr>
          <w:p w:rsidR="009548A6" w:rsidRPr="00B26BA1" w:rsidRDefault="009548A6" w:rsidP="0000419E">
            <w:pPr>
              <w:jc w:val="center"/>
              <w:rPr>
                <w:rFonts w:eastAsia="標楷體"/>
              </w:rPr>
            </w:pPr>
            <w:r w:rsidRPr="000C770C">
              <w:rPr>
                <w:rFonts w:eastAsia="標楷體" w:hint="eastAsia"/>
                <w:color w:val="000000" w:themeColor="text1"/>
              </w:rPr>
              <w:t>Hong Kong</w:t>
            </w:r>
          </w:p>
        </w:tc>
        <w:tc>
          <w:tcPr>
            <w:tcW w:w="2504" w:type="dxa"/>
            <w:tcBorders>
              <w:top w:val="nil"/>
              <w:left w:val="nil"/>
              <w:bottom w:val="single" w:sz="8"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0.300</w:t>
            </w:r>
          </w:p>
        </w:tc>
        <w:tc>
          <w:tcPr>
            <w:tcW w:w="2504" w:type="dxa"/>
            <w:tcBorders>
              <w:top w:val="nil"/>
              <w:left w:val="nil"/>
              <w:bottom w:val="single" w:sz="8"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2.86</w:t>
            </w:r>
          </w:p>
        </w:tc>
        <w:tc>
          <w:tcPr>
            <w:tcW w:w="2504" w:type="dxa"/>
            <w:tcBorders>
              <w:top w:val="nil"/>
              <w:left w:val="nil"/>
              <w:bottom w:val="single" w:sz="8" w:space="0" w:color="auto"/>
              <w:right w:val="single" w:sz="4" w:space="0" w:color="auto"/>
            </w:tcBorders>
            <w:shd w:val="clear" w:color="auto" w:fill="auto"/>
            <w:noWrap/>
            <w:vAlign w:val="center"/>
            <w:hideMark/>
          </w:tcPr>
          <w:p w:rsidR="009548A6" w:rsidRPr="009A7217" w:rsidRDefault="009548A6" w:rsidP="009A7217">
            <w:pPr>
              <w:jc w:val="center"/>
              <w:rPr>
                <w:rFonts w:eastAsia="標楷體"/>
              </w:rPr>
            </w:pPr>
            <w:r w:rsidRPr="009A7217">
              <w:rPr>
                <w:rFonts w:eastAsia="標楷體"/>
              </w:rPr>
              <w:t>-2.560</w:t>
            </w:r>
          </w:p>
        </w:tc>
      </w:tr>
    </w:tbl>
    <w:p w:rsidR="009548A6" w:rsidRPr="00472929" w:rsidRDefault="009548A6" w:rsidP="00847E4E">
      <w:pPr>
        <w:snapToGrid w:val="0"/>
        <w:spacing w:before="60"/>
        <w:ind w:left="258" w:hangingChars="129" w:hanging="258"/>
        <w:rPr>
          <w:rFonts w:eastAsia="標楷體"/>
        </w:rPr>
      </w:pPr>
      <w:r>
        <w:rPr>
          <w:rFonts w:eastAsia="標楷體" w:hint="eastAsia"/>
        </w:rPr>
        <w:t xml:space="preserve">*  </w:t>
      </w:r>
      <w:r w:rsidRPr="00847E4E">
        <w:rPr>
          <w:rFonts w:eastAsia="標楷體"/>
        </w:rPr>
        <w:t>1-year time deposit rate</w:t>
      </w:r>
      <w:r>
        <w:rPr>
          <w:rFonts w:eastAsia="標楷體" w:hint="eastAsia"/>
        </w:rPr>
        <w:t xml:space="preserve">s </w:t>
      </w:r>
      <w:r w:rsidRPr="00472929">
        <w:rPr>
          <w:rFonts w:eastAsia="標楷體" w:hint="eastAsia"/>
        </w:rPr>
        <w:t xml:space="preserve">of selected major banks in respective economies, except for Taiwan, of which the figure is the </w:t>
      </w:r>
      <w:r w:rsidRPr="00472929">
        <w:rPr>
          <w:rFonts w:eastAsia="標楷體"/>
        </w:rPr>
        <w:t>1</w:t>
      </w:r>
      <w:r w:rsidRPr="00472929">
        <w:rPr>
          <w:rFonts w:eastAsia="標楷體" w:hint="eastAsia"/>
        </w:rPr>
        <w:t>-</w:t>
      </w:r>
      <w:r w:rsidRPr="00472929">
        <w:rPr>
          <w:rFonts w:eastAsia="標楷體"/>
        </w:rPr>
        <w:t>y</w:t>
      </w:r>
      <w:r w:rsidRPr="00472929">
        <w:rPr>
          <w:rFonts w:eastAsia="標楷體" w:hint="eastAsia"/>
        </w:rPr>
        <w:t>ear</w:t>
      </w:r>
      <w:r w:rsidRPr="00472929">
        <w:rPr>
          <w:rFonts w:eastAsia="標楷體"/>
        </w:rPr>
        <w:t xml:space="preserve"> time</w:t>
      </w:r>
      <w:r w:rsidRPr="00472929">
        <w:rPr>
          <w:rFonts w:eastAsia="標楷體" w:hint="eastAsia"/>
        </w:rPr>
        <w:t xml:space="preserve"> </w:t>
      </w:r>
      <w:r w:rsidRPr="00472929">
        <w:rPr>
          <w:rFonts w:eastAsia="標楷體"/>
        </w:rPr>
        <w:t>deposit</w:t>
      </w:r>
      <w:r w:rsidRPr="00472929">
        <w:rPr>
          <w:rFonts w:eastAsia="標楷體" w:hint="eastAsia"/>
        </w:rPr>
        <w:t xml:space="preserve"> floating</w:t>
      </w:r>
      <w:r w:rsidRPr="00472929">
        <w:rPr>
          <w:rFonts w:eastAsia="標楷體"/>
        </w:rPr>
        <w:t xml:space="preserve"> rate of the five major domestic banks</w:t>
      </w:r>
      <w:r w:rsidRPr="00472929">
        <w:rPr>
          <w:rFonts w:eastAsia="標楷體" w:hint="eastAsia"/>
        </w:rPr>
        <w:t xml:space="preserve">. </w:t>
      </w:r>
    </w:p>
    <w:p w:rsidR="009548A6" w:rsidRPr="00472929" w:rsidRDefault="009548A6" w:rsidP="00564AAB">
      <w:pPr>
        <w:snapToGrid w:val="0"/>
        <w:spacing w:before="60"/>
        <w:ind w:left="258" w:hangingChars="129" w:hanging="258"/>
        <w:rPr>
          <w:rFonts w:eastAsia="標楷體"/>
        </w:rPr>
      </w:pPr>
      <w:r w:rsidRPr="00472929">
        <w:rPr>
          <w:rFonts w:eastAsia="標楷體" w:hint="eastAsia"/>
        </w:rPr>
        <w:t xml:space="preserve">** </w:t>
      </w:r>
      <w:r w:rsidRPr="00472929">
        <w:rPr>
          <w:rFonts w:eastAsia="標楷體"/>
        </w:rPr>
        <w:t>I</w:t>
      </w:r>
      <w:r w:rsidRPr="00472929">
        <w:rPr>
          <w:rFonts w:eastAsia="標楷體" w:hint="eastAsia"/>
        </w:rPr>
        <w:t>H</w:t>
      </w:r>
      <w:r w:rsidRPr="00472929">
        <w:rPr>
          <w:rFonts w:eastAsia="標楷體"/>
        </w:rPr>
        <w:t>S</w:t>
      </w:r>
      <w:r w:rsidRPr="00472929">
        <w:rPr>
          <w:rFonts w:eastAsia="標楷體" w:hint="eastAsia"/>
        </w:rPr>
        <w:t xml:space="preserve"> </w:t>
      </w:r>
      <w:proofErr w:type="spellStart"/>
      <w:r w:rsidRPr="00472929">
        <w:rPr>
          <w:rFonts w:eastAsia="標楷體" w:hint="eastAsia"/>
        </w:rPr>
        <w:t>Markit</w:t>
      </w:r>
      <w:proofErr w:type="spellEnd"/>
      <w:r w:rsidRPr="00472929">
        <w:rPr>
          <w:rFonts w:eastAsia="標楷體"/>
        </w:rPr>
        <w:t xml:space="preserve"> projections, as of </w:t>
      </w:r>
      <w:r>
        <w:rPr>
          <w:rFonts w:eastAsia="標楷體" w:hint="eastAsia"/>
        </w:rPr>
        <w:t>December</w:t>
      </w:r>
      <w:r w:rsidRPr="00472929">
        <w:rPr>
          <w:rFonts w:eastAsia="標楷體"/>
        </w:rPr>
        <w:t xml:space="preserve"> 1</w:t>
      </w:r>
      <w:r>
        <w:rPr>
          <w:rFonts w:eastAsia="標楷體" w:hint="eastAsia"/>
        </w:rPr>
        <w:t>6</w:t>
      </w:r>
      <w:r w:rsidRPr="00472929">
        <w:rPr>
          <w:rFonts w:eastAsia="標楷體"/>
        </w:rPr>
        <w:t>, 201</w:t>
      </w:r>
      <w:r w:rsidRPr="00472929">
        <w:rPr>
          <w:rFonts w:eastAsia="標楷體" w:hint="eastAsia"/>
        </w:rPr>
        <w:t>9</w:t>
      </w:r>
      <w:r w:rsidRPr="00472929">
        <w:rPr>
          <w:rFonts w:eastAsia="標楷體"/>
        </w:rPr>
        <w:t>. Forecast for Taiwan'</w:t>
      </w:r>
      <w:r w:rsidRPr="00472929">
        <w:rPr>
          <w:rFonts w:eastAsia="標楷體" w:hint="eastAsia"/>
        </w:rPr>
        <w:t>s CPI annual growth rate is the CBC</w:t>
      </w:r>
      <w:r w:rsidRPr="00472929">
        <w:rPr>
          <w:rFonts w:eastAsia="標楷體"/>
        </w:rPr>
        <w:t>'</w:t>
      </w:r>
      <w:r w:rsidRPr="00472929">
        <w:rPr>
          <w:rFonts w:eastAsia="標楷體" w:hint="eastAsia"/>
        </w:rPr>
        <w:t>s projection.</w:t>
      </w:r>
    </w:p>
    <w:p w:rsidR="009548A6" w:rsidRPr="00564AAB" w:rsidRDefault="009548A6" w:rsidP="009548A6">
      <w:pPr>
        <w:snapToGrid w:val="0"/>
        <w:spacing w:afterLines="20" w:after="48"/>
        <w:ind w:left="200" w:hangingChars="100" w:hanging="200"/>
        <w:rPr>
          <w:rFonts w:eastAsia="標楷體"/>
        </w:rPr>
      </w:pPr>
    </w:p>
    <w:p w:rsidR="009548A6" w:rsidRPr="004F7577" w:rsidRDefault="009548A6" w:rsidP="009548A6">
      <w:pPr>
        <w:snapToGrid w:val="0"/>
        <w:spacing w:beforeLines="50" w:before="120" w:afterLines="20" w:after="48"/>
        <w:ind w:left="200" w:hangingChars="100" w:hanging="200"/>
        <w:rPr>
          <w:rFonts w:eastAsia="標楷體"/>
        </w:rPr>
      </w:pPr>
    </w:p>
    <w:sectPr w:rsidR="009548A6" w:rsidRPr="004F7577" w:rsidSect="005B7036">
      <w:footerReference w:type="default" r:id="rId17"/>
      <w:footerReference w:type="first" r:id="rId18"/>
      <w:pgSz w:w="11907" w:h="16840" w:code="9"/>
      <w:pgMar w:top="1304" w:right="1418" w:bottom="1418" w:left="1418" w:header="0" w:footer="454" w:gutter="0"/>
      <w:paperSrc w:first="15" w:other="15"/>
      <w:cols w:space="425"/>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F27" w:rsidRDefault="00735F27">
      <w:r>
        <w:separator/>
      </w:r>
    </w:p>
  </w:endnote>
  <w:endnote w:type="continuationSeparator" w:id="0">
    <w:p w:rsidR="00735F27" w:rsidRDefault="0073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華康楷書體W5">
    <w:altName w:val="新細明體"/>
    <w:charset w:val="88"/>
    <w:family w:val="script"/>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文鼎中楷">
    <w:altName w:val="細明體"/>
    <w:panose1 w:val="00000000000000000000"/>
    <w:charset w:val="88"/>
    <w:family w:val="modern"/>
    <w:notTrueType/>
    <w:pitch w:val="fixed"/>
    <w:sig w:usb0="00000001" w:usb1="08080000" w:usb2="00000010" w:usb3="00000000" w:csb0="00100000" w:csb1="00000000"/>
  </w:font>
  <w:font w:name="華康中楷體">
    <w:altName w:val="細明體"/>
    <w:panose1 w:val="00000000000000000000"/>
    <w:charset w:val="88"/>
    <w:family w:val="modern"/>
    <w:notTrueType/>
    <w:pitch w:val="fixed"/>
    <w:sig w:usb0="00000001" w:usb1="08080000" w:usb2="00000010" w:usb3="00000000" w:csb0="00100000" w:csb1="00000000"/>
  </w:font>
  <w:font w:name="華康仿宋體W6">
    <w:charset w:val="88"/>
    <w:family w:val="modern"/>
    <w:pitch w:val="fixed"/>
    <w:sig w:usb0="80000001" w:usb1="28091800" w:usb2="00000016" w:usb3="00000000" w:csb0="00100000" w:csb1="00000000"/>
  </w:font>
  <w:font w:name="華康隸書體W5">
    <w:altName w:val="Arial Unicode MS"/>
    <w:charset w:val="88"/>
    <w:family w:val="script"/>
    <w:pitch w:val="fixed"/>
    <w:sig w:usb0="80000001" w:usb1="28091800" w:usb2="00000016" w:usb3="00000000" w:csb0="00100000" w:csb1="00000000"/>
  </w:font>
  <w:font w:name="sө">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75" w:rsidRDefault="00E37175">
    <w:pPr>
      <w:pStyle w:val="a6"/>
      <w:framePr w:wrap="auto" w:vAnchor="text" w:hAnchor="margin" w:xAlign="right" w:y="1"/>
      <w:textDirection w:val="lrTbV"/>
      <w:rPr>
        <w:rStyle w:val="aa"/>
      </w:rPr>
    </w:pPr>
    <w:r>
      <w:rPr>
        <w:rStyle w:val="aa"/>
      </w:rPr>
      <w:fldChar w:fldCharType="begin"/>
    </w:r>
    <w:r>
      <w:rPr>
        <w:rStyle w:val="aa"/>
      </w:rPr>
      <w:instrText xml:space="preserve">PAGE  </w:instrText>
    </w:r>
    <w:r>
      <w:rPr>
        <w:rStyle w:val="aa"/>
      </w:rPr>
      <w:fldChar w:fldCharType="separate"/>
    </w:r>
    <w:r>
      <w:rPr>
        <w:rStyle w:val="aa"/>
        <w:noProof/>
      </w:rPr>
      <w:t>8</w:t>
    </w:r>
    <w:r>
      <w:rPr>
        <w:rStyle w:val="aa"/>
      </w:rPr>
      <w:fldChar w:fldCharType="end"/>
    </w:r>
  </w:p>
  <w:p w:rsidR="00E37175" w:rsidRDefault="00E37175">
    <w:pPr>
      <w:pStyle w:val="a6"/>
      <w:ind w:right="360"/>
      <w:textDirection w:val="lrTbV"/>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36" w:rsidRDefault="005B703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75" w:rsidRDefault="00E37175">
    <w:pPr>
      <w:pStyle w:val="a6"/>
      <w:jc w:val="center"/>
    </w:pPr>
  </w:p>
  <w:p w:rsidR="00E37175" w:rsidRDefault="00E37175">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324940"/>
      <w:docPartObj>
        <w:docPartGallery w:val="Page Numbers (Bottom of Page)"/>
        <w:docPartUnique/>
      </w:docPartObj>
    </w:sdtPr>
    <w:sdtEndPr/>
    <w:sdtContent>
      <w:p w:rsidR="009548A6" w:rsidRDefault="009548A6">
        <w:pPr>
          <w:pStyle w:val="a6"/>
          <w:jc w:val="center"/>
        </w:pPr>
        <w:r>
          <w:fldChar w:fldCharType="begin"/>
        </w:r>
        <w:r>
          <w:instrText>PAGE   \* MERGEFORMAT</w:instrText>
        </w:r>
        <w:r>
          <w:fldChar w:fldCharType="separate"/>
        </w:r>
        <w:r w:rsidR="0068641F" w:rsidRPr="0068641F">
          <w:rPr>
            <w:noProof/>
            <w:lang w:val="zh-TW"/>
          </w:rPr>
          <w:t>6</w:t>
        </w:r>
        <w:r>
          <w:fldChar w:fldCharType="end"/>
        </w:r>
      </w:p>
    </w:sdtContent>
  </w:sdt>
  <w:p w:rsidR="009548A6" w:rsidRDefault="009548A6">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828376"/>
      <w:docPartObj>
        <w:docPartGallery w:val="Page Numbers (Bottom of Page)"/>
        <w:docPartUnique/>
      </w:docPartObj>
    </w:sdtPr>
    <w:sdtEndPr/>
    <w:sdtContent>
      <w:p w:rsidR="009548A6" w:rsidRDefault="009548A6">
        <w:pPr>
          <w:pStyle w:val="a6"/>
          <w:jc w:val="center"/>
        </w:pPr>
        <w:r>
          <w:fldChar w:fldCharType="begin"/>
        </w:r>
        <w:r>
          <w:instrText>PAGE   \* MERGEFORMAT</w:instrText>
        </w:r>
        <w:r>
          <w:fldChar w:fldCharType="separate"/>
        </w:r>
        <w:r w:rsidR="0068641F" w:rsidRPr="0068641F">
          <w:rPr>
            <w:noProof/>
            <w:lang w:val="zh-TW"/>
          </w:rPr>
          <w:t>21</w:t>
        </w:r>
        <w:r>
          <w:fldChar w:fldCharType="end"/>
        </w:r>
      </w:p>
    </w:sdtContent>
  </w:sdt>
  <w:p w:rsidR="009548A6" w:rsidRDefault="009548A6">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466649"/>
      <w:docPartObj>
        <w:docPartGallery w:val="Page Numbers (Bottom of Page)"/>
        <w:docPartUnique/>
      </w:docPartObj>
    </w:sdtPr>
    <w:sdtEndPr/>
    <w:sdtContent>
      <w:p w:rsidR="005B7036" w:rsidRDefault="005B7036">
        <w:pPr>
          <w:pStyle w:val="a6"/>
          <w:jc w:val="center"/>
        </w:pPr>
        <w:r>
          <w:fldChar w:fldCharType="begin"/>
        </w:r>
        <w:r>
          <w:instrText>PAGE   \* MERGEFORMAT</w:instrText>
        </w:r>
        <w:r>
          <w:fldChar w:fldCharType="separate"/>
        </w:r>
        <w:r w:rsidR="0068641F" w:rsidRPr="0068641F">
          <w:rPr>
            <w:noProof/>
            <w:lang w:val="zh-TW"/>
          </w:rPr>
          <w:t>22</w:t>
        </w:r>
        <w:r>
          <w:fldChar w:fldCharType="end"/>
        </w:r>
      </w:p>
    </w:sdtContent>
  </w:sdt>
  <w:p w:rsidR="005B7036" w:rsidRDefault="005B7036">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401886"/>
      <w:docPartObj>
        <w:docPartGallery w:val="Page Numbers (Bottom of Page)"/>
        <w:docPartUnique/>
      </w:docPartObj>
    </w:sdtPr>
    <w:sdtEndPr/>
    <w:sdtContent>
      <w:p w:rsidR="00E37175" w:rsidRDefault="00E37175">
        <w:pPr>
          <w:pStyle w:val="a6"/>
          <w:jc w:val="center"/>
        </w:pPr>
        <w:r>
          <w:fldChar w:fldCharType="begin"/>
        </w:r>
        <w:r>
          <w:instrText>PAGE   \* MERGEFORMAT</w:instrText>
        </w:r>
        <w:r>
          <w:fldChar w:fldCharType="separate"/>
        </w:r>
        <w:r w:rsidRPr="00590406">
          <w:rPr>
            <w:noProof/>
            <w:lang w:val="zh-TW"/>
          </w:rPr>
          <w:t>1</w:t>
        </w:r>
        <w:r>
          <w:fldChar w:fldCharType="end"/>
        </w:r>
      </w:p>
    </w:sdtContent>
  </w:sdt>
  <w:p w:rsidR="00E37175" w:rsidRDefault="00E3717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F27" w:rsidRDefault="00735F27">
      <w:r>
        <w:separator/>
      </w:r>
    </w:p>
  </w:footnote>
  <w:footnote w:type="continuationSeparator" w:id="0">
    <w:p w:rsidR="00735F27" w:rsidRDefault="00735F27">
      <w:r>
        <w:continuationSeparator/>
      </w:r>
    </w:p>
  </w:footnote>
  <w:footnote w:id="1">
    <w:p w:rsidR="00E37175" w:rsidRDefault="00E37175" w:rsidP="00363599">
      <w:pPr>
        <w:pStyle w:val="afc"/>
      </w:pPr>
      <w:r w:rsidRPr="002D6A8E">
        <w:rPr>
          <w:rStyle w:val="afe"/>
          <w:sz w:val="24"/>
        </w:rPr>
        <w:footnoteRef/>
      </w:r>
      <w:r w:rsidRPr="002D6A8E">
        <w:rPr>
          <w:sz w:val="24"/>
        </w:rPr>
        <w:t xml:space="preserve"> This English translation is provided for information purposes only</w:t>
      </w:r>
      <w:r>
        <w:rPr>
          <w:rFonts w:hint="eastAsia"/>
          <w:sz w:val="24"/>
        </w:rPr>
        <w:t>;</w:t>
      </w:r>
      <w:r w:rsidRPr="002D6A8E">
        <w:rPr>
          <w:sz w:val="24"/>
        </w:rPr>
        <w:t xml:space="preserve"> the Chinese version shall prevail in case of discrepancies.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36" w:rsidRDefault="005B7036">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75" w:rsidRDefault="00E37175" w:rsidP="00527E73">
    <w:pPr>
      <w:jc w:val="right"/>
      <w:rPr>
        <w:rFonts w:eastAsia="標楷體"/>
      </w:rPr>
    </w:pPr>
  </w:p>
  <w:p w:rsidR="00E37175" w:rsidRPr="00A76EF5" w:rsidRDefault="00E37175" w:rsidP="00527E73">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36" w:rsidRDefault="005B703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48015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08223DF"/>
    <w:multiLevelType w:val="hybridMultilevel"/>
    <w:tmpl w:val="6F50CF10"/>
    <w:lvl w:ilvl="0" w:tplc="0F04625E">
      <w:start w:val="1"/>
      <w:numFmt w:val="decimal"/>
      <w:lvlText w:val="(%1)"/>
      <w:lvlJc w:val="left"/>
      <w:pPr>
        <w:ind w:left="480" w:hanging="480"/>
      </w:pPr>
      <w:rPr>
        <w:rFonts w:hint="eastAsia"/>
      </w:rPr>
    </w:lvl>
    <w:lvl w:ilvl="1" w:tplc="D5500BB4">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7818B2"/>
    <w:multiLevelType w:val="hybridMultilevel"/>
    <w:tmpl w:val="25687BA0"/>
    <w:lvl w:ilvl="0" w:tplc="04090011">
      <w:start w:val="1"/>
      <w:numFmt w:val="upperLetter"/>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305A87"/>
    <w:multiLevelType w:val="hybridMultilevel"/>
    <w:tmpl w:val="2EB67CD2"/>
    <w:lvl w:ilvl="0" w:tplc="98FA2CF2">
      <w:start w:val="1"/>
      <w:numFmt w:val="upperRoman"/>
      <w:lvlText w:val="%1."/>
      <w:lvlJc w:val="left"/>
      <w:pPr>
        <w:tabs>
          <w:tab w:val="num" w:pos="480"/>
        </w:tabs>
        <w:ind w:left="480" w:hanging="480"/>
      </w:pPr>
      <w:rPr>
        <w:rFonts w:cs="Times New Roman" w:hint="eastAsia"/>
      </w:rPr>
    </w:lvl>
    <w:lvl w:ilvl="1" w:tplc="8AE84C88">
      <w:start w:val="1"/>
      <w:numFmt w:val="decimal"/>
      <w:lvlText w:val="%2."/>
      <w:lvlJc w:val="left"/>
      <w:pPr>
        <w:tabs>
          <w:tab w:val="num" w:pos="840"/>
        </w:tabs>
        <w:ind w:left="840" w:hanging="360"/>
      </w:pPr>
      <w:rPr>
        <w:rFonts w:cs="Times New Roman" w:hint="eastAsia"/>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
    <w:nsid w:val="0BAB4159"/>
    <w:multiLevelType w:val="hybridMultilevel"/>
    <w:tmpl w:val="6DDE6AD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C5006BA"/>
    <w:multiLevelType w:val="hybridMultilevel"/>
    <w:tmpl w:val="028026DE"/>
    <w:lvl w:ilvl="0" w:tplc="F3EE8AC4">
      <w:start w:val="1"/>
      <w:numFmt w:val="taiwaneseCountingThousand"/>
      <w:pStyle w:val="2"/>
      <w:suff w:val="nothing"/>
      <w:lvlText w:val="(%1)"/>
      <w:lvlJc w:val="left"/>
      <w:pPr>
        <w:ind w:left="1437" w:hanging="1080"/>
      </w:pPr>
      <w:rPr>
        <w:rFonts w:ascii="標楷體" w:eastAsia="標楷體" w:hAnsi="標楷體" w:hint="eastAsia"/>
        <w:color w:val="auto"/>
        <w:u w:val="none"/>
      </w:r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6">
    <w:nsid w:val="2664073D"/>
    <w:multiLevelType w:val="hybridMultilevel"/>
    <w:tmpl w:val="25687BA0"/>
    <w:lvl w:ilvl="0" w:tplc="04090011">
      <w:start w:val="1"/>
      <w:numFmt w:val="upperLetter"/>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CA2740B"/>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DE276D2"/>
    <w:multiLevelType w:val="hybridMultilevel"/>
    <w:tmpl w:val="26B42DFE"/>
    <w:lvl w:ilvl="0" w:tplc="44AE17FC">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424502"/>
    <w:multiLevelType w:val="hybridMultilevel"/>
    <w:tmpl w:val="1E46E38A"/>
    <w:lvl w:ilvl="0" w:tplc="A342A874">
      <w:start w:val="1"/>
      <w:numFmt w:val="decimalFullWidth"/>
      <w:pStyle w:val="1"/>
      <w:suff w:val="nothing"/>
      <w:lvlText w:val="%1、"/>
      <w:lvlJc w:val="left"/>
      <w:pPr>
        <w:ind w:left="1935" w:hanging="480"/>
      </w:pPr>
      <w:rPr>
        <w:rFonts w:hint="eastAsia"/>
        <w:b w:val="0"/>
        <w:lang w:val="en-US"/>
      </w:rPr>
    </w:lvl>
    <w:lvl w:ilvl="1" w:tplc="04090019" w:tentative="1">
      <w:start w:val="1"/>
      <w:numFmt w:val="ideographTraditional"/>
      <w:lvlText w:val="%2、"/>
      <w:lvlJc w:val="left"/>
      <w:pPr>
        <w:ind w:left="2415" w:hanging="480"/>
      </w:pPr>
    </w:lvl>
    <w:lvl w:ilvl="2" w:tplc="0409001B" w:tentative="1">
      <w:start w:val="1"/>
      <w:numFmt w:val="lowerRoman"/>
      <w:lvlText w:val="%3."/>
      <w:lvlJc w:val="right"/>
      <w:pPr>
        <w:ind w:left="2895" w:hanging="480"/>
      </w:pPr>
    </w:lvl>
    <w:lvl w:ilvl="3" w:tplc="0409000F" w:tentative="1">
      <w:start w:val="1"/>
      <w:numFmt w:val="decimal"/>
      <w:lvlText w:val="%4."/>
      <w:lvlJc w:val="left"/>
      <w:pPr>
        <w:ind w:left="3375" w:hanging="480"/>
      </w:pPr>
    </w:lvl>
    <w:lvl w:ilvl="4" w:tplc="04090019" w:tentative="1">
      <w:start w:val="1"/>
      <w:numFmt w:val="ideographTraditional"/>
      <w:lvlText w:val="%5、"/>
      <w:lvlJc w:val="left"/>
      <w:pPr>
        <w:ind w:left="3855" w:hanging="480"/>
      </w:pPr>
    </w:lvl>
    <w:lvl w:ilvl="5" w:tplc="0409001B" w:tentative="1">
      <w:start w:val="1"/>
      <w:numFmt w:val="lowerRoman"/>
      <w:lvlText w:val="%6."/>
      <w:lvlJc w:val="right"/>
      <w:pPr>
        <w:ind w:left="4335" w:hanging="480"/>
      </w:pPr>
    </w:lvl>
    <w:lvl w:ilvl="6" w:tplc="0409000F" w:tentative="1">
      <w:start w:val="1"/>
      <w:numFmt w:val="decimal"/>
      <w:lvlText w:val="%7."/>
      <w:lvlJc w:val="left"/>
      <w:pPr>
        <w:ind w:left="4815" w:hanging="480"/>
      </w:pPr>
    </w:lvl>
    <w:lvl w:ilvl="7" w:tplc="04090019" w:tentative="1">
      <w:start w:val="1"/>
      <w:numFmt w:val="ideographTraditional"/>
      <w:lvlText w:val="%8、"/>
      <w:lvlJc w:val="left"/>
      <w:pPr>
        <w:ind w:left="5295" w:hanging="480"/>
      </w:pPr>
    </w:lvl>
    <w:lvl w:ilvl="8" w:tplc="0409001B" w:tentative="1">
      <w:start w:val="1"/>
      <w:numFmt w:val="lowerRoman"/>
      <w:lvlText w:val="%9."/>
      <w:lvlJc w:val="right"/>
      <w:pPr>
        <w:ind w:left="5775" w:hanging="480"/>
      </w:pPr>
    </w:lvl>
  </w:abstractNum>
  <w:abstractNum w:abstractNumId="10">
    <w:nsid w:val="38846A57"/>
    <w:multiLevelType w:val="hybridMultilevel"/>
    <w:tmpl w:val="3096582A"/>
    <w:lvl w:ilvl="0" w:tplc="8198089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D6920CE"/>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1034545"/>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97001E4"/>
    <w:multiLevelType w:val="hybridMultilevel"/>
    <w:tmpl w:val="5CD6033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BFE0CE6"/>
    <w:multiLevelType w:val="hybridMultilevel"/>
    <w:tmpl w:val="55146648"/>
    <w:lvl w:ilvl="0" w:tplc="33CC672A">
      <w:start w:val="1"/>
      <w:numFmt w:val="taiwaneseCountingThousand"/>
      <w:pStyle w:val="10"/>
      <w:suff w:val="nothing"/>
      <w:lvlText w:val="%1、"/>
      <w:lvlJc w:val="left"/>
      <w:pPr>
        <w:ind w:left="1077" w:hanging="72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5">
    <w:nsid w:val="4C0B7C94"/>
    <w:multiLevelType w:val="hybridMultilevel"/>
    <w:tmpl w:val="291A2BE8"/>
    <w:lvl w:ilvl="0" w:tplc="FFFFFFFF">
      <w:start w:val="1"/>
      <w:numFmt w:val="taiwaneseCountingThousand"/>
      <w:lvlText w:val="%1、"/>
      <w:lvlJc w:val="left"/>
      <w:pPr>
        <w:tabs>
          <w:tab w:val="num" w:pos="480"/>
        </w:tabs>
        <w:ind w:left="480" w:hanging="480"/>
      </w:pPr>
    </w:lvl>
    <w:lvl w:ilvl="1" w:tplc="FFFFFFFF">
      <w:start w:val="1"/>
      <w:numFmt w:val="taiwaneseCountingThousand"/>
      <w:pStyle w:val="20"/>
      <w:lvlText w:val="（%2）"/>
      <w:lvlJc w:val="left"/>
      <w:pPr>
        <w:tabs>
          <w:tab w:val="num" w:pos="1335"/>
        </w:tabs>
        <w:ind w:left="1335" w:hanging="855"/>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6">
    <w:nsid w:val="52B950A1"/>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3966627"/>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50E35ED"/>
    <w:multiLevelType w:val="hybridMultilevel"/>
    <w:tmpl w:val="EE106E3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3">
      <w:start w:val="1"/>
      <w:numFmt w:val="upperRoman"/>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D913DD6"/>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E7150FD"/>
    <w:multiLevelType w:val="hybridMultilevel"/>
    <w:tmpl w:val="87009B4E"/>
    <w:lvl w:ilvl="0" w:tplc="0F04625E">
      <w:start w:val="1"/>
      <w:numFmt w:val="decimal"/>
      <w:lvlText w:val="(%1)"/>
      <w:lvlJc w:val="left"/>
      <w:pPr>
        <w:ind w:left="480" w:hanging="480"/>
      </w:pPr>
      <w:rPr>
        <w:rFonts w:hint="eastAsia"/>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12A5108"/>
    <w:multiLevelType w:val="hybridMultilevel"/>
    <w:tmpl w:val="C876D018"/>
    <w:lvl w:ilvl="0" w:tplc="135872E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06E0043"/>
    <w:multiLevelType w:val="hybridMultilevel"/>
    <w:tmpl w:val="F894E01C"/>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5782ADBC">
      <w:start w:val="1"/>
      <w:numFmt w:val="upperRoman"/>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5C27277"/>
    <w:multiLevelType w:val="hybridMultilevel"/>
    <w:tmpl w:val="26B42DFE"/>
    <w:lvl w:ilvl="0" w:tplc="44AE17FC">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81A3E47"/>
    <w:multiLevelType w:val="hybridMultilevel"/>
    <w:tmpl w:val="64663490"/>
    <w:lvl w:ilvl="0" w:tplc="33E8C0C6">
      <w:start w:val="1"/>
      <w:numFmt w:val="taiwaneseCountingThousand"/>
      <w:pStyle w:val="a0"/>
      <w:lvlText w:val="%1、"/>
      <w:lvlJc w:val="left"/>
      <w:pPr>
        <w:ind w:left="481" w:hanging="480"/>
      </w:pPr>
      <w:rPr>
        <w:rFonts w:hint="eastAsia"/>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25">
    <w:nsid w:val="7C5D6254"/>
    <w:multiLevelType w:val="hybridMultilevel"/>
    <w:tmpl w:val="51A0DC26"/>
    <w:lvl w:ilvl="0" w:tplc="0409000F">
      <w:start w:val="1"/>
      <w:numFmt w:val="decimal"/>
      <w:lvlText w:val="%1."/>
      <w:lvlJc w:val="left"/>
      <w:pPr>
        <w:ind w:left="720" w:hanging="720"/>
      </w:pPr>
      <w:rPr>
        <w:rFonts w:hint="default"/>
      </w:rPr>
    </w:lvl>
    <w:lvl w:ilvl="1" w:tplc="87C63836">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22"/>
  </w:num>
  <w:num w:numId="3">
    <w:abstractNumId w:val="14"/>
  </w:num>
  <w:num w:numId="4">
    <w:abstractNumId w:val="5"/>
  </w:num>
  <w:num w:numId="5">
    <w:abstractNumId w:val="9"/>
  </w:num>
  <w:num w:numId="6">
    <w:abstractNumId w:val="24"/>
  </w:num>
  <w:num w:numId="7">
    <w:abstractNumId w:val="3"/>
  </w:num>
  <w:num w:numId="8">
    <w:abstractNumId w:val="23"/>
  </w:num>
  <w:num w:numId="9">
    <w:abstractNumId w:val="19"/>
  </w:num>
  <w:num w:numId="10">
    <w:abstractNumId w:val="17"/>
  </w:num>
  <w:num w:numId="11">
    <w:abstractNumId w:val="10"/>
  </w:num>
  <w:num w:numId="12">
    <w:abstractNumId w:val="25"/>
  </w:num>
  <w:num w:numId="13">
    <w:abstractNumId w:val="1"/>
  </w:num>
  <w:num w:numId="14">
    <w:abstractNumId w:val="16"/>
  </w:num>
  <w:num w:numId="15">
    <w:abstractNumId w:val="12"/>
  </w:num>
  <w:num w:numId="16">
    <w:abstractNumId w:val="7"/>
  </w:num>
  <w:num w:numId="17">
    <w:abstractNumId w:val="8"/>
  </w:num>
  <w:num w:numId="18">
    <w:abstractNumId w:val="0"/>
  </w:num>
  <w:num w:numId="19">
    <w:abstractNumId w:val="2"/>
  </w:num>
  <w:num w:numId="20">
    <w:abstractNumId w:val="6"/>
  </w:num>
  <w:num w:numId="21">
    <w:abstractNumId w:val="20"/>
  </w:num>
  <w:num w:numId="22">
    <w:abstractNumId w:val="11"/>
  </w:num>
  <w:num w:numId="23">
    <w:abstractNumId w:val="13"/>
  </w:num>
  <w:num w:numId="24">
    <w:abstractNumId w:val="21"/>
  </w:num>
  <w:num w:numId="25">
    <w:abstractNumId w:val="4"/>
  </w:num>
  <w:num w:numId="26">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360"/>
  <w:doNotHyphenateCaps/>
  <w:drawingGridHorizontalSpacing w:val="91"/>
  <w:drawingGridVerticalSpacing w:val="186"/>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74.26 pt,3.4 pt"/>
    <w:docVar w:name="AutoMarginAdjustment3" w:val="68.04 pt,-2.82 pt"/>
    <w:docVar w:name="CharSpaceMode" w:val="0"/>
    <w:docVar w:name="HeaderDateTimeMode" w:val="0"/>
    <w:docVar w:name="HeaderDateTimeOpt" w:val="0"/>
    <w:docVar w:name="HeaderDocInfoMode" w:val="0"/>
    <w:docVar w:name="HeaderDocInfoOpt" w:val="0"/>
    <w:docVar w:name="HeaderPageNumberMode" w:val="0"/>
    <w:docVar w:name="OverlayMode" w:val="0"/>
    <w:docVar w:name="PageNUp" w:val="1"/>
  </w:docVars>
  <w:rsids>
    <w:rsidRoot w:val="00357D03"/>
    <w:rsid w:val="000000CD"/>
    <w:rsid w:val="00000539"/>
    <w:rsid w:val="00000893"/>
    <w:rsid w:val="00000C8B"/>
    <w:rsid w:val="000011A0"/>
    <w:rsid w:val="00001514"/>
    <w:rsid w:val="000015F2"/>
    <w:rsid w:val="00001A47"/>
    <w:rsid w:val="0000343F"/>
    <w:rsid w:val="00003746"/>
    <w:rsid w:val="0000408E"/>
    <w:rsid w:val="00004D84"/>
    <w:rsid w:val="00004ECA"/>
    <w:rsid w:val="000060B5"/>
    <w:rsid w:val="00007267"/>
    <w:rsid w:val="00007492"/>
    <w:rsid w:val="00007912"/>
    <w:rsid w:val="0001263F"/>
    <w:rsid w:val="00012AE8"/>
    <w:rsid w:val="00012CF6"/>
    <w:rsid w:val="00013734"/>
    <w:rsid w:val="00014832"/>
    <w:rsid w:val="00015948"/>
    <w:rsid w:val="0001611E"/>
    <w:rsid w:val="000172D1"/>
    <w:rsid w:val="00017CFB"/>
    <w:rsid w:val="000208F9"/>
    <w:rsid w:val="00020E28"/>
    <w:rsid w:val="0002139D"/>
    <w:rsid w:val="00021C4D"/>
    <w:rsid w:val="00022D53"/>
    <w:rsid w:val="000234E1"/>
    <w:rsid w:val="0002361C"/>
    <w:rsid w:val="00023910"/>
    <w:rsid w:val="00023B97"/>
    <w:rsid w:val="00024563"/>
    <w:rsid w:val="00024918"/>
    <w:rsid w:val="00024E21"/>
    <w:rsid w:val="00025604"/>
    <w:rsid w:val="00025945"/>
    <w:rsid w:val="000261D7"/>
    <w:rsid w:val="00026B66"/>
    <w:rsid w:val="000273DC"/>
    <w:rsid w:val="000277F7"/>
    <w:rsid w:val="00030F1C"/>
    <w:rsid w:val="00030F57"/>
    <w:rsid w:val="00030FC7"/>
    <w:rsid w:val="000310B5"/>
    <w:rsid w:val="000313D2"/>
    <w:rsid w:val="0003181C"/>
    <w:rsid w:val="00031952"/>
    <w:rsid w:val="00031EE6"/>
    <w:rsid w:val="0003350C"/>
    <w:rsid w:val="00033A27"/>
    <w:rsid w:val="000347CA"/>
    <w:rsid w:val="00034A01"/>
    <w:rsid w:val="000352E7"/>
    <w:rsid w:val="000354D4"/>
    <w:rsid w:val="00035AF2"/>
    <w:rsid w:val="00035C93"/>
    <w:rsid w:val="000364D7"/>
    <w:rsid w:val="00036C01"/>
    <w:rsid w:val="00037CF9"/>
    <w:rsid w:val="00037E4C"/>
    <w:rsid w:val="000409C7"/>
    <w:rsid w:val="00040A99"/>
    <w:rsid w:val="00040D8D"/>
    <w:rsid w:val="00041971"/>
    <w:rsid w:val="00041B34"/>
    <w:rsid w:val="00041F4E"/>
    <w:rsid w:val="0004218D"/>
    <w:rsid w:val="00042AB6"/>
    <w:rsid w:val="00042C02"/>
    <w:rsid w:val="00042EF3"/>
    <w:rsid w:val="00043817"/>
    <w:rsid w:val="00043DEB"/>
    <w:rsid w:val="00044455"/>
    <w:rsid w:val="000447BE"/>
    <w:rsid w:val="0004487E"/>
    <w:rsid w:val="00045291"/>
    <w:rsid w:val="00045DC9"/>
    <w:rsid w:val="00045E43"/>
    <w:rsid w:val="000465FC"/>
    <w:rsid w:val="00046AB9"/>
    <w:rsid w:val="00047470"/>
    <w:rsid w:val="0005062A"/>
    <w:rsid w:val="000506F7"/>
    <w:rsid w:val="00050E8E"/>
    <w:rsid w:val="00051573"/>
    <w:rsid w:val="00051C4F"/>
    <w:rsid w:val="00052499"/>
    <w:rsid w:val="00052542"/>
    <w:rsid w:val="000527ED"/>
    <w:rsid w:val="00052D7F"/>
    <w:rsid w:val="00053CB6"/>
    <w:rsid w:val="0005481E"/>
    <w:rsid w:val="00054C75"/>
    <w:rsid w:val="0005572F"/>
    <w:rsid w:val="00055735"/>
    <w:rsid w:val="00055A5B"/>
    <w:rsid w:val="00055AA1"/>
    <w:rsid w:val="00055BEF"/>
    <w:rsid w:val="00055BFA"/>
    <w:rsid w:val="000571DE"/>
    <w:rsid w:val="00057456"/>
    <w:rsid w:val="00057824"/>
    <w:rsid w:val="00057FAE"/>
    <w:rsid w:val="00060393"/>
    <w:rsid w:val="0006043D"/>
    <w:rsid w:val="00060E8F"/>
    <w:rsid w:val="00061205"/>
    <w:rsid w:val="000615FB"/>
    <w:rsid w:val="00062A2E"/>
    <w:rsid w:val="00062DAF"/>
    <w:rsid w:val="00063420"/>
    <w:rsid w:val="00063487"/>
    <w:rsid w:val="00064A6F"/>
    <w:rsid w:val="00065BAE"/>
    <w:rsid w:val="00065C34"/>
    <w:rsid w:val="00065E78"/>
    <w:rsid w:val="0006645E"/>
    <w:rsid w:val="000665A2"/>
    <w:rsid w:val="00066EDA"/>
    <w:rsid w:val="00067450"/>
    <w:rsid w:val="000677F4"/>
    <w:rsid w:val="0006788A"/>
    <w:rsid w:val="00067E09"/>
    <w:rsid w:val="000714E9"/>
    <w:rsid w:val="0007178B"/>
    <w:rsid w:val="00071AEF"/>
    <w:rsid w:val="000725FA"/>
    <w:rsid w:val="0007357C"/>
    <w:rsid w:val="00073992"/>
    <w:rsid w:val="00073BC3"/>
    <w:rsid w:val="00073C35"/>
    <w:rsid w:val="000740C9"/>
    <w:rsid w:val="00074362"/>
    <w:rsid w:val="00074950"/>
    <w:rsid w:val="00074D40"/>
    <w:rsid w:val="0007575D"/>
    <w:rsid w:val="00076BA5"/>
    <w:rsid w:val="00077111"/>
    <w:rsid w:val="00077397"/>
    <w:rsid w:val="00077E23"/>
    <w:rsid w:val="0008017B"/>
    <w:rsid w:val="00080E7D"/>
    <w:rsid w:val="0008147C"/>
    <w:rsid w:val="0008208A"/>
    <w:rsid w:val="0008211B"/>
    <w:rsid w:val="00085353"/>
    <w:rsid w:val="000857AB"/>
    <w:rsid w:val="00086D52"/>
    <w:rsid w:val="000879C7"/>
    <w:rsid w:val="00087E2C"/>
    <w:rsid w:val="00090AFA"/>
    <w:rsid w:val="00090FBD"/>
    <w:rsid w:val="00091367"/>
    <w:rsid w:val="000919E1"/>
    <w:rsid w:val="00091D81"/>
    <w:rsid w:val="0009218B"/>
    <w:rsid w:val="00092585"/>
    <w:rsid w:val="0009286B"/>
    <w:rsid w:val="00092E6C"/>
    <w:rsid w:val="00092EE8"/>
    <w:rsid w:val="000941DE"/>
    <w:rsid w:val="00094254"/>
    <w:rsid w:val="00094699"/>
    <w:rsid w:val="0009482E"/>
    <w:rsid w:val="00094953"/>
    <w:rsid w:val="00094D1C"/>
    <w:rsid w:val="000957B8"/>
    <w:rsid w:val="00096651"/>
    <w:rsid w:val="00096ADB"/>
    <w:rsid w:val="00097ECB"/>
    <w:rsid w:val="000A244B"/>
    <w:rsid w:val="000A3D31"/>
    <w:rsid w:val="000A4246"/>
    <w:rsid w:val="000A434A"/>
    <w:rsid w:val="000A48C6"/>
    <w:rsid w:val="000A5575"/>
    <w:rsid w:val="000A5BA4"/>
    <w:rsid w:val="000A5E81"/>
    <w:rsid w:val="000A6B23"/>
    <w:rsid w:val="000A7644"/>
    <w:rsid w:val="000A767D"/>
    <w:rsid w:val="000B0AD9"/>
    <w:rsid w:val="000B0F2C"/>
    <w:rsid w:val="000B302B"/>
    <w:rsid w:val="000B3944"/>
    <w:rsid w:val="000B3F80"/>
    <w:rsid w:val="000B4F96"/>
    <w:rsid w:val="000B5270"/>
    <w:rsid w:val="000B556E"/>
    <w:rsid w:val="000B5C1F"/>
    <w:rsid w:val="000B67BB"/>
    <w:rsid w:val="000B6BEB"/>
    <w:rsid w:val="000B6D6B"/>
    <w:rsid w:val="000B7BA4"/>
    <w:rsid w:val="000B7DCC"/>
    <w:rsid w:val="000C4BEE"/>
    <w:rsid w:val="000C65AF"/>
    <w:rsid w:val="000C66CA"/>
    <w:rsid w:val="000C7645"/>
    <w:rsid w:val="000C7FDE"/>
    <w:rsid w:val="000D0035"/>
    <w:rsid w:val="000D00CC"/>
    <w:rsid w:val="000D09C1"/>
    <w:rsid w:val="000D235C"/>
    <w:rsid w:val="000D2D5F"/>
    <w:rsid w:val="000D38AC"/>
    <w:rsid w:val="000D3D4F"/>
    <w:rsid w:val="000D3D6D"/>
    <w:rsid w:val="000D438A"/>
    <w:rsid w:val="000D4473"/>
    <w:rsid w:val="000D48B4"/>
    <w:rsid w:val="000D5121"/>
    <w:rsid w:val="000D5A82"/>
    <w:rsid w:val="000D6024"/>
    <w:rsid w:val="000D6AA2"/>
    <w:rsid w:val="000D6E10"/>
    <w:rsid w:val="000D7025"/>
    <w:rsid w:val="000D7459"/>
    <w:rsid w:val="000D791E"/>
    <w:rsid w:val="000E031F"/>
    <w:rsid w:val="000E09BC"/>
    <w:rsid w:val="000E0BA5"/>
    <w:rsid w:val="000E0D17"/>
    <w:rsid w:val="000E0E71"/>
    <w:rsid w:val="000E1D3F"/>
    <w:rsid w:val="000E23F1"/>
    <w:rsid w:val="000E2D42"/>
    <w:rsid w:val="000E2E4A"/>
    <w:rsid w:val="000E3124"/>
    <w:rsid w:val="000E3587"/>
    <w:rsid w:val="000E3CFE"/>
    <w:rsid w:val="000E3DCC"/>
    <w:rsid w:val="000E4351"/>
    <w:rsid w:val="000E55EF"/>
    <w:rsid w:val="000E60B7"/>
    <w:rsid w:val="000E658A"/>
    <w:rsid w:val="000E6FDF"/>
    <w:rsid w:val="000E700C"/>
    <w:rsid w:val="000E753C"/>
    <w:rsid w:val="000E7BD6"/>
    <w:rsid w:val="000E7CC3"/>
    <w:rsid w:val="000E7DB4"/>
    <w:rsid w:val="000F01A7"/>
    <w:rsid w:val="000F0290"/>
    <w:rsid w:val="000F063A"/>
    <w:rsid w:val="000F0C2A"/>
    <w:rsid w:val="000F1501"/>
    <w:rsid w:val="000F1CF6"/>
    <w:rsid w:val="000F1F88"/>
    <w:rsid w:val="000F259C"/>
    <w:rsid w:val="000F385F"/>
    <w:rsid w:val="000F4FA1"/>
    <w:rsid w:val="000F598A"/>
    <w:rsid w:val="000F5AD6"/>
    <w:rsid w:val="000F5C7A"/>
    <w:rsid w:val="000F624B"/>
    <w:rsid w:val="000F6FE9"/>
    <w:rsid w:val="000F7B28"/>
    <w:rsid w:val="00100323"/>
    <w:rsid w:val="00100DA1"/>
    <w:rsid w:val="00101BE5"/>
    <w:rsid w:val="00101F97"/>
    <w:rsid w:val="001020BA"/>
    <w:rsid w:val="001022B6"/>
    <w:rsid w:val="001022EF"/>
    <w:rsid w:val="00102B34"/>
    <w:rsid w:val="001030C5"/>
    <w:rsid w:val="001031BF"/>
    <w:rsid w:val="00104994"/>
    <w:rsid w:val="00105328"/>
    <w:rsid w:val="00107214"/>
    <w:rsid w:val="0010768E"/>
    <w:rsid w:val="00110042"/>
    <w:rsid w:val="00111E15"/>
    <w:rsid w:val="00111F6A"/>
    <w:rsid w:val="00112CF9"/>
    <w:rsid w:val="00113380"/>
    <w:rsid w:val="00114C52"/>
    <w:rsid w:val="00115389"/>
    <w:rsid w:val="00115DC5"/>
    <w:rsid w:val="00117A5A"/>
    <w:rsid w:val="00117EC2"/>
    <w:rsid w:val="0012072E"/>
    <w:rsid w:val="00120C73"/>
    <w:rsid w:val="00120F63"/>
    <w:rsid w:val="00121303"/>
    <w:rsid w:val="001213DE"/>
    <w:rsid w:val="00122786"/>
    <w:rsid w:val="001231AB"/>
    <w:rsid w:val="00123C8A"/>
    <w:rsid w:val="001241D3"/>
    <w:rsid w:val="00124DC3"/>
    <w:rsid w:val="001252DD"/>
    <w:rsid w:val="00125319"/>
    <w:rsid w:val="00125CC6"/>
    <w:rsid w:val="00130C94"/>
    <w:rsid w:val="00130CCB"/>
    <w:rsid w:val="00131ACC"/>
    <w:rsid w:val="00131D07"/>
    <w:rsid w:val="00131D75"/>
    <w:rsid w:val="001320BE"/>
    <w:rsid w:val="001326F6"/>
    <w:rsid w:val="00132907"/>
    <w:rsid w:val="00132F22"/>
    <w:rsid w:val="0013358A"/>
    <w:rsid w:val="00133822"/>
    <w:rsid w:val="00133E71"/>
    <w:rsid w:val="001340BB"/>
    <w:rsid w:val="001340F4"/>
    <w:rsid w:val="001342A6"/>
    <w:rsid w:val="001348DC"/>
    <w:rsid w:val="00134E75"/>
    <w:rsid w:val="00136CB9"/>
    <w:rsid w:val="001373B9"/>
    <w:rsid w:val="0013768F"/>
    <w:rsid w:val="001414C1"/>
    <w:rsid w:val="0014153F"/>
    <w:rsid w:val="00141A58"/>
    <w:rsid w:val="00142723"/>
    <w:rsid w:val="00142813"/>
    <w:rsid w:val="00142D07"/>
    <w:rsid w:val="00143869"/>
    <w:rsid w:val="001443CF"/>
    <w:rsid w:val="00144899"/>
    <w:rsid w:val="0014532B"/>
    <w:rsid w:val="00146044"/>
    <w:rsid w:val="00146F87"/>
    <w:rsid w:val="0014756F"/>
    <w:rsid w:val="00147E3F"/>
    <w:rsid w:val="00147E6F"/>
    <w:rsid w:val="00147EEA"/>
    <w:rsid w:val="001515BF"/>
    <w:rsid w:val="00151838"/>
    <w:rsid w:val="00151948"/>
    <w:rsid w:val="00151F8D"/>
    <w:rsid w:val="001525CE"/>
    <w:rsid w:val="0015353E"/>
    <w:rsid w:val="0015391F"/>
    <w:rsid w:val="00153B79"/>
    <w:rsid w:val="00153BD7"/>
    <w:rsid w:val="00153C34"/>
    <w:rsid w:val="001542A7"/>
    <w:rsid w:val="001542D3"/>
    <w:rsid w:val="00154AFB"/>
    <w:rsid w:val="00157142"/>
    <w:rsid w:val="00157C06"/>
    <w:rsid w:val="00161838"/>
    <w:rsid w:val="00162E0A"/>
    <w:rsid w:val="00163118"/>
    <w:rsid w:val="00163395"/>
    <w:rsid w:val="0016414B"/>
    <w:rsid w:val="00164410"/>
    <w:rsid w:val="00164974"/>
    <w:rsid w:val="00164D4A"/>
    <w:rsid w:val="00164F08"/>
    <w:rsid w:val="00165455"/>
    <w:rsid w:val="00166265"/>
    <w:rsid w:val="001667C5"/>
    <w:rsid w:val="001668A5"/>
    <w:rsid w:val="00166B5D"/>
    <w:rsid w:val="00166C8F"/>
    <w:rsid w:val="00166E22"/>
    <w:rsid w:val="00166FF7"/>
    <w:rsid w:val="00167270"/>
    <w:rsid w:val="0016734E"/>
    <w:rsid w:val="001674BA"/>
    <w:rsid w:val="001676FA"/>
    <w:rsid w:val="00170030"/>
    <w:rsid w:val="001703A9"/>
    <w:rsid w:val="001705D2"/>
    <w:rsid w:val="0017066F"/>
    <w:rsid w:val="00170866"/>
    <w:rsid w:val="00170CC4"/>
    <w:rsid w:val="0017166B"/>
    <w:rsid w:val="00171792"/>
    <w:rsid w:val="001721A3"/>
    <w:rsid w:val="00172490"/>
    <w:rsid w:val="0017263E"/>
    <w:rsid w:val="0017312A"/>
    <w:rsid w:val="00173370"/>
    <w:rsid w:val="00173873"/>
    <w:rsid w:val="001739DA"/>
    <w:rsid w:val="00173B4A"/>
    <w:rsid w:val="001741BC"/>
    <w:rsid w:val="0017420B"/>
    <w:rsid w:val="0017439E"/>
    <w:rsid w:val="00174B14"/>
    <w:rsid w:val="00174F35"/>
    <w:rsid w:val="00175547"/>
    <w:rsid w:val="00175D7F"/>
    <w:rsid w:val="00175F1A"/>
    <w:rsid w:val="00175FA7"/>
    <w:rsid w:val="00176AFC"/>
    <w:rsid w:val="00176B8E"/>
    <w:rsid w:val="001770DA"/>
    <w:rsid w:val="001801FF"/>
    <w:rsid w:val="00180541"/>
    <w:rsid w:val="001807F2"/>
    <w:rsid w:val="00180999"/>
    <w:rsid w:val="00180DAC"/>
    <w:rsid w:val="00181D76"/>
    <w:rsid w:val="00181E16"/>
    <w:rsid w:val="00181EC8"/>
    <w:rsid w:val="00182097"/>
    <w:rsid w:val="001828C2"/>
    <w:rsid w:val="00182B4F"/>
    <w:rsid w:val="00183391"/>
    <w:rsid w:val="001837D2"/>
    <w:rsid w:val="0018387C"/>
    <w:rsid w:val="001839B2"/>
    <w:rsid w:val="00183CD3"/>
    <w:rsid w:val="001843BA"/>
    <w:rsid w:val="00184629"/>
    <w:rsid w:val="0018476B"/>
    <w:rsid w:val="00184FA4"/>
    <w:rsid w:val="00185512"/>
    <w:rsid w:val="00186753"/>
    <w:rsid w:val="00187092"/>
    <w:rsid w:val="001874FC"/>
    <w:rsid w:val="001875E7"/>
    <w:rsid w:val="001877A8"/>
    <w:rsid w:val="00191290"/>
    <w:rsid w:val="00192B84"/>
    <w:rsid w:val="00192C54"/>
    <w:rsid w:val="00193A3A"/>
    <w:rsid w:val="00194133"/>
    <w:rsid w:val="0019447E"/>
    <w:rsid w:val="00194A19"/>
    <w:rsid w:val="00194B15"/>
    <w:rsid w:val="00194FA2"/>
    <w:rsid w:val="00195C33"/>
    <w:rsid w:val="00195D8C"/>
    <w:rsid w:val="001962A4"/>
    <w:rsid w:val="001962C6"/>
    <w:rsid w:val="00197320"/>
    <w:rsid w:val="00197C61"/>
    <w:rsid w:val="00197D46"/>
    <w:rsid w:val="00197E56"/>
    <w:rsid w:val="001A0B9F"/>
    <w:rsid w:val="001A1067"/>
    <w:rsid w:val="001A25A4"/>
    <w:rsid w:val="001A3613"/>
    <w:rsid w:val="001A3644"/>
    <w:rsid w:val="001A3986"/>
    <w:rsid w:val="001A518F"/>
    <w:rsid w:val="001A5897"/>
    <w:rsid w:val="001A5E2D"/>
    <w:rsid w:val="001A65DE"/>
    <w:rsid w:val="001A6625"/>
    <w:rsid w:val="001A6889"/>
    <w:rsid w:val="001A7280"/>
    <w:rsid w:val="001B044C"/>
    <w:rsid w:val="001B3000"/>
    <w:rsid w:val="001B3517"/>
    <w:rsid w:val="001B3DCC"/>
    <w:rsid w:val="001B4224"/>
    <w:rsid w:val="001B44D6"/>
    <w:rsid w:val="001B4712"/>
    <w:rsid w:val="001B47C7"/>
    <w:rsid w:val="001B5AF3"/>
    <w:rsid w:val="001B62E4"/>
    <w:rsid w:val="001B66F6"/>
    <w:rsid w:val="001C022A"/>
    <w:rsid w:val="001C04A1"/>
    <w:rsid w:val="001C10E8"/>
    <w:rsid w:val="001C1185"/>
    <w:rsid w:val="001C167F"/>
    <w:rsid w:val="001C17EC"/>
    <w:rsid w:val="001C27C4"/>
    <w:rsid w:val="001C2BDC"/>
    <w:rsid w:val="001C2D88"/>
    <w:rsid w:val="001C3FA6"/>
    <w:rsid w:val="001C46ED"/>
    <w:rsid w:val="001C52CC"/>
    <w:rsid w:val="001C53F8"/>
    <w:rsid w:val="001C5A3A"/>
    <w:rsid w:val="001C5F3D"/>
    <w:rsid w:val="001C61BE"/>
    <w:rsid w:val="001C7A48"/>
    <w:rsid w:val="001C7D4E"/>
    <w:rsid w:val="001D004B"/>
    <w:rsid w:val="001D0265"/>
    <w:rsid w:val="001D055E"/>
    <w:rsid w:val="001D0A4D"/>
    <w:rsid w:val="001D13D7"/>
    <w:rsid w:val="001D1A43"/>
    <w:rsid w:val="001D21A9"/>
    <w:rsid w:val="001D25DA"/>
    <w:rsid w:val="001D3862"/>
    <w:rsid w:val="001D3B96"/>
    <w:rsid w:val="001D5531"/>
    <w:rsid w:val="001D5621"/>
    <w:rsid w:val="001D58AA"/>
    <w:rsid w:val="001D5AF5"/>
    <w:rsid w:val="001D6019"/>
    <w:rsid w:val="001D611E"/>
    <w:rsid w:val="001D6167"/>
    <w:rsid w:val="001D631A"/>
    <w:rsid w:val="001D7AE6"/>
    <w:rsid w:val="001E0258"/>
    <w:rsid w:val="001E156A"/>
    <w:rsid w:val="001E1763"/>
    <w:rsid w:val="001E2139"/>
    <w:rsid w:val="001E2423"/>
    <w:rsid w:val="001E28A0"/>
    <w:rsid w:val="001E418B"/>
    <w:rsid w:val="001E4867"/>
    <w:rsid w:val="001E4D1F"/>
    <w:rsid w:val="001E5463"/>
    <w:rsid w:val="001E5B95"/>
    <w:rsid w:val="001E61C7"/>
    <w:rsid w:val="001E6348"/>
    <w:rsid w:val="001E6D06"/>
    <w:rsid w:val="001E6FA8"/>
    <w:rsid w:val="001E738B"/>
    <w:rsid w:val="001E750E"/>
    <w:rsid w:val="001F0DB3"/>
    <w:rsid w:val="001F1F15"/>
    <w:rsid w:val="001F2208"/>
    <w:rsid w:val="001F42E5"/>
    <w:rsid w:val="001F47FD"/>
    <w:rsid w:val="001F4ADB"/>
    <w:rsid w:val="001F4AEA"/>
    <w:rsid w:val="001F4C4D"/>
    <w:rsid w:val="001F4C56"/>
    <w:rsid w:val="001F5C30"/>
    <w:rsid w:val="001F60DD"/>
    <w:rsid w:val="001F7BDB"/>
    <w:rsid w:val="001F7E58"/>
    <w:rsid w:val="00201BBE"/>
    <w:rsid w:val="00201ED0"/>
    <w:rsid w:val="0020242D"/>
    <w:rsid w:val="00202D36"/>
    <w:rsid w:val="00202D7F"/>
    <w:rsid w:val="00203094"/>
    <w:rsid w:val="0020329A"/>
    <w:rsid w:val="00203561"/>
    <w:rsid w:val="002038BA"/>
    <w:rsid w:val="002056E8"/>
    <w:rsid w:val="002059E7"/>
    <w:rsid w:val="002063FD"/>
    <w:rsid w:val="00206E29"/>
    <w:rsid w:val="00206F30"/>
    <w:rsid w:val="00207F13"/>
    <w:rsid w:val="002107E1"/>
    <w:rsid w:val="00210A96"/>
    <w:rsid w:val="0021189D"/>
    <w:rsid w:val="00211BFD"/>
    <w:rsid w:val="00212BFD"/>
    <w:rsid w:val="00212FC8"/>
    <w:rsid w:val="00214052"/>
    <w:rsid w:val="0021415C"/>
    <w:rsid w:val="0021482C"/>
    <w:rsid w:val="0021483E"/>
    <w:rsid w:val="002158DB"/>
    <w:rsid w:val="00216094"/>
    <w:rsid w:val="002162B4"/>
    <w:rsid w:val="00216925"/>
    <w:rsid w:val="002175A7"/>
    <w:rsid w:val="00220108"/>
    <w:rsid w:val="00220919"/>
    <w:rsid w:val="00221565"/>
    <w:rsid w:val="00221CFE"/>
    <w:rsid w:val="00222297"/>
    <w:rsid w:val="002225F6"/>
    <w:rsid w:val="00222B50"/>
    <w:rsid w:val="00223006"/>
    <w:rsid w:val="002230B7"/>
    <w:rsid w:val="00223135"/>
    <w:rsid w:val="002238CA"/>
    <w:rsid w:val="00223B29"/>
    <w:rsid w:val="00223DB8"/>
    <w:rsid w:val="00223E20"/>
    <w:rsid w:val="00224249"/>
    <w:rsid w:val="00224E4E"/>
    <w:rsid w:val="002254DA"/>
    <w:rsid w:val="00225717"/>
    <w:rsid w:val="00225927"/>
    <w:rsid w:val="00225D05"/>
    <w:rsid w:val="00226968"/>
    <w:rsid w:val="0022715A"/>
    <w:rsid w:val="00227DF7"/>
    <w:rsid w:val="00230037"/>
    <w:rsid w:val="00230114"/>
    <w:rsid w:val="00230704"/>
    <w:rsid w:val="002316D1"/>
    <w:rsid w:val="00231E84"/>
    <w:rsid w:val="00233F4C"/>
    <w:rsid w:val="00235D84"/>
    <w:rsid w:val="00236F1A"/>
    <w:rsid w:val="00237015"/>
    <w:rsid w:val="0023797D"/>
    <w:rsid w:val="002379E1"/>
    <w:rsid w:val="00237CE3"/>
    <w:rsid w:val="00237E38"/>
    <w:rsid w:val="002404E0"/>
    <w:rsid w:val="00240927"/>
    <w:rsid w:val="00240AAF"/>
    <w:rsid w:val="002415B9"/>
    <w:rsid w:val="00241D92"/>
    <w:rsid w:val="002428CE"/>
    <w:rsid w:val="00242FE7"/>
    <w:rsid w:val="00243BAF"/>
    <w:rsid w:val="00243D19"/>
    <w:rsid w:val="00243EFC"/>
    <w:rsid w:val="002456E3"/>
    <w:rsid w:val="002464BC"/>
    <w:rsid w:val="00246C14"/>
    <w:rsid w:val="0024725E"/>
    <w:rsid w:val="00247510"/>
    <w:rsid w:val="00247A9F"/>
    <w:rsid w:val="00247C69"/>
    <w:rsid w:val="00250748"/>
    <w:rsid w:val="00251572"/>
    <w:rsid w:val="002515AF"/>
    <w:rsid w:val="00251E62"/>
    <w:rsid w:val="0025209D"/>
    <w:rsid w:val="00252132"/>
    <w:rsid w:val="00252F4C"/>
    <w:rsid w:val="002530A7"/>
    <w:rsid w:val="002536AE"/>
    <w:rsid w:val="002543C7"/>
    <w:rsid w:val="002549F5"/>
    <w:rsid w:val="002552ED"/>
    <w:rsid w:val="0025567B"/>
    <w:rsid w:val="00255C38"/>
    <w:rsid w:val="00255CAC"/>
    <w:rsid w:val="00255FAC"/>
    <w:rsid w:val="002570BA"/>
    <w:rsid w:val="00257229"/>
    <w:rsid w:val="002573C5"/>
    <w:rsid w:val="0026111C"/>
    <w:rsid w:val="00261626"/>
    <w:rsid w:val="0026163E"/>
    <w:rsid w:val="00261C2A"/>
    <w:rsid w:val="00262357"/>
    <w:rsid w:val="00262C2C"/>
    <w:rsid w:val="00263736"/>
    <w:rsid w:val="00263E9F"/>
    <w:rsid w:val="00264990"/>
    <w:rsid w:val="00264C4E"/>
    <w:rsid w:val="00264DDA"/>
    <w:rsid w:val="00265F0F"/>
    <w:rsid w:val="0026620B"/>
    <w:rsid w:val="002662A1"/>
    <w:rsid w:val="00266515"/>
    <w:rsid w:val="0026669B"/>
    <w:rsid w:val="00267200"/>
    <w:rsid w:val="00267B9C"/>
    <w:rsid w:val="00267F7A"/>
    <w:rsid w:val="0027002B"/>
    <w:rsid w:val="002709A5"/>
    <w:rsid w:val="00270B32"/>
    <w:rsid w:val="002713F4"/>
    <w:rsid w:val="0027180C"/>
    <w:rsid w:val="00272F3D"/>
    <w:rsid w:val="00273CCC"/>
    <w:rsid w:val="002741FE"/>
    <w:rsid w:val="002750E3"/>
    <w:rsid w:val="00276056"/>
    <w:rsid w:val="00276900"/>
    <w:rsid w:val="00277079"/>
    <w:rsid w:val="002772B5"/>
    <w:rsid w:val="0027781B"/>
    <w:rsid w:val="00280099"/>
    <w:rsid w:val="002808FC"/>
    <w:rsid w:val="0028097C"/>
    <w:rsid w:val="00283495"/>
    <w:rsid w:val="002835EF"/>
    <w:rsid w:val="00283B1E"/>
    <w:rsid w:val="0028460D"/>
    <w:rsid w:val="002848E2"/>
    <w:rsid w:val="00285CC6"/>
    <w:rsid w:val="002860A7"/>
    <w:rsid w:val="00286473"/>
    <w:rsid w:val="002865A1"/>
    <w:rsid w:val="00286F49"/>
    <w:rsid w:val="0028744F"/>
    <w:rsid w:val="0029094E"/>
    <w:rsid w:val="002912A6"/>
    <w:rsid w:val="00291300"/>
    <w:rsid w:val="002914DC"/>
    <w:rsid w:val="00291FFB"/>
    <w:rsid w:val="00293126"/>
    <w:rsid w:val="00293361"/>
    <w:rsid w:val="00293807"/>
    <w:rsid w:val="002940BF"/>
    <w:rsid w:val="00295040"/>
    <w:rsid w:val="002951B1"/>
    <w:rsid w:val="002955CB"/>
    <w:rsid w:val="00295814"/>
    <w:rsid w:val="00295C1B"/>
    <w:rsid w:val="00295D7F"/>
    <w:rsid w:val="002962EF"/>
    <w:rsid w:val="00296386"/>
    <w:rsid w:val="002975C2"/>
    <w:rsid w:val="002A0679"/>
    <w:rsid w:val="002A1060"/>
    <w:rsid w:val="002A14C4"/>
    <w:rsid w:val="002A1926"/>
    <w:rsid w:val="002A1BFA"/>
    <w:rsid w:val="002A27CF"/>
    <w:rsid w:val="002A3602"/>
    <w:rsid w:val="002A4398"/>
    <w:rsid w:val="002A4F38"/>
    <w:rsid w:val="002A56F3"/>
    <w:rsid w:val="002A596B"/>
    <w:rsid w:val="002A6781"/>
    <w:rsid w:val="002A6DDB"/>
    <w:rsid w:val="002A6FEB"/>
    <w:rsid w:val="002A72E5"/>
    <w:rsid w:val="002A7FD7"/>
    <w:rsid w:val="002B1286"/>
    <w:rsid w:val="002B22B2"/>
    <w:rsid w:val="002B2369"/>
    <w:rsid w:val="002B2A52"/>
    <w:rsid w:val="002B2DF5"/>
    <w:rsid w:val="002B386F"/>
    <w:rsid w:val="002B47FD"/>
    <w:rsid w:val="002B4F91"/>
    <w:rsid w:val="002B5020"/>
    <w:rsid w:val="002B57F3"/>
    <w:rsid w:val="002B5ED8"/>
    <w:rsid w:val="002B640E"/>
    <w:rsid w:val="002B6711"/>
    <w:rsid w:val="002B6C76"/>
    <w:rsid w:val="002B6DE2"/>
    <w:rsid w:val="002B7641"/>
    <w:rsid w:val="002C0156"/>
    <w:rsid w:val="002C048C"/>
    <w:rsid w:val="002C0930"/>
    <w:rsid w:val="002C0DF3"/>
    <w:rsid w:val="002C0E0B"/>
    <w:rsid w:val="002C113C"/>
    <w:rsid w:val="002C1467"/>
    <w:rsid w:val="002C2F8A"/>
    <w:rsid w:val="002C402F"/>
    <w:rsid w:val="002C4A72"/>
    <w:rsid w:val="002C5484"/>
    <w:rsid w:val="002C5589"/>
    <w:rsid w:val="002C5931"/>
    <w:rsid w:val="002C5BCD"/>
    <w:rsid w:val="002C5EE6"/>
    <w:rsid w:val="002C60C7"/>
    <w:rsid w:val="002C641D"/>
    <w:rsid w:val="002C6445"/>
    <w:rsid w:val="002C67E4"/>
    <w:rsid w:val="002C782F"/>
    <w:rsid w:val="002D06E0"/>
    <w:rsid w:val="002D1452"/>
    <w:rsid w:val="002D15CE"/>
    <w:rsid w:val="002D21F6"/>
    <w:rsid w:val="002D26E7"/>
    <w:rsid w:val="002D371F"/>
    <w:rsid w:val="002D376B"/>
    <w:rsid w:val="002D3E57"/>
    <w:rsid w:val="002D4246"/>
    <w:rsid w:val="002D43BB"/>
    <w:rsid w:val="002D45D3"/>
    <w:rsid w:val="002D4DAF"/>
    <w:rsid w:val="002D4F30"/>
    <w:rsid w:val="002D5B26"/>
    <w:rsid w:val="002D5D00"/>
    <w:rsid w:val="002D633A"/>
    <w:rsid w:val="002D65BA"/>
    <w:rsid w:val="002D740A"/>
    <w:rsid w:val="002D77D7"/>
    <w:rsid w:val="002D7D52"/>
    <w:rsid w:val="002E089F"/>
    <w:rsid w:val="002E0A9A"/>
    <w:rsid w:val="002E1817"/>
    <w:rsid w:val="002E1D55"/>
    <w:rsid w:val="002E23C8"/>
    <w:rsid w:val="002E26A7"/>
    <w:rsid w:val="002E2977"/>
    <w:rsid w:val="002E3792"/>
    <w:rsid w:val="002E3F88"/>
    <w:rsid w:val="002E43E1"/>
    <w:rsid w:val="002E497E"/>
    <w:rsid w:val="002E59D6"/>
    <w:rsid w:val="002E59E1"/>
    <w:rsid w:val="002E5D62"/>
    <w:rsid w:val="002E5EFF"/>
    <w:rsid w:val="002E5FAB"/>
    <w:rsid w:val="002E6172"/>
    <w:rsid w:val="002E69BE"/>
    <w:rsid w:val="002E6EB1"/>
    <w:rsid w:val="002E758B"/>
    <w:rsid w:val="002E77DB"/>
    <w:rsid w:val="002E7C82"/>
    <w:rsid w:val="002F04F2"/>
    <w:rsid w:val="002F1E58"/>
    <w:rsid w:val="002F30B1"/>
    <w:rsid w:val="002F3263"/>
    <w:rsid w:val="002F34C1"/>
    <w:rsid w:val="002F36A1"/>
    <w:rsid w:val="002F3E31"/>
    <w:rsid w:val="002F4137"/>
    <w:rsid w:val="002F47ED"/>
    <w:rsid w:val="002F4ABA"/>
    <w:rsid w:val="002F51AC"/>
    <w:rsid w:val="002F54DD"/>
    <w:rsid w:val="002F68DD"/>
    <w:rsid w:val="002F73BF"/>
    <w:rsid w:val="002F7B6C"/>
    <w:rsid w:val="00300443"/>
    <w:rsid w:val="0030081C"/>
    <w:rsid w:val="00300C95"/>
    <w:rsid w:val="003010D7"/>
    <w:rsid w:val="003010FC"/>
    <w:rsid w:val="00301144"/>
    <w:rsid w:val="00301644"/>
    <w:rsid w:val="00301FF8"/>
    <w:rsid w:val="00302422"/>
    <w:rsid w:val="00302771"/>
    <w:rsid w:val="00302C62"/>
    <w:rsid w:val="00302E3B"/>
    <w:rsid w:val="003037EC"/>
    <w:rsid w:val="00303D18"/>
    <w:rsid w:val="003044E3"/>
    <w:rsid w:val="0030555E"/>
    <w:rsid w:val="003055F3"/>
    <w:rsid w:val="00305EB6"/>
    <w:rsid w:val="0030677B"/>
    <w:rsid w:val="0030749C"/>
    <w:rsid w:val="00307764"/>
    <w:rsid w:val="00310D78"/>
    <w:rsid w:val="00311666"/>
    <w:rsid w:val="003116CE"/>
    <w:rsid w:val="00312202"/>
    <w:rsid w:val="00312243"/>
    <w:rsid w:val="003124DD"/>
    <w:rsid w:val="00312AC0"/>
    <w:rsid w:val="00312CBB"/>
    <w:rsid w:val="0031344A"/>
    <w:rsid w:val="00313DAD"/>
    <w:rsid w:val="003145CE"/>
    <w:rsid w:val="003149A3"/>
    <w:rsid w:val="0031525E"/>
    <w:rsid w:val="00315B9D"/>
    <w:rsid w:val="00315BC2"/>
    <w:rsid w:val="00316404"/>
    <w:rsid w:val="0031694B"/>
    <w:rsid w:val="003170FD"/>
    <w:rsid w:val="00317573"/>
    <w:rsid w:val="00320683"/>
    <w:rsid w:val="00321036"/>
    <w:rsid w:val="00321D32"/>
    <w:rsid w:val="003224D6"/>
    <w:rsid w:val="003230F8"/>
    <w:rsid w:val="0032447F"/>
    <w:rsid w:val="00324BC7"/>
    <w:rsid w:val="00325ADF"/>
    <w:rsid w:val="0032633E"/>
    <w:rsid w:val="00327169"/>
    <w:rsid w:val="003273CC"/>
    <w:rsid w:val="00327607"/>
    <w:rsid w:val="00331AD3"/>
    <w:rsid w:val="00332284"/>
    <w:rsid w:val="00332515"/>
    <w:rsid w:val="003327D4"/>
    <w:rsid w:val="00332B14"/>
    <w:rsid w:val="00332C61"/>
    <w:rsid w:val="00333026"/>
    <w:rsid w:val="0033362B"/>
    <w:rsid w:val="00333F25"/>
    <w:rsid w:val="00333F7E"/>
    <w:rsid w:val="00334399"/>
    <w:rsid w:val="003343B0"/>
    <w:rsid w:val="003348A5"/>
    <w:rsid w:val="00335922"/>
    <w:rsid w:val="00335B45"/>
    <w:rsid w:val="00336567"/>
    <w:rsid w:val="00336930"/>
    <w:rsid w:val="00336E96"/>
    <w:rsid w:val="003372A2"/>
    <w:rsid w:val="003378EA"/>
    <w:rsid w:val="00337B1F"/>
    <w:rsid w:val="00340583"/>
    <w:rsid w:val="0034087B"/>
    <w:rsid w:val="00341190"/>
    <w:rsid w:val="0034299B"/>
    <w:rsid w:val="00343280"/>
    <w:rsid w:val="0034378D"/>
    <w:rsid w:val="0034393A"/>
    <w:rsid w:val="00343B3D"/>
    <w:rsid w:val="00344127"/>
    <w:rsid w:val="003447B1"/>
    <w:rsid w:val="00345258"/>
    <w:rsid w:val="00345E91"/>
    <w:rsid w:val="003464F2"/>
    <w:rsid w:val="0034735A"/>
    <w:rsid w:val="00347B9B"/>
    <w:rsid w:val="00347C31"/>
    <w:rsid w:val="0035053B"/>
    <w:rsid w:val="00350D44"/>
    <w:rsid w:val="003513B8"/>
    <w:rsid w:val="00351ED8"/>
    <w:rsid w:val="003526A7"/>
    <w:rsid w:val="00352CA9"/>
    <w:rsid w:val="00352CCD"/>
    <w:rsid w:val="00353484"/>
    <w:rsid w:val="003539BF"/>
    <w:rsid w:val="00355228"/>
    <w:rsid w:val="00355A68"/>
    <w:rsid w:val="00356626"/>
    <w:rsid w:val="00356B2E"/>
    <w:rsid w:val="00357A7F"/>
    <w:rsid w:val="00357D03"/>
    <w:rsid w:val="00360657"/>
    <w:rsid w:val="003608D4"/>
    <w:rsid w:val="00360939"/>
    <w:rsid w:val="00360F0C"/>
    <w:rsid w:val="00361064"/>
    <w:rsid w:val="0036198D"/>
    <w:rsid w:val="003628CA"/>
    <w:rsid w:val="00363599"/>
    <w:rsid w:val="003638DB"/>
    <w:rsid w:val="00363DC7"/>
    <w:rsid w:val="00363EAB"/>
    <w:rsid w:val="0036410D"/>
    <w:rsid w:val="003644EA"/>
    <w:rsid w:val="0036598B"/>
    <w:rsid w:val="00367AA8"/>
    <w:rsid w:val="00370B57"/>
    <w:rsid w:val="0037223C"/>
    <w:rsid w:val="003722AF"/>
    <w:rsid w:val="00372F0D"/>
    <w:rsid w:val="00373258"/>
    <w:rsid w:val="00374181"/>
    <w:rsid w:val="00375FB8"/>
    <w:rsid w:val="0037678D"/>
    <w:rsid w:val="0037692C"/>
    <w:rsid w:val="00376CD0"/>
    <w:rsid w:val="00376CED"/>
    <w:rsid w:val="00377EAF"/>
    <w:rsid w:val="00380046"/>
    <w:rsid w:val="003818F8"/>
    <w:rsid w:val="00381CE0"/>
    <w:rsid w:val="00381E04"/>
    <w:rsid w:val="00382388"/>
    <w:rsid w:val="003832F4"/>
    <w:rsid w:val="003835ED"/>
    <w:rsid w:val="00383C17"/>
    <w:rsid w:val="003848DC"/>
    <w:rsid w:val="00385464"/>
    <w:rsid w:val="00385C5F"/>
    <w:rsid w:val="00385D32"/>
    <w:rsid w:val="003864EF"/>
    <w:rsid w:val="0038665E"/>
    <w:rsid w:val="00387A8E"/>
    <w:rsid w:val="00387CE0"/>
    <w:rsid w:val="00387E24"/>
    <w:rsid w:val="003902D5"/>
    <w:rsid w:val="00390401"/>
    <w:rsid w:val="00390578"/>
    <w:rsid w:val="003908D3"/>
    <w:rsid w:val="003912A4"/>
    <w:rsid w:val="00391373"/>
    <w:rsid w:val="00391483"/>
    <w:rsid w:val="00391567"/>
    <w:rsid w:val="00392048"/>
    <w:rsid w:val="00394865"/>
    <w:rsid w:val="00395542"/>
    <w:rsid w:val="00395A26"/>
    <w:rsid w:val="00395BB6"/>
    <w:rsid w:val="003963A1"/>
    <w:rsid w:val="00396913"/>
    <w:rsid w:val="003971BD"/>
    <w:rsid w:val="00397E84"/>
    <w:rsid w:val="00397EEB"/>
    <w:rsid w:val="003A0A8E"/>
    <w:rsid w:val="003A0D1F"/>
    <w:rsid w:val="003A0D2F"/>
    <w:rsid w:val="003A135F"/>
    <w:rsid w:val="003A13DE"/>
    <w:rsid w:val="003A197C"/>
    <w:rsid w:val="003A1FB6"/>
    <w:rsid w:val="003A20B2"/>
    <w:rsid w:val="003A2948"/>
    <w:rsid w:val="003A2F46"/>
    <w:rsid w:val="003A3022"/>
    <w:rsid w:val="003A313A"/>
    <w:rsid w:val="003A32E1"/>
    <w:rsid w:val="003A3CD1"/>
    <w:rsid w:val="003A5C14"/>
    <w:rsid w:val="003A5ECF"/>
    <w:rsid w:val="003A64CF"/>
    <w:rsid w:val="003A78E7"/>
    <w:rsid w:val="003A7908"/>
    <w:rsid w:val="003B0460"/>
    <w:rsid w:val="003B0670"/>
    <w:rsid w:val="003B0D3B"/>
    <w:rsid w:val="003B1759"/>
    <w:rsid w:val="003B196A"/>
    <w:rsid w:val="003B199B"/>
    <w:rsid w:val="003B1A92"/>
    <w:rsid w:val="003B2659"/>
    <w:rsid w:val="003B3640"/>
    <w:rsid w:val="003B3849"/>
    <w:rsid w:val="003B41EE"/>
    <w:rsid w:val="003B4744"/>
    <w:rsid w:val="003B47BA"/>
    <w:rsid w:val="003B4948"/>
    <w:rsid w:val="003B4EC4"/>
    <w:rsid w:val="003B5D04"/>
    <w:rsid w:val="003B5DD6"/>
    <w:rsid w:val="003B6789"/>
    <w:rsid w:val="003B6EC8"/>
    <w:rsid w:val="003B7531"/>
    <w:rsid w:val="003B7A73"/>
    <w:rsid w:val="003C0539"/>
    <w:rsid w:val="003C1DF1"/>
    <w:rsid w:val="003C2A6C"/>
    <w:rsid w:val="003C2BA9"/>
    <w:rsid w:val="003C3153"/>
    <w:rsid w:val="003C4217"/>
    <w:rsid w:val="003C48C9"/>
    <w:rsid w:val="003C4AE7"/>
    <w:rsid w:val="003C52DA"/>
    <w:rsid w:val="003C545A"/>
    <w:rsid w:val="003C695D"/>
    <w:rsid w:val="003C6CDA"/>
    <w:rsid w:val="003C6F48"/>
    <w:rsid w:val="003C75AA"/>
    <w:rsid w:val="003C75C0"/>
    <w:rsid w:val="003C7E65"/>
    <w:rsid w:val="003D01FF"/>
    <w:rsid w:val="003D1F7E"/>
    <w:rsid w:val="003D2F3C"/>
    <w:rsid w:val="003D3434"/>
    <w:rsid w:val="003D3F94"/>
    <w:rsid w:val="003D4287"/>
    <w:rsid w:val="003D464D"/>
    <w:rsid w:val="003D5AB4"/>
    <w:rsid w:val="003D5FC4"/>
    <w:rsid w:val="003D6CD4"/>
    <w:rsid w:val="003D7006"/>
    <w:rsid w:val="003E03B6"/>
    <w:rsid w:val="003E0907"/>
    <w:rsid w:val="003E1801"/>
    <w:rsid w:val="003E1D64"/>
    <w:rsid w:val="003E227F"/>
    <w:rsid w:val="003E242C"/>
    <w:rsid w:val="003E2B2C"/>
    <w:rsid w:val="003E383B"/>
    <w:rsid w:val="003E3E35"/>
    <w:rsid w:val="003E4866"/>
    <w:rsid w:val="003E51F7"/>
    <w:rsid w:val="003E5792"/>
    <w:rsid w:val="003E6E94"/>
    <w:rsid w:val="003E7378"/>
    <w:rsid w:val="003F103D"/>
    <w:rsid w:val="003F1C68"/>
    <w:rsid w:val="003F216C"/>
    <w:rsid w:val="003F258E"/>
    <w:rsid w:val="003F378E"/>
    <w:rsid w:val="003F3FF6"/>
    <w:rsid w:val="003F423C"/>
    <w:rsid w:val="003F4E8C"/>
    <w:rsid w:val="003F5145"/>
    <w:rsid w:val="003F5269"/>
    <w:rsid w:val="003F5DAB"/>
    <w:rsid w:val="003F5F0F"/>
    <w:rsid w:val="003F74BA"/>
    <w:rsid w:val="00400355"/>
    <w:rsid w:val="00400361"/>
    <w:rsid w:val="0040234D"/>
    <w:rsid w:val="004033AF"/>
    <w:rsid w:val="00403482"/>
    <w:rsid w:val="0040393B"/>
    <w:rsid w:val="00403DEF"/>
    <w:rsid w:val="00403EF9"/>
    <w:rsid w:val="0040497D"/>
    <w:rsid w:val="00405BEB"/>
    <w:rsid w:val="00405D1A"/>
    <w:rsid w:val="00406056"/>
    <w:rsid w:val="004068E6"/>
    <w:rsid w:val="00406D8D"/>
    <w:rsid w:val="00406FCC"/>
    <w:rsid w:val="0040738E"/>
    <w:rsid w:val="00407954"/>
    <w:rsid w:val="00410C4F"/>
    <w:rsid w:val="0041111F"/>
    <w:rsid w:val="00411618"/>
    <w:rsid w:val="004117EC"/>
    <w:rsid w:val="00412200"/>
    <w:rsid w:val="00412A8F"/>
    <w:rsid w:val="00412BE5"/>
    <w:rsid w:val="00412F16"/>
    <w:rsid w:val="004130A0"/>
    <w:rsid w:val="0041326F"/>
    <w:rsid w:val="0041484D"/>
    <w:rsid w:val="0041617F"/>
    <w:rsid w:val="004170D1"/>
    <w:rsid w:val="00417F2F"/>
    <w:rsid w:val="00420019"/>
    <w:rsid w:val="00420090"/>
    <w:rsid w:val="0042021D"/>
    <w:rsid w:val="004214A0"/>
    <w:rsid w:val="00421927"/>
    <w:rsid w:val="00421A37"/>
    <w:rsid w:val="00421ABE"/>
    <w:rsid w:val="00421B51"/>
    <w:rsid w:val="00421D80"/>
    <w:rsid w:val="004223AD"/>
    <w:rsid w:val="00422AE5"/>
    <w:rsid w:val="00422B19"/>
    <w:rsid w:val="0042403A"/>
    <w:rsid w:val="00424203"/>
    <w:rsid w:val="00424254"/>
    <w:rsid w:val="00424279"/>
    <w:rsid w:val="00424C56"/>
    <w:rsid w:val="00424DD1"/>
    <w:rsid w:val="004256D6"/>
    <w:rsid w:val="00425726"/>
    <w:rsid w:val="00425A70"/>
    <w:rsid w:val="00426081"/>
    <w:rsid w:val="00426607"/>
    <w:rsid w:val="004275D1"/>
    <w:rsid w:val="0043017B"/>
    <w:rsid w:val="00430212"/>
    <w:rsid w:val="004313CF"/>
    <w:rsid w:val="00431632"/>
    <w:rsid w:val="0043171C"/>
    <w:rsid w:val="004325A5"/>
    <w:rsid w:val="00433140"/>
    <w:rsid w:val="00434069"/>
    <w:rsid w:val="00434AF4"/>
    <w:rsid w:val="00434C55"/>
    <w:rsid w:val="0043506F"/>
    <w:rsid w:val="00437ABA"/>
    <w:rsid w:val="004402A5"/>
    <w:rsid w:val="0044066B"/>
    <w:rsid w:val="0044149B"/>
    <w:rsid w:val="004418B6"/>
    <w:rsid w:val="00441FC1"/>
    <w:rsid w:val="004428D5"/>
    <w:rsid w:val="00442AEE"/>
    <w:rsid w:val="004430F4"/>
    <w:rsid w:val="004435A0"/>
    <w:rsid w:val="00443999"/>
    <w:rsid w:val="004441DD"/>
    <w:rsid w:val="0044428F"/>
    <w:rsid w:val="00444AAF"/>
    <w:rsid w:val="00444DFF"/>
    <w:rsid w:val="00445023"/>
    <w:rsid w:val="004451D9"/>
    <w:rsid w:val="00445410"/>
    <w:rsid w:val="00445A49"/>
    <w:rsid w:val="00445FDE"/>
    <w:rsid w:val="00446649"/>
    <w:rsid w:val="00446FC6"/>
    <w:rsid w:val="00447C6D"/>
    <w:rsid w:val="00450B65"/>
    <w:rsid w:val="00451098"/>
    <w:rsid w:val="00451BA0"/>
    <w:rsid w:val="00452CA7"/>
    <w:rsid w:val="00453B90"/>
    <w:rsid w:val="00453E1A"/>
    <w:rsid w:val="00454CDD"/>
    <w:rsid w:val="00456E7E"/>
    <w:rsid w:val="004570FA"/>
    <w:rsid w:val="00457815"/>
    <w:rsid w:val="004604A3"/>
    <w:rsid w:val="004608DA"/>
    <w:rsid w:val="00460B12"/>
    <w:rsid w:val="00460BF8"/>
    <w:rsid w:val="004619F4"/>
    <w:rsid w:val="00461A24"/>
    <w:rsid w:val="00462191"/>
    <w:rsid w:val="00462DE7"/>
    <w:rsid w:val="00464943"/>
    <w:rsid w:val="00465C7B"/>
    <w:rsid w:val="00465E19"/>
    <w:rsid w:val="00467D10"/>
    <w:rsid w:val="00470F20"/>
    <w:rsid w:val="00471C0B"/>
    <w:rsid w:val="00471F4F"/>
    <w:rsid w:val="00472B64"/>
    <w:rsid w:val="00473C3B"/>
    <w:rsid w:val="004742EF"/>
    <w:rsid w:val="004751D2"/>
    <w:rsid w:val="0047598A"/>
    <w:rsid w:val="004769A5"/>
    <w:rsid w:val="00477612"/>
    <w:rsid w:val="004776A0"/>
    <w:rsid w:val="0047784B"/>
    <w:rsid w:val="00477A82"/>
    <w:rsid w:val="00477E3F"/>
    <w:rsid w:val="00477E66"/>
    <w:rsid w:val="00480877"/>
    <w:rsid w:val="00481341"/>
    <w:rsid w:val="004823B0"/>
    <w:rsid w:val="00483E53"/>
    <w:rsid w:val="00484509"/>
    <w:rsid w:val="004848BE"/>
    <w:rsid w:val="00484D39"/>
    <w:rsid w:val="00484F2E"/>
    <w:rsid w:val="004854BA"/>
    <w:rsid w:val="00485E82"/>
    <w:rsid w:val="0048724A"/>
    <w:rsid w:val="004877FC"/>
    <w:rsid w:val="00487C00"/>
    <w:rsid w:val="00487C5E"/>
    <w:rsid w:val="00487D45"/>
    <w:rsid w:val="00487E76"/>
    <w:rsid w:val="0049000A"/>
    <w:rsid w:val="00491078"/>
    <w:rsid w:val="00491661"/>
    <w:rsid w:val="004918EE"/>
    <w:rsid w:val="00491C7B"/>
    <w:rsid w:val="00492160"/>
    <w:rsid w:val="00492B29"/>
    <w:rsid w:val="00493266"/>
    <w:rsid w:val="00494474"/>
    <w:rsid w:val="00495A1E"/>
    <w:rsid w:val="00495B13"/>
    <w:rsid w:val="004962A8"/>
    <w:rsid w:val="00496385"/>
    <w:rsid w:val="00496742"/>
    <w:rsid w:val="004967E3"/>
    <w:rsid w:val="00496976"/>
    <w:rsid w:val="00496A1D"/>
    <w:rsid w:val="00496A5F"/>
    <w:rsid w:val="00497313"/>
    <w:rsid w:val="004A0E41"/>
    <w:rsid w:val="004A1408"/>
    <w:rsid w:val="004A18C8"/>
    <w:rsid w:val="004A1BE4"/>
    <w:rsid w:val="004A1EB0"/>
    <w:rsid w:val="004A1FCB"/>
    <w:rsid w:val="004A2717"/>
    <w:rsid w:val="004A31B9"/>
    <w:rsid w:val="004A3269"/>
    <w:rsid w:val="004A3960"/>
    <w:rsid w:val="004A3BC2"/>
    <w:rsid w:val="004A3D87"/>
    <w:rsid w:val="004A4BFC"/>
    <w:rsid w:val="004A5358"/>
    <w:rsid w:val="004A6101"/>
    <w:rsid w:val="004A62D0"/>
    <w:rsid w:val="004A6987"/>
    <w:rsid w:val="004A6DF8"/>
    <w:rsid w:val="004A6FAE"/>
    <w:rsid w:val="004A7A52"/>
    <w:rsid w:val="004B0532"/>
    <w:rsid w:val="004B0C53"/>
    <w:rsid w:val="004B0CEB"/>
    <w:rsid w:val="004B0DF2"/>
    <w:rsid w:val="004B1E1C"/>
    <w:rsid w:val="004B235F"/>
    <w:rsid w:val="004B3531"/>
    <w:rsid w:val="004B41BC"/>
    <w:rsid w:val="004B44E8"/>
    <w:rsid w:val="004B4D63"/>
    <w:rsid w:val="004B5FCB"/>
    <w:rsid w:val="004B6007"/>
    <w:rsid w:val="004B66A8"/>
    <w:rsid w:val="004B6EC5"/>
    <w:rsid w:val="004B7920"/>
    <w:rsid w:val="004C04F1"/>
    <w:rsid w:val="004C0C3F"/>
    <w:rsid w:val="004C1370"/>
    <w:rsid w:val="004C140D"/>
    <w:rsid w:val="004C164B"/>
    <w:rsid w:val="004C19FD"/>
    <w:rsid w:val="004C1B24"/>
    <w:rsid w:val="004C1E14"/>
    <w:rsid w:val="004C2B60"/>
    <w:rsid w:val="004C385A"/>
    <w:rsid w:val="004C3A2D"/>
    <w:rsid w:val="004C4206"/>
    <w:rsid w:val="004C4EB4"/>
    <w:rsid w:val="004C52D2"/>
    <w:rsid w:val="004C5884"/>
    <w:rsid w:val="004C6FEA"/>
    <w:rsid w:val="004C74EC"/>
    <w:rsid w:val="004D09F6"/>
    <w:rsid w:val="004D18C3"/>
    <w:rsid w:val="004D2130"/>
    <w:rsid w:val="004D219C"/>
    <w:rsid w:val="004D2699"/>
    <w:rsid w:val="004D3477"/>
    <w:rsid w:val="004D3A67"/>
    <w:rsid w:val="004D415F"/>
    <w:rsid w:val="004D43D9"/>
    <w:rsid w:val="004D4975"/>
    <w:rsid w:val="004D4C24"/>
    <w:rsid w:val="004D5859"/>
    <w:rsid w:val="004D5BD3"/>
    <w:rsid w:val="004D7FAC"/>
    <w:rsid w:val="004E018E"/>
    <w:rsid w:val="004E021A"/>
    <w:rsid w:val="004E060F"/>
    <w:rsid w:val="004E06E8"/>
    <w:rsid w:val="004E0A6A"/>
    <w:rsid w:val="004E1841"/>
    <w:rsid w:val="004E234E"/>
    <w:rsid w:val="004E23DA"/>
    <w:rsid w:val="004E2C14"/>
    <w:rsid w:val="004E4BE9"/>
    <w:rsid w:val="004E5480"/>
    <w:rsid w:val="004E58D0"/>
    <w:rsid w:val="004E598E"/>
    <w:rsid w:val="004E6DCB"/>
    <w:rsid w:val="004E7F53"/>
    <w:rsid w:val="004E7FB6"/>
    <w:rsid w:val="004F0458"/>
    <w:rsid w:val="004F09FC"/>
    <w:rsid w:val="004F0C5D"/>
    <w:rsid w:val="004F0EA3"/>
    <w:rsid w:val="004F12F3"/>
    <w:rsid w:val="004F1312"/>
    <w:rsid w:val="004F1BA3"/>
    <w:rsid w:val="004F21CA"/>
    <w:rsid w:val="004F2C75"/>
    <w:rsid w:val="004F2DF8"/>
    <w:rsid w:val="004F3229"/>
    <w:rsid w:val="004F4143"/>
    <w:rsid w:val="004F6A97"/>
    <w:rsid w:val="004F71AE"/>
    <w:rsid w:val="004F7F0F"/>
    <w:rsid w:val="005000C7"/>
    <w:rsid w:val="00501049"/>
    <w:rsid w:val="00501215"/>
    <w:rsid w:val="00502CBF"/>
    <w:rsid w:val="00502E95"/>
    <w:rsid w:val="005032F6"/>
    <w:rsid w:val="0050345E"/>
    <w:rsid w:val="005035DF"/>
    <w:rsid w:val="00504177"/>
    <w:rsid w:val="00504BC6"/>
    <w:rsid w:val="00504DB1"/>
    <w:rsid w:val="00505335"/>
    <w:rsid w:val="005058BB"/>
    <w:rsid w:val="00505E62"/>
    <w:rsid w:val="00505ECE"/>
    <w:rsid w:val="00506B7E"/>
    <w:rsid w:val="00506CDC"/>
    <w:rsid w:val="00506EE0"/>
    <w:rsid w:val="00507620"/>
    <w:rsid w:val="00511132"/>
    <w:rsid w:val="00512157"/>
    <w:rsid w:val="005130ED"/>
    <w:rsid w:val="005133F4"/>
    <w:rsid w:val="0051380B"/>
    <w:rsid w:val="00514174"/>
    <w:rsid w:val="00514FFB"/>
    <w:rsid w:val="00515CD3"/>
    <w:rsid w:val="00515D1C"/>
    <w:rsid w:val="00516651"/>
    <w:rsid w:val="005176B5"/>
    <w:rsid w:val="0051797D"/>
    <w:rsid w:val="00520691"/>
    <w:rsid w:val="00520985"/>
    <w:rsid w:val="00520D44"/>
    <w:rsid w:val="005213BD"/>
    <w:rsid w:val="005217F7"/>
    <w:rsid w:val="0052193B"/>
    <w:rsid w:val="005223AE"/>
    <w:rsid w:val="00522953"/>
    <w:rsid w:val="00522B8E"/>
    <w:rsid w:val="00523009"/>
    <w:rsid w:val="005230C3"/>
    <w:rsid w:val="00523749"/>
    <w:rsid w:val="00523C34"/>
    <w:rsid w:val="00524C00"/>
    <w:rsid w:val="0052576E"/>
    <w:rsid w:val="00525964"/>
    <w:rsid w:val="00525D16"/>
    <w:rsid w:val="00525EA9"/>
    <w:rsid w:val="005264AA"/>
    <w:rsid w:val="00526856"/>
    <w:rsid w:val="00527E73"/>
    <w:rsid w:val="005305D9"/>
    <w:rsid w:val="005309DE"/>
    <w:rsid w:val="00531FED"/>
    <w:rsid w:val="005321AE"/>
    <w:rsid w:val="005322CA"/>
    <w:rsid w:val="00532CDE"/>
    <w:rsid w:val="0053301D"/>
    <w:rsid w:val="00534178"/>
    <w:rsid w:val="0053433B"/>
    <w:rsid w:val="005353BC"/>
    <w:rsid w:val="00535AD3"/>
    <w:rsid w:val="00535FDD"/>
    <w:rsid w:val="00540141"/>
    <w:rsid w:val="005408AC"/>
    <w:rsid w:val="00540A00"/>
    <w:rsid w:val="00541236"/>
    <w:rsid w:val="00541497"/>
    <w:rsid w:val="00541699"/>
    <w:rsid w:val="0054170A"/>
    <w:rsid w:val="00542071"/>
    <w:rsid w:val="00542147"/>
    <w:rsid w:val="00542CE8"/>
    <w:rsid w:val="00542E55"/>
    <w:rsid w:val="00543ADE"/>
    <w:rsid w:val="00544025"/>
    <w:rsid w:val="00544823"/>
    <w:rsid w:val="005462D4"/>
    <w:rsid w:val="00546C3B"/>
    <w:rsid w:val="00547F74"/>
    <w:rsid w:val="00547F76"/>
    <w:rsid w:val="005509D2"/>
    <w:rsid w:val="00550BAF"/>
    <w:rsid w:val="00551520"/>
    <w:rsid w:val="00551908"/>
    <w:rsid w:val="00551AD2"/>
    <w:rsid w:val="00552196"/>
    <w:rsid w:val="0055259A"/>
    <w:rsid w:val="00552E48"/>
    <w:rsid w:val="00553066"/>
    <w:rsid w:val="005534C8"/>
    <w:rsid w:val="0055373B"/>
    <w:rsid w:val="00553A0E"/>
    <w:rsid w:val="00553CE8"/>
    <w:rsid w:val="00553F03"/>
    <w:rsid w:val="00553F3F"/>
    <w:rsid w:val="005544FE"/>
    <w:rsid w:val="00554A4B"/>
    <w:rsid w:val="00554A71"/>
    <w:rsid w:val="0055524B"/>
    <w:rsid w:val="0055598B"/>
    <w:rsid w:val="00556C6D"/>
    <w:rsid w:val="00556D20"/>
    <w:rsid w:val="005570F8"/>
    <w:rsid w:val="0055760E"/>
    <w:rsid w:val="00557DF2"/>
    <w:rsid w:val="00557EA0"/>
    <w:rsid w:val="00563586"/>
    <w:rsid w:val="00564272"/>
    <w:rsid w:val="00564E44"/>
    <w:rsid w:val="0056575F"/>
    <w:rsid w:val="005671FD"/>
    <w:rsid w:val="00567719"/>
    <w:rsid w:val="005679F3"/>
    <w:rsid w:val="00570934"/>
    <w:rsid w:val="00571623"/>
    <w:rsid w:val="00571747"/>
    <w:rsid w:val="005730DD"/>
    <w:rsid w:val="005737BB"/>
    <w:rsid w:val="00574B3F"/>
    <w:rsid w:val="00574F8E"/>
    <w:rsid w:val="00575A67"/>
    <w:rsid w:val="00575C4F"/>
    <w:rsid w:val="00580033"/>
    <w:rsid w:val="00581542"/>
    <w:rsid w:val="00581AFE"/>
    <w:rsid w:val="0058244F"/>
    <w:rsid w:val="00583317"/>
    <w:rsid w:val="00583901"/>
    <w:rsid w:val="00583A6D"/>
    <w:rsid w:val="00583D77"/>
    <w:rsid w:val="005843D5"/>
    <w:rsid w:val="00584819"/>
    <w:rsid w:val="00585ABF"/>
    <w:rsid w:val="00585BCD"/>
    <w:rsid w:val="0058619D"/>
    <w:rsid w:val="00586351"/>
    <w:rsid w:val="005863F5"/>
    <w:rsid w:val="005867B6"/>
    <w:rsid w:val="00586E00"/>
    <w:rsid w:val="00586EA0"/>
    <w:rsid w:val="00587159"/>
    <w:rsid w:val="00590406"/>
    <w:rsid w:val="00590F25"/>
    <w:rsid w:val="00591A23"/>
    <w:rsid w:val="00591ED6"/>
    <w:rsid w:val="005920A2"/>
    <w:rsid w:val="005929A3"/>
    <w:rsid w:val="0059300E"/>
    <w:rsid w:val="00593E33"/>
    <w:rsid w:val="00593E67"/>
    <w:rsid w:val="00594121"/>
    <w:rsid w:val="00594255"/>
    <w:rsid w:val="00594547"/>
    <w:rsid w:val="005946B4"/>
    <w:rsid w:val="00594D5D"/>
    <w:rsid w:val="0059546D"/>
    <w:rsid w:val="00596368"/>
    <w:rsid w:val="005966A7"/>
    <w:rsid w:val="00596F47"/>
    <w:rsid w:val="0059799F"/>
    <w:rsid w:val="005A0FE8"/>
    <w:rsid w:val="005A0FFE"/>
    <w:rsid w:val="005A142D"/>
    <w:rsid w:val="005A1F5F"/>
    <w:rsid w:val="005A2F68"/>
    <w:rsid w:val="005A2F9E"/>
    <w:rsid w:val="005A3770"/>
    <w:rsid w:val="005A3F68"/>
    <w:rsid w:val="005A4911"/>
    <w:rsid w:val="005A497A"/>
    <w:rsid w:val="005A5601"/>
    <w:rsid w:val="005A64E8"/>
    <w:rsid w:val="005A71F6"/>
    <w:rsid w:val="005A7A93"/>
    <w:rsid w:val="005A7B89"/>
    <w:rsid w:val="005B028B"/>
    <w:rsid w:val="005B06EE"/>
    <w:rsid w:val="005B0AB1"/>
    <w:rsid w:val="005B0B38"/>
    <w:rsid w:val="005B0D8E"/>
    <w:rsid w:val="005B2D3E"/>
    <w:rsid w:val="005B33DB"/>
    <w:rsid w:val="005B41E7"/>
    <w:rsid w:val="005B46DE"/>
    <w:rsid w:val="005B50D8"/>
    <w:rsid w:val="005B6B7B"/>
    <w:rsid w:val="005B6EB5"/>
    <w:rsid w:val="005B7036"/>
    <w:rsid w:val="005C0132"/>
    <w:rsid w:val="005C0335"/>
    <w:rsid w:val="005C06ED"/>
    <w:rsid w:val="005C1652"/>
    <w:rsid w:val="005C2074"/>
    <w:rsid w:val="005C316C"/>
    <w:rsid w:val="005C4138"/>
    <w:rsid w:val="005C46EB"/>
    <w:rsid w:val="005C47B6"/>
    <w:rsid w:val="005C4C97"/>
    <w:rsid w:val="005C5445"/>
    <w:rsid w:val="005C54F9"/>
    <w:rsid w:val="005C5A43"/>
    <w:rsid w:val="005C6520"/>
    <w:rsid w:val="005C6D73"/>
    <w:rsid w:val="005C7149"/>
    <w:rsid w:val="005C734C"/>
    <w:rsid w:val="005C7984"/>
    <w:rsid w:val="005D01A9"/>
    <w:rsid w:val="005D06D1"/>
    <w:rsid w:val="005D0A4A"/>
    <w:rsid w:val="005D15C6"/>
    <w:rsid w:val="005D19FD"/>
    <w:rsid w:val="005D241E"/>
    <w:rsid w:val="005D37D4"/>
    <w:rsid w:val="005D4118"/>
    <w:rsid w:val="005D4B1C"/>
    <w:rsid w:val="005D50F5"/>
    <w:rsid w:val="005D5461"/>
    <w:rsid w:val="005D5855"/>
    <w:rsid w:val="005D5D15"/>
    <w:rsid w:val="005D5F81"/>
    <w:rsid w:val="005D72DC"/>
    <w:rsid w:val="005E024F"/>
    <w:rsid w:val="005E02BF"/>
    <w:rsid w:val="005E0C8F"/>
    <w:rsid w:val="005E114F"/>
    <w:rsid w:val="005E1773"/>
    <w:rsid w:val="005E2507"/>
    <w:rsid w:val="005E27CD"/>
    <w:rsid w:val="005E33BF"/>
    <w:rsid w:val="005E3BB5"/>
    <w:rsid w:val="005E5073"/>
    <w:rsid w:val="005E5092"/>
    <w:rsid w:val="005E5714"/>
    <w:rsid w:val="005E615B"/>
    <w:rsid w:val="005E748D"/>
    <w:rsid w:val="005E7E76"/>
    <w:rsid w:val="005F4983"/>
    <w:rsid w:val="005F502D"/>
    <w:rsid w:val="005F5102"/>
    <w:rsid w:val="005F55B4"/>
    <w:rsid w:val="005F56DC"/>
    <w:rsid w:val="005F57F1"/>
    <w:rsid w:val="005F60A7"/>
    <w:rsid w:val="005F7472"/>
    <w:rsid w:val="005F7D93"/>
    <w:rsid w:val="006014CE"/>
    <w:rsid w:val="00601517"/>
    <w:rsid w:val="00601FF1"/>
    <w:rsid w:val="00602492"/>
    <w:rsid w:val="0060263E"/>
    <w:rsid w:val="00603315"/>
    <w:rsid w:val="00603AFB"/>
    <w:rsid w:val="00603D4B"/>
    <w:rsid w:val="00604483"/>
    <w:rsid w:val="00604949"/>
    <w:rsid w:val="006052F1"/>
    <w:rsid w:val="0060658F"/>
    <w:rsid w:val="00607132"/>
    <w:rsid w:val="00607438"/>
    <w:rsid w:val="006078CD"/>
    <w:rsid w:val="00610305"/>
    <w:rsid w:val="00610A70"/>
    <w:rsid w:val="00610FD1"/>
    <w:rsid w:val="006114C1"/>
    <w:rsid w:val="00612321"/>
    <w:rsid w:val="006129BA"/>
    <w:rsid w:val="00612EF7"/>
    <w:rsid w:val="0061395E"/>
    <w:rsid w:val="0061520E"/>
    <w:rsid w:val="0061632E"/>
    <w:rsid w:val="0061747F"/>
    <w:rsid w:val="00617963"/>
    <w:rsid w:val="00617A0C"/>
    <w:rsid w:val="00617D9F"/>
    <w:rsid w:val="00620BC5"/>
    <w:rsid w:val="00620DE3"/>
    <w:rsid w:val="00621119"/>
    <w:rsid w:val="00621D50"/>
    <w:rsid w:val="006225D3"/>
    <w:rsid w:val="00622A70"/>
    <w:rsid w:val="0062353D"/>
    <w:rsid w:val="006235F6"/>
    <w:rsid w:val="0062392F"/>
    <w:rsid w:val="00623D1E"/>
    <w:rsid w:val="006247A2"/>
    <w:rsid w:val="00624F0E"/>
    <w:rsid w:val="00625374"/>
    <w:rsid w:val="00625B2F"/>
    <w:rsid w:val="00626302"/>
    <w:rsid w:val="00626B62"/>
    <w:rsid w:val="006276FB"/>
    <w:rsid w:val="00627EF0"/>
    <w:rsid w:val="00630489"/>
    <w:rsid w:val="00630732"/>
    <w:rsid w:val="00630AB7"/>
    <w:rsid w:val="00630D39"/>
    <w:rsid w:val="00631012"/>
    <w:rsid w:val="006316FF"/>
    <w:rsid w:val="006333E8"/>
    <w:rsid w:val="006337B5"/>
    <w:rsid w:val="006338A1"/>
    <w:rsid w:val="0063448D"/>
    <w:rsid w:val="00634DB9"/>
    <w:rsid w:val="006350D2"/>
    <w:rsid w:val="00635DAD"/>
    <w:rsid w:val="00635EE7"/>
    <w:rsid w:val="00635F26"/>
    <w:rsid w:val="006365EB"/>
    <w:rsid w:val="00636ED7"/>
    <w:rsid w:val="0063750A"/>
    <w:rsid w:val="0064060C"/>
    <w:rsid w:val="00641684"/>
    <w:rsid w:val="00642361"/>
    <w:rsid w:val="00642372"/>
    <w:rsid w:val="00642463"/>
    <w:rsid w:val="00643925"/>
    <w:rsid w:val="00643DA7"/>
    <w:rsid w:val="00644DDF"/>
    <w:rsid w:val="00645DCE"/>
    <w:rsid w:val="006461AB"/>
    <w:rsid w:val="00646C5A"/>
    <w:rsid w:val="00646E7C"/>
    <w:rsid w:val="0064764F"/>
    <w:rsid w:val="006513B3"/>
    <w:rsid w:val="00652A78"/>
    <w:rsid w:val="00652A8F"/>
    <w:rsid w:val="00653581"/>
    <w:rsid w:val="006535E6"/>
    <w:rsid w:val="00653A10"/>
    <w:rsid w:val="00653A24"/>
    <w:rsid w:val="00653E50"/>
    <w:rsid w:val="00653FE7"/>
    <w:rsid w:val="0065483C"/>
    <w:rsid w:val="006551BA"/>
    <w:rsid w:val="006553A6"/>
    <w:rsid w:val="00655A1E"/>
    <w:rsid w:val="00655AAE"/>
    <w:rsid w:val="00655AE7"/>
    <w:rsid w:val="0065636A"/>
    <w:rsid w:val="006568FC"/>
    <w:rsid w:val="00656F52"/>
    <w:rsid w:val="00657426"/>
    <w:rsid w:val="00660568"/>
    <w:rsid w:val="0066092E"/>
    <w:rsid w:val="00661082"/>
    <w:rsid w:val="006613A5"/>
    <w:rsid w:val="006613D4"/>
    <w:rsid w:val="006617B7"/>
    <w:rsid w:val="006628AC"/>
    <w:rsid w:val="00662E88"/>
    <w:rsid w:val="00663483"/>
    <w:rsid w:val="0066388E"/>
    <w:rsid w:val="00664C63"/>
    <w:rsid w:val="0066595F"/>
    <w:rsid w:val="006659BF"/>
    <w:rsid w:val="00665B29"/>
    <w:rsid w:val="00666056"/>
    <w:rsid w:val="006660DB"/>
    <w:rsid w:val="006675E5"/>
    <w:rsid w:val="006701B8"/>
    <w:rsid w:val="006703CA"/>
    <w:rsid w:val="00670563"/>
    <w:rsid w:val="00670730"/>
    <w:rsid w:val="00670BC0"/>
    <w:rsid w:val="00671998"/>
    <w:rsid w:val="00671A3E"/>
    <w:rsid w:val="00673646"/>
    <w:rsid w:val="00673CDA"/>
    <w:rsid w:val="0067400B"/>
    <w:rsid w:val="006744D1"/>
    <w:rsid w:val="00674802"/>
    <w:rsid w:val="0067490E"/>
    <w:rsid w:val="006749A2"/>
    <w:rsid w:val="00674BED"/>
    <w:rsid w:val="00674ECD"/>
    <w:rsid w:val="006756EA"/>
    <w:rsid w:val="00675C2C"/>
    <w:rsid w:val="00676274"/>
    <w:rsid w:val="00676354"/>
    <w:rsid w:val="00676CE0"/>
    <w:rsid w:val="00680845"/>
    <w:rsid w:val="00680CC4"/>
    <w:rsid w:val="00681B82"/>
    <w:rsid w:val="00681E5A"/>
    <w:rsid w:val="00682541"/>
    <w:rsid w:val="00682E11"/>
    <w:rsid w:val="00683C72"/>
    <w:rsid w:val="006844F1"/>
    <w:rsid w:val="00684A76"/>
    <w:rsid w:val="00684B92"/>
    <w:rsid w:val="00684D17"/>
    <w:rsid w:val="0068641F"/>
    <w:rsid w:val="00687108"/>
    <w:rsid w:val="00687D64"/>
    <w:rsid w:val="00690599"/>
    <w:rsid w:val="006909AB"/>
    <w:rsid w:val="00691CB0"/>
    <w:rsid w:val="00691FFA"/>
    <w:rsid w:val="00692CF6"/>
    <w:rsid w:val="00692E69"/>
    <w:rsid w:val="00693662"/>
    <w:rsid w:val="006939A6"/>
    <w:rsid w:val="00693BF9"/>
    <w:rsid w:val="006949C2"/>
    <w:rsid w:val="006957DB"/>
    <w:rsid w:val="0069638E"/>
    <w:rsid w:val="00696828"/>
    <w:rsid w:val="00697051"/>
    <w:rsid w:val="0069734C"/>
    <w:rsid w:val="006976F0"/>
    <w:rsid w:val="006979B6"/>
    <w:rsid w:val="006A02E6"/>
    <w:rsid w:val="006A083A"/>
    <w:rsid w:val="006A1AEB"/>
    <w:rsid w:val="006A1BE1"/>
    <w:rsid w:val="006A1CC9"/>
    <w:rsid w:val="006A1FDB"/>
    <w:rsid w:val="006A37E7"/>
    <w:rsid w:val="006A3C04"/>
    <w:rsid w:val="006A47DF"/>
    <w:rsid w:val="006A48F4"/>
    <w:rsid w:val="006A4BA7"/>
    <w:rsid w:val="006A5B69"/>
    <w:rsid w:val="006A6C03"/>
    <w:rsid w:val="006B022B"/>
    <w:rsid w:val="006B02A8"/>
    <w:rsid w:val="006B0351"/>
    <w:rsid w:val="006B1A1A"/>
    <w:rsid w:val="006B2BA3"/>
    <w:rsid w:val="006B2E6B"/>
    <w:rsid w:val="006B2EE9"/>
    <w:rsid w:val="006B59E9"/>
    <w:rsid w:val="006B62AE"/>
    <w:rsid w:val="006B635D"/>
    <w:rsid w:val="006B6EF4"/>
    <w:rsid w:val="006B6FBE"/>
    <w:rsid w:val="006B7B45"/>
    <w:rsid w:val="006B7B7E"/>
    <w:rsid w:val="006C0160"/>
    <w:rsid w:val="006C01AF"/>
    <w:rsid w:val="006C1A26"/>
    <w:rsid w:val="006C1EEB"/>
    <w:rsid w:val="006C3ACC"/>
    <w:rsid w:val="006C3FD2"/>
    <w:rsid w:val="006C483B"/>
    <w:rsid w:val="006C4841"/>
    <w:rsid w:val="006C4B58"/>
    <w:rsid w:val="006C6024"/>
    <w:rsid w:val="006C6271"/>
    <w:rsid w:val="006C634C"/>
    <w:rsid w:val="006C6A76"/>
    <w:rsid w:val="006C73C9"/>
    <w:rsid w:val="006C7F3C"/>
    <w:rsid w:val="006C7F4F"/>
    <w:rsid w:val="006D0BAF"/>
    <w:rsid w:val="006D0D74"/>
    <w:rsid w:val="006D21B7"/>
    <w:rsid w:val="006D2E88"/>
    <w:rsid w:val="006D3B03"/>
    <w:rsid w:val="006D4211"/>
    <w:rsid w:val="006D4577"/>
    <w:rsid w:val="006D54D3"/>
    <w:rsid w:val="006D57FF"/>
    <w:rsid w:val="006D584E"/>
    <w:rsid w:val="006D5EC2"/>
    <w:rsid w:val="006D6360"/>
    <w:rsid w:val="006D6520"/>
    <w:rsid w:val="006D6E3F"/>
    <w:rsid w:val="006D7877"/>
    <w:rsid w:val="006D7F31"/>
    <w:rsid w:val="006E006B"/>
    <w:rsid w:val="006E1891"/>
    <w:rsid w:val="006E3031"/>
    <w:rsid w:val="006E3538"/>
    <w:rsid w:val="006E4A76"/>
    <w:rsid w:val="006E4BAB"/>
    <w:rsid w:val="006E52AE"/>
    <w:rsid w:val="006E5BB7"/>
    <w:rsid w:val="006E5C4F"/>
    <w:rsid w:val="006E6007"/>
    <w:rsid w:val="006E6EAE"/>
    <w:rsid w:val="006E6FF7"/>
    <w:rsid w:val="006E7054"/>
    <w:rsid w:val="006E7956"/>
    <w:rsid w:val="006F0026"/>
    <w:rsid w:val="006F062E"/>
    <w:rsid w:val="006F0CDB"/>
    <w:rsid w:val="006F0FD9"/>
    <w:rsid w:val="006F1B9B"/>
    <w:rsid w:val="006F23E9"/>
    <w:rsid w:val="006F259A"/>
    <w:rsid w:val="006F25E5"/>
    <w:rsid w:val="006F29B7"/>
    <w:rsid w:val="006F31E1"/>
    <w:rsid w:val="006F3497"/>
    <w:rsid w:val="006F41DA"/>
    <w:rsid w:val="006F48EF"/>
    <w:rsid w:val="006F4C5B"/>
    <w:rsid w:val="006F4E5D"/>
    <w:rsid w:val="006F52CB"/>
    <w:rsid w:val="006F5454"/>
    <w:rsid w:val="006F572A"/>
    <w:rsid w:val="006F57DE"/>
    <w:rsid w:val="006F614A"/>
    <w:rsid w:val="006F70F7"/>
    <w:rsid w:val="007000A5"/>
    <w:rsid w:val="007003AA"/>
    <w:rsid w:val="0070047A"/>
    <w:rsid w:val="00700833"/>
    <w:rsid w:val="00701999"/>
    <w:rsid w:val="00702685"/>
    <w:rsid w:val="00702A32"/>
    <w:rsid w:val="00703893"/>
    <w:rsid w:val="00704F5D"/>
    <w:rsid w:val="00705A48"/>
    <w:rsid w:val="00705BA0"/>
    <w:rsid w:val="00706050"/>
    <w:rsid w:val="007065FB"/>
    <w:rsid w:val="00706850"/>
    <w:rsid w:val="0070721E"/>
    <w:rsid w:val="0070742B"/>
    <w:rsid w:val="00707BA5"/>
    <w:rsid w:val="00710789"/>
    <w:rsid w:val="007107B9"/>
    <w:rsid w:val="00710A58"/>
    <w:rsid w:val="00710DF2"/>
    <w:rsid w:val="007118B8"/>
    <w:rsid w:val="0071206F"/>
    <w:rsid w:val="00712B60"/>
    <w:rsid w:val="0071504F"/>
    <w:rsid w:val="00715E14"/>
    <w:rsid w:val="00716DA7"/>
    <w:rsid w:val="007171CA"/>
    <w:rsid w:val="00717CC9"/>
    <w:rsid w:val="00720006"/>
    <w:rsid w:val="007206DD"/>
    <w:rsid w:val="0072085F"/>
    <w:rsid w:val="00720909"/>
    <w:rsid w:val="00720C30"/>
    <w:rsid w:val="00721CD1"/>
    <w:rsid w:val="0072312F"/>
    <w:rsid w:val="00723970"/>
    <w:rsid w:val="007247A6"/>
    <w:rsid w:val="00725203"/>
    <w:rsid w:val="00725BBE"/>
    <w:rsid w:val="00727342"/>
    <w:rsid w:val="00727D0E"/>
    <w:rsid w:val="00727F01"/>
    <w:rsid w:val="007307AA"/>
    <w:rsid w:val="0073092A"/>
    <w:rsid w:val="007319CB"/>
    <w:rsid w:val="0073248F"/>
    <w:rsid w:val="007324D4"/>
    <w:rsid w:val="00732911"/>
    <w:rsid w:val="00732BF7"/>
    <w:rsid w:val="00733D53"/>
    <w:rsid w:val="0073450D"/>
    <w:rsid w:val="00734626"/>
    <w:rsid w:val="00735361"/>
    <w:rsid w:val="007354D8"/>
    <w:rsid w:val="00735BA0"/>
    <w:rsid w:val="00735DDF"/>
    <w:rsid w:val="00735F27"/>
    <w:rsid w:val="007368C2"/>
    <w:rsid w:val="00736B89"/>
    <w:rsid w:val="00736D7B"/>
    <w:rsid w:val="0073711D"/>
    <w:rsid w:val="00737FD3"/>
    <w:rsid w:val="007411D6"/>
    <w:rsid w:val="00741587"/>
    <w:rsid w:val="00741C6C"/>
    <w:rsid w:val="0074210F"/>
    <w:rsid w:val="007422CF"/>
    <w:rsid w:val="00743315"/>
    <w:rsid w:val="00743AD9"/>
    <w:rsid w:val="00743F7B"/>
    <w:rsid w:val="00744335"/>
    <w:rsid w:val="00744A48"/>
    <w:rsid w:val="00745262"/>
    <w:rsid w:val="00745E1D"/>
    <w:rsid w:val="00746798"/>
    <w:rsid w:val="00746FDE"/>
    <w:rsid w:val="007470B9"/>
    <w:rsid w:val="0074758D"/>
    <w:rsid w:val="007476C1"/>
    <w:rsid w:val="00750678"/>
    <w:rsid w:val="00750B45"/>
    <w:rsid w:val="00750F14"/>
    <w:rsid w:val="007511CC"/>
    <w:rsid w:val="00751443"/>
    <w:rsid w:val="00751721"/>
    <w:rsid w:val="00751A55"/>
    <w:rsid w:val="0075207E"/>
    <w:rsid w:val="00752089"/>
    <w:rsid w:val="007531A0"/>
    <w:rsid w:val="00753736"/>
    <w:rsid w:val="00754352"/>
    <w:rsid w:val="007547C9"/>
    <w:rsid w:val="00754AA7"/>
    <w:rsid w:val="0075647A"/>
    <w:rsid w:val="007568DC"/>
    <w:rsid w:val="00756A3C"/>
    <w:rsid w:val="00756C35"/>
    <w:rsid w:val="00757582"/>
    <w:rsid w:val="00761E57"/>
    <w:rsid w:val="00763236"/>
    <w:rsid w:val="00763817"/>
    <w:rsid w:val="00763C39"/>
    <w:rsid w:val="00763EE0"/>
    <w:rsid w:val="007643C0"/>
    <w:rsid w:val="00765A36"/>
    <w:rsid w:val="007661D2"/>
    <w:rsid w:val="007675FD"/>
    <w:rsid w:val="00767D58"/>
    <w:rsid w:val="007706FD"/>
    <w:rsid w:val="00770801"/>
    <w:rsid w:val="00771CD0"/>
    <w:rsid w:val="00772337"/>
    <w:rsid w:val="00774621"/>
    <w:rsid w:val="00774690"/>
    <w:rsid w:val="00774805"/>
    <w:rsid w:val="0077654B"/>
    <w:rsid w:val="00776CA7"/>
    <w:rsid w:val="00776E22"/>
    <w:rsid w:val="00781F7D"/>
    <w:rsid w:val="00782073"/>
    <w:rsid w:val="00783530"/>
    <w:rsid w:val="007844C8"/>
    <w:rsid w:val="0078467D"/>
    <w:rsid w:val="007850DE"/>
    <w:rsid w:val="00787C48"/>
    <w:rsid w:val="0079093A"/>
    <w:rsid w:val="00791133"/>
    <w:rsid w:val="00791143"/>
    <w:rsid w:val="00792223"/>
    <w:rsid w:val="007928BB"/>
    <w:rsid w:val="00792C03"/>
    <w:rsid w:val="00792D10"/>
    <w:rsid w:val="00793944"/>
    <w:rsid w:val="00793B10"/>
    <w:rsid w:val="007946AF"/>
    <w:rsid w:val="00794A68"/>
    <w:rsid w:val="007959B8"/>
    <w:rsid w:val="00795A01"/>
    <w:rsid w:val="00796717"/>
    <w:rsid w:val="00796C3B"/>
    <w:rsid w:val="00797351"/>
    <w:rsid w:val="0079743D"/>
    <w:rsid w:val="00797772"/>
    <w:rsid w:val="00797DA2"/>
    <w:rsid w:val="007A1530"/>
    <w:rsid w:val="007A17F1"/>
    <w:rsid w:val="007A1859"/>
    <w:rsid w:val="007A27A6"/>
    <w:rsid w:val="007A3259"/>
    <w:rsid w:val="007A38B9"/>
    <w:rsid w:val="007A4FCA"/>
    <w:rsid w:val="007A519B"/>
    <w:rsid w:val="007A5FED"/>
    <w:rsid w:val="007A7CFF"/>
    <w:rsid w:val="007A7D90"/>
    <w:rsid w:val="007B0039"/>
    <w:rsid w:val="007B01CF"/>
    <w:rsid w:val="007B1446"/>
    <w:rsid w:val="007B150C"/>
    <w:rsid w:val="007B20B4"/>
    <w:rsid w:val="007B3CEF"/>
    <w:rsid w:val="007B4D5C"/>
    <w:rsid w:val="007B4FFD"/>
    <w:rsid w:val="007B590C"/>
    <w:rsid w:val="007B60BD"/>
    <w:rsid w:val="007B7A92"/>
    <w:rsid w:val="007B7E9F"/>
    <w:rsid w:val="007C0C12"/>
    <w:rsid w:val="007C12E8"/>
    <w:rsid w:val="007C2CB2"/>
    <w:rsid w:val="007C2E23"/>
    <w:rsid w:val="007C3139"/>
    <w:rsid w:val="007C3565"/>
    <w:rsid w:val="007C42BB"/>
    <w:rsid w:val="007C45CA"/>
    <w:rsid w:val="007C46A0"/>
    <w:rsid w:val="007C5070"/>
    <w:rsid w:val="007C51B6"/>
    <w:rsid w:val="007C663D"/>
    <w:rsid w:val="007D008E"/>
    <w:rsid w:val="007D07C4"/>
    <w:rsid w:val="007D0AF0"/>
    <w:rsid w:val="007D224B"/>
    <w:rsid w:val="007D3A1A"/>
    <w:rsid w:val="007D4E85"/>
    <w:rsid w:val="007D50EF"/>
    <w:rsid w:val="007D5C7E"/>
    <w:rsid w:val="007D653A"/>
    <w:rsid w:val="007D676A"/>
    <w:rsid w:val="007D69E1"/>
    <w:rsid w:val="007D6A1E"/>
    <w:rsid w:val="007E0064"/>
    <w:rsid w:val="007E0102"/>
    <w:rsid w:val="007E04A2"/>
    <w:rsid w:val="007E09E9"/>
    <w:rsid w:val="007E0A8F"/>
    <w:rsid w:val="007E0B3E"/>
    <w:rsid w:val="007E12A2"/>
    <w:rsid w:val="007E12D3"/>
    <w:rsid w:val="007E13EB"/>
    <w:rsid w:val="007E2155"/>
    <w:rsid w:val="007E2310"/>
    <w:rsid w:val="007E3446"/>
    <w:rsid w:val="007E3FA7"/>
    <w:rsid w:val="007E4D1E"/>
    <w:rsid w:val="007E66D0"/>
    <w:rsid w:val="007E6835"/>
    <w:rsid w:val="007E6F46"/>
    <w:rsid w:val="007F04B2"/>
    <w:rsid w:val="007F095D"/>
    <w:rsid w:val="007F1DAE"/>
    <w:rsid w:val="007F24B9"/>
    <w:rsid w:val="007F26C7"/>
    <w:rsid w:val="007F3388"/>
    <w:rsid w:val="007F347D"/>
    <w:rsid w:val="007F3571"/>
    <w:rsid w:val="007F497A"/>
    <w:rsid w:val="007F4D6C"/>
    <w:rsid w:val="007F5CA4"/>
    <w:rsid w:val="007F5CF0"/>
    <w:rsid w:val="007F5DC6"/>
    <w:rsid w:val="007F5EAC"/>
    <w:rsid w:val="007F6251"/>
    <w:rsid w:val="007F6461"/>
    <w:rsid w:val="007F6BAE"/>
    <w:rsid w:val="007F6F77"/>
    <w:rsid w:val="007F7B5C"/>
    <w:rsid w:val="007F7D2F"/>
    <w:rsid w:val="00801B8F"/>
    <w:rsid w:val="0080256F"/>
    <w:rsid w:val="00802BF1"/>
    <w:rsid w:val="00802FF1"/>
    <w:rsid w:val="008034DB"/>
    <w:rsid w:val="008041E6"/>
    <w:rsid w:val="008041FF"/>
    <w:rsid w:val="00805D68"/>
    <w:rsid w:val="00806471"/>
    <w:rsid w:val="00807263"/>
    <w:rsid w:val="0080751A"/>
    <w:rsid w:val="0080752D"/>
    <w:rsid w:val="00807F81"/>
    <w:rsid w:val="0081226D"/>
    <w:rsid w:val="00812349"/>
    <w:rsid w:val="008123CB"/>
    <w:rsid w:val="00812892"/>
    <w:rsid w:val="008129F2"/>
    <w:rsid w:val="008137C4"/>
    <w:rsid w:val="00813B83"/>
    <w:rsid w:val="008150EA"/>
    <w:rsid w:val="0081516B"/>
    <w:rsid w:val="00815355"/>
    <w:rsid w:val="00815C9B"/>
    <w:rsid w:val="00815EF5"/>
    <w:rsid w:val="00816175"/>
    <w:rsid w:val="008161FD"/>
    <w:rsid w:val="00816809"/>
    <w:rsid w:val="00817C2F"/>
    <w:rsid w:val="00820059"/>
    <w:rsid w:val="00820AAF"/>
    <w:rsid w:val="00820D3A"/>
    <w:rsid w:val="00821900"/>
    <w:rsid w:val="00821A21"/>
    <w:rsid w:val="00821B0A"/>
    <w:rsid w:val="00821D52"/>
    <w:rsid w:val="00822140"/>
    <w:rsid w:val="00822285"/>
    <w:rsid w:val="00822350"/>
    <w:rsid w:val="00822352"/>
    <w:rsid w:val="008228D5"/>
    <w:rsid w:val="00823081"/>
    <w:rsid w:val="0082315F"/>
    <w:rsid w:val="00824223"/>
    <w:rsid w:val="0082471D"/>
    <w:rsid w:val="00824957"/>
    <w:rsid w:val="00824986"/>
    <w:rsid w:val="00824FA1"/>
    <w:rsid w:val="00825E5A"/>
    <w:rsid w:val="00826135"/>
    <w:rsid w:val="0082623F"/>
    <w:rsid w:val="0082649C"/>
    <w:rsid w:val="00827A57"/>
    <w:rsid w:val="00830BFA"/>
    <w:rsid w:val="00831827"/>
    <w:rsid w:val="008318D7"/>
    <w:rsid w:val="0083217B"/>
    <w:rsid w:val="00833015"/>
    <w:rsid w:val="0083304A"/>
    <w:rsid w:val="0083382A"/>
    <w:rsid w:val="00834071"/>
    <w:rsid w:val="008342FB"/>
    <w:rsid w:val="0083555E"/>
    <w:rsid w:val="00837874"/>
    <w:rsid w:val="008409CC"/>
    <w:rsid w:val="00840BAF"/>
    <w:rsid w:val="008423A6"/>
    <w:rsid w:val="00842B65"/>
    <w:rsid w:val="00842CFE"/>
    <w:rsid w:val="00843259"/>
    <w:rsid w:val="0084352C"/>
    <w:rsid w:val="00844B24"/>
    <w:rsid w:val="00845105"/>
    <w:rsid w:val="008465BB"/>
    <w:rsid w:val="008472A2"/>
    <w:rsid w:val="0085169E"/>
    <w:rsid w:val="00851C15"/>
    <w:rsid w:val="008523F3"/>
    <w:rsid w:val="00852846"/>
    <w:rsid w:val="0085398C"/>
    <w:rsid w:val="00853EF1"/>
    <w:rsid w:val="0085419D"/>
    <w:rsid w:val="008541D3"/>
    <w:rsid w:val="0085445A"/>
    <w:rsid w:val="00854BF1"/>
    <w:rsid w:val="00855207"/>
    <w:rsid w:val="00855270"/>
    <w:rsid w:val="008558F8"/>
    <w:rsid w:val="00855984"/>
    <w:rsid w:val="00857C2E"/>
    <w:rsid w:val="008600F0"/>
    <w:rsid w:val="008601F7"/>
    <w:rsid w:val="00860B35"/>
    <w:rsid w:val="00860EF7"/>
    <w:rsid w:val="00861A9E"/>
    <w:rsid w:val="008626B5"/>
    <w:rsid w:val="00862779"/>
    <w:rsid w:val="00862CE5"/>
    <w:rsid w:val="00863D5F"/>
    <w:rsid w:val="00863E40"/>
    <w:rsid w:val="00863E6E"/>
    <w:rsid w:val="0086406C"/>
    <w:rsid w:val="0086426F"/>
    <w:rsid w:val="008642EA"/>
    <w:rsid w:val="00864396"/>
    <w:rsid w:val="008648B1"/>
    <w:rsid w:val="00864CEE"/>
    <w:rsid w:val="00865929"/>
    <w:rsid w:val="00867467"/>
    <w:rsid w:val="00867A31"/>
    <w:rsid w:val="00870520"/>
    <w:rsid w:val="008707D7"/>
    <w:rsid w:val="00872366"/>
    <w:rsid w:val="008725E4"/>
    <w:rsid w:val="00872FAD"/>
    <w:rsid w:val="008730D2"/>
    <w:rsid w:val="00873286"/>
    <w:rsid w:val="00873657"/>
    <w:rsid w:val="0087400B"/>
    <w:rsid w:val="0087440C"/>
    <w:rsid w:val="00874C19"/>
    <w:rsid w:val="00875114"/>
    <w:rsid w:val="008753AD"/>
    <w:rsid w:val="00875AFE"/>
    <w:rsid w:val="00875F91"/>
    <w:rsid w:val="00876985"/>
    <w:rsid w:val="00876A95"/>
    <w:rsid w:val="00876B69"/>
    <w:rsid w:val="00877AA9"/>
    <w:rsid w:val="008801C4"/>
    <w:rsid w:val="0088027D"/>
    <w:rsid w:val="008814F0"/>
    <w:rsid w:val="00881B29"/>
    <w:rsid w:val="00881C9D"/>
    <w:rsid w:val="00881F1B"/>
    <w:rsid w:val="00883438"/>
    <w:rsid w:val="008837C5"/>
    <w:rsid w:val="00883A24"/>
    <w:rsid w:val="00884D6F"/>
    <w:rsid w:val="00885BE9"/>
    <w:rsid w:val="008868D1"/>
    <w:rsid w:val="008873C5"/>
    <w:rsid w:val="00887437"/>
    <w:rsid w:val="0088749C"/>
    <w:rsid w:val="00887C19"/>
    <w:rsid w:val="00887C8B"/>
    <w:rsid w:val="00887E81"/>
    <w:rsid w:val="008903B0"/>
    <w:rsid w:val="008907D3"/>
    <w:rsid w:val="008908AD"/>
    <w:rsid w:val="0089115F"/>
    <w:rsid w:val="0089174E"/>
    <w:rsid w:val="00891E6D"/>
    <w:rsid w:val="00891FFC"/>
    <w:rsid w:val="00892127"/>
    <w:rsid w:val="00894CE2"/>
    <w:rsid w:val="00895BA7"/>
    <w:rsid w:val="00895BCD"/>
    <w:rsid w:val="00895C33"/>
    <w:rsid w:val="00895EAD"/>
    <w:rsid w:val="00895EFD"/>
    <w:rsid w:val="00896D8A"/>
    <w:rsid w:val="008A0515"/>
    <w:rsid w:val="008A054E"/>
    <w:rsid w:val="008A074C"/>
    <w:rsid w:val="008A1ED6"/>
    <w:rsid w:val="008A2539"/>
    <w:rsid w:val="008A3343"/>
    <w:rsid w:val="008A38AE"/>
    <w:rsid w:val="008A4688"/>
    <w:rsid w:val="008A4969"/>
    <w:rsid w:val="008A4A3C"/>
    <w:rsid w:val="008A5036"/>
    <w:rsid w:val="008A58E0"/>
    <w:rsid w:val="008B07B3"/>
    <w:rsid w:val="008B0BD1"/>
    <w:rsid w:val="008B0E7D"/>
    <w:rsid w:val="008B24CA"/>
    <w:rsid w:val="008B257A"/>
    <w:rsid w:val="008B2B82"/>
    <w:rsid w:val="008B3365"/>
    <w:rsid w:val="008B4034"/>
    <w:rsid w:val="008B4602"/>
    <w:rsid w:val="008B4B6A"/>
    <w:rsid w:val="008B4D3C"/>
    <w:rsid w:val="008B5192"/>
    <w:rsid w:val="008B5333"/>
    <w:rsid w:val="008B5D53"/>
    <w:rsid w:val="008B60E6"/>
    <w:rsid w:val="008B7F3D"/>
    <w:rsid w:val="008B7F88"/>
    <w:rsid w:val="008C1539"/>
    <w:rsid w:val="008C1962"/>
    <w:rsid w:val="008C27CF"/>
    <w:rsid w:val="008C284D"/>
    <w:rsid w:val="008C2D32"/>
    <w:rsid w:val="008C3143"/>
    <w:rsid w:val="008C328D"/>
    <w:rsid w:val="008C33E1"/>
    <w:rsid w:val="008C38A8"/>
    <w:rsid w:val="008C3B27"/>
    <w:rsid w:val="008C4A7C"/>
    <w:rsid w:val="008C512F"/>
    <w:rsid w:val="008C5163"/>
    <w:rsid w:val="008C5225"/>
    <w:rsid w:val="008C63C3"/>
    <w:rsid w:val="008C6539"/>
    <w:rsid w:val="008C6976"/>
    <w:rsid w:val="008C6DDF"/>
    <w:rsid w:val="008C6F26"/>
    <w:rsid w:val="008C7830"/>
    <w:rsid w:val="008C7B77"/>
    <w:rsid w:val="008D0200"/>
    <w:rsid w:val="008D159E"/>
    <w:rsid w:val="008D16E0"/>
    <w:rsid w:val="008D1912"/>
    <w:rsid w:val="008D2189"/>
    <w:rsid w:val="008D2437"/>
    <w:rsid w:val="008D29F2"/>
    <w:rsid w:val="008D3159"/>
    <w:rsid w:val="008D3176"/>
    <w:rsid w:val="008D31C3"/>
    <w:rsid w:val="008D38AC"/>
    <w:rsid w:val="008D40EE"/>
    <w:rsid w:val="008D42DC"/>
    <w:rsid w:val="008D550E"/>
    <w:rsid w:val="008D58BF"/>
    <w:rsid w:val="008D63B1"/>
    <w:rsid w:val="008D65ED"/>
    <w:rsid w:val="008D66C1"/>
    <w:rsid w:val="008D6A6B"/>
    <w:rsid w:val="008D6D28"/>
    <w:rsid w:val="008D6F01"/>
    <w:rsid w:val="008D7D35"/>
    <w:rsid w:val="008D7E8A"/>
    <w:rsid w:val="008E0053"/>
    <w:rsid w:val="008E0D78"/>
    <w:rsid w:val="008E0DC3"/>
    <w:rsid w:val="008E1411"/>
    <w:rsid w:val="008E1F21"/>
    <w:rsid w:val="008E2322"/>
    <w:rsid w:val="008E2CC2"/>
    <w:rsid w:val="008E395A"/>
    <w:rsid w:val="008E4747"/>
    <w:rsid w:val="008E4909"/>
    <w:rsid w:val="008E4B48"/>
    <w:rsid w:val="008E55B7"/>
    <w:rsid w:val="008E59F5"/>
    <w:rsid w:val="008E7596"/>
    <w:rsid w:val="008F08C7"/>
    <w:rsid w:val="008F13B6"/>
    <w:rsid w:val="008F1775"/>
    <w:rsid w:val="008F1BC5"/>
    <w:rsid w:val="008F24C6"/>
    <w:rsid w:val="008F3021"/>
    <w:rsid w:val="008F3D05"/>
    <w:rsid w:val="008F43D6"/>
    <w:rsid w:val="008F4924"/>
    <w:rsid w:val="008F56E3"/>
    <w:rsid w:val="008F58CE"/>
    <w:rsid w:val="008F598A"/>
    <w:rsid w:val="008F6E59"/>
    <w:rsid w:val="008F756C"/>
    <w:rsid w:val="008F774C"/>
    <w:rsid w:val="008F7A5F"/>
    <w:rsid w:val="008F7E41"/>
    <w:rsid w:val="009001EE"/>
    <w:rsid w:val="00901302"/>
    <w:rsid w:val="00901BB6"/>
    <w:rsid w:val="00901F77"/>
    <w:rsid w:val="00902515"/>
    <w:rsid w:val="00902C48"/>
    <w:rsid w:val="00903C62"/>
    <w:rsid w:val="00903F0C"/>
    <w:rsid w:val="00903FCB"/>
    <w:rsid w:val="00904DC6"/>
    <w:rsid w:val="00906BFC"/>
    <w:rsid w:val="00907D56"/>
    <w:rsid w:val="00910B0D"/>
    <w:rsid w:val="00911BD4"/>
    <w:rsid w:val="0091365C"/>
    <w:rsid w:val="00913946"/>
    <w:rsid w:val="00913D35"/>
    <w:rsid w:val="00914284"/>
    <w:rsid w:val="00914895"/>
    <w:rsid w:val="00914D7A"/>
    <w:rsid w:val="009153D2"/>
    <w:rsid w:val="00915406"/>
    <w:rsid w:val="009154B3"/>
    <w:rsid w:val="00915772"/>
    <w:rsid w:val="0091608B"/>
    <w:rsid w:val="0091626F"/>
    <w:rsid w:val="00916AE8"/>
    <w:rsid w:val="0091791E"/>
    <w:rsid w:val="00917EBE"/>
    <w:rsid w:val="00920B88"/>
    <w:rsid w:val="00920D1B"/>
    <w:rsid w:val="00921037"/>
    <w:rsid w:val="0092199A"/>
    <w:rsid w:val="0092242C"/>
    <w:rsid w:val="009224AC"/>
    <w:rsid w:val="0092291F"/>
    <w:rsid w:val="00922EDC"/>
    <w:rsid w:val="009244F2"/>
    <w:rsid w:val="009246A5"/>
    <w:rsid w:val="00925113"/>
    <w:rsid w:val="00925DE2"/>
    <w:rsid w:val="0092609D"/>
    <w:rsid w:val="00927005"/>
    <w:rsid w:val="00927329"/>
    <w:rsid w:val="00930077"/>
    <w:rsid w:val="009306E5"/>
    <w:rsid w:val="009314D7"/>
    <w:rsid w:val="009316CE"/>
    <w:rsid w:val="00932501"/>
    <w:rsid w:val="00934BDB"/>
    <w:rsid w:val="00934CE9"/>
    <w:rsid w:val="00935BC6"/>
    <w:rsid w:val="00936830"/>
    <w:rsid w:val="00936921"/>
    <w:rsid w:val="00937175"/>
    <w:rsid w:val="00937A27"/>
    <w:rsid w:val="00937CF8"/>
    <w:rsid w:val="00940DA0"/>
    <w:rsid w:val="00943C55"/>
    <w:rsid w:val="00943DD3"/>
    <w:rsid w:val="00944989"/>
    <w:rsid w:val="00945E50"/>
    <w:rsid w:val="00946BDA"/>
    <w:rsid w:val="009474FF"/>
    <w:rsid w:val="009477C4"/>
    <w:rsid w:val="00947C1D"/>
    <w:rsid w:val="00950C5D"/>
    <w:rsid w:val="00951836"/>
    <w:rsid w:val="0095190C"/>
    <w:rsid w:val="00953725"/>
    <w:rsid w:val="009538B8"/>
    <w:rsid w:val="00953D0D"/>
    <w:rsid w:val="009548A6"/>
    <w:rsid w:val="009550E2"/>
    <w:rsid w:val="00955BEE"/>
    <w:rsid w:val="00955FC9"/>
    <w:rsid w:val="00956443"/>
    <w:rsid w:val="009603F4"/>
    <w:rsid w:val="009605CF"/>
    <w:rsid w:val="009614CE"/>
    <w:rsid w:val="00961987"/>
    <w:rsid w:val="00961AAD"/>
    <w:rsid w:val="00961B39"/>
    <w:rsid w:val="0096267E"/>
    <w:rsid w:val="00963237"/>
    <w:rsid w:val="00964891"/>
    <w:rsid w:val="009648E8"/>
    <w:rsid w:val="00964D92"/>
    <w:rsid w:val="009652DA"/>
    <w:rsid w:val="00965A88"/>
    <w:rsid w:val="00966B08"/>
    <w:rsid w:val="00966C77"/>
    <w:rsid w:val="00966C79"/>
    <w:rsid w:val="00967120"/>
    <w:rsid w:val="00967DF4"/>
    <w:rsid w:val="00970377"/>
    <w:rsid w:val="0097107C"/>
    <w:rsid w:val="009711B9"/>
    <w:rsid w:val="00972347"/>
    <w:rsid w:val="00972748"/>
    <w:rsid w:val="00973F76"/>
    <w:rsid w:val="009747A6"/>
    <w:rsid w:val="00974A66"/>
    <w:rsid w:val="00974BF8"/>
    <w:rsid w:val="00974CD2"/>
    <w:rsid w:val="00975C68"/>
    <w:rsid w:val="00975FFC"/>
    <w:rsid w:val="00976DE8"/>
    <w:rsid w:val="0097759E"/>
    <w:rsid w:val="00980794"/>
    <w:rsid w:val="00980BD7"/>
    <w:rsid w:val="00980E55"/>
    <w:rsid w:val="0098108A"/>
    <w:rsid w:val="00981BEF"/>
    <w:rsid w:val="00981F4A"/>
    <w:rsid w:val="009820F0"/>
    <w:rsid w:val="00982614"/>
    <w:rsid w:val="00982969"/>
    <w:rsid w:val="00982A0E"/>
    <w:rsid w:val="00984710"/>
    <w:rsid w:val="00984C7D"/>
    <w:rsid w:val="00985050"/>
    <w:rsid w:val="0098584D"/>
    <w:rsid w:val="00986021"/>
    <w:rsid w:val="0098613A"/>
    <w:rsid w:val="00986763"/>
    <w:rsid w:val="00986DD9"/>
    <w:rsid w:val="009872C0"/>
    <w:rsid w:val="009873F6"/>
    <w:rsid w:val="00987995"/>
    <w:rsid w:val="00991C5F"/>
    <w:rsid w:val="009926DF"/>
    <w:rsid w:val="00993575"/>
    <w:rsid w:val="00993A20"/>
    <w:rsid w:val="00994662"/>
    <w:rsid w:val="00994677"/>
    <w:rsid w:val="009946D8"/>
    <w:rsid w:val="009952FB"/>
    <w:rsid w:val="00995606"/>
    <w:rsid w:val="0099628B"/>
    <w:rsid w:val="00996F8A"/>
    <w:rsid w:val="009A10AF"/>
    <w:rsid w:val="009A25D6"/>
    <w:rsid w:val="009A2E4A"/>
    <w:rsid w:val="009A4F3D"/>
    <w:rsid w:val="009A532D"/>
    <w:rsid w:val="009A5414"/>
    <w:rsid w:val="009A5E8A"/>
    <w:rsid w:val="009A6A30"/>
    <w:rsid w:val="009A79DA"/>
    <w:rsid w:val="009B0854"/>
    <w:rsid w:val="009B08F5"/>
    <w:rsid w:val="009B0AD4"/>
    <w:rsid w:val="009B1CD5"/>
    <w:rsid w:val="009B200B"/>
    <w:rsid w:val="009B24A5"/>
    <w:rsid w:val="009B2560"/>
    <w:rsid w:val="009B29AD"/>
    <w:rsid w:val="009B2EC2"/>
    <w:rsid w:val="009B31DB"/>
    <w:rsid w:val="009B3408"/>
    <w:rsid w:val="009B3D5A"/>
    <w:rsid w:val="009B4301"/>
    <w:rsid w:val="009B5682"/>
    <w:rsid w:val="009B7069"/>
    <w:rsid w:val="009B72C6"/>
    <w:rsid w:val="009B730F"/>
    <w:rsid w:val="009B74D5"/>
    <w:rsid w:val="009B7779"/>
    <w:rsid w:val="009B7D47"/>
    <w:rsid w:val="009C0034"/>
    <w:rsid w:val="009C0E52"/>
    <w:rsid w:val="009C0ECC"/>
    <w:rsid w:val="009C1BBA"/>
    <w:rsid w:val="009C1F4A"/>
    <w:rsid w:val="009C1FF0"/>
    <w:rsid w:val="009C2232"/>
    <w:rsid w:val="009C3084"/>
    <w:rsid w:val="009C312A"/>
    <w:rsid w:val="009C321A"/>
    <w:rsid w:val="009C4214"/>
    <w:rsid w:val="009C4216"/>
    <w:rsid w:val="009C5060"/>
    <w:rsid w:val="009C54DF"/>
    <w:rsid w:val="009C5B09"/>
    <w:rsid w:val="009C63AB"/>
    <w:rsid w:val="009C6AA8"/>
    <w:rsid w:val="009C74FA"/>
    <w:rsid w:val="009D0258"/>
    <w:rsid w:val="009D050D"/>
    <w:rsid w:val="009D0684"/>
    <w:rsid w:val="009D3294"/>
    <w:rsid w:val="009D35EE"/>
    <w:rsid w:val="009D42E7"/>
    <w:rsid w:val="009D49ED"/>
    <w:rsid w:val="009D4A7B"/>
    <w:rsid w:val="009D4F12"/>
    <w:rsid w:val="009D7296"/>
    <w:rsid w:val="009D75EB"/>
    <w:rsid w:val="009D7725"/>
    <w:rsid w:val="009D78C3"/>
    <w:rsid w:val="009E02AF"/>
    <w:rsid w:val="009E07DA"/>
    <w:rsid w:val="009E160F"/>
    <w:rsid w:val="009E1BE8"/>
    <w:rsid w:val="009E2166"/>
    <w:rsid w:val="009E235B"/>
    <w:rsid w:val="009E2DD5"/>
    <w:rsid w:val="009E3869"/>
    <w:rsid w:val="009E3A81"/>
    <w:rsid w:val="009E3BFF"/>
    <w:rsid w:val="009E439C"/>
    <w:rsid w:val="009E5AC4"/>
    <w:rsid w:val="009E6096"/>
    <w:rsid w:val="009E6A48"/>
    <w:rsid w:val="009E6A73"/>
    <w:rsid w:val="009E6C36"/>
    <w:rsid w:val="009E7641"/>
    <w:rsid w:val="009F0D9B"/>
    <w:rsid w:val="009F3A36"/>
    <w:rsid w:val="009F3F48"/>
    <w:rsid w:val="009F52FA"/>
    <w:rsid w:val="009F6368"/>
    <w:rsid w:val="009F69B8"/>
    <w:rsid w:val="009F725D"/>
    <w:rsid w:val="009F76A8"/>
    <w:rsid w:val="009F78B1"/>
    <w:rsid w:val="009F7B6E"/>
    <w:rsid w:val="00A00795"/>
    <w:rsid w:val="00A00D80"/>
    <w:rsid w:val="00A010F7"/>
    <w:rsid w:val="00A0177A"/>
    <w:rsid w:val="00A01A75"/>
    <w:rsid w:val="00A04420"/>
    <w:rsid w:val="00A04488"/>
    <w:rsid w:val="00A04CEC"/>
    <w:rsid w:val="00A04E86"/>
    <w:rsid w:val="00A04F5B"/>
    <w:rsid w:val="00A052F6"/>
    <w:rsid w:val="00A0580B"/>
    <w:rsid w:val="00A070D6"/>
    <w:rsid w:val="00A072A3"/>
    <w:rsid w:val="00A0755D"/>
    <w:rsid w:val="00A0790A"/>
    <w:rsid w:val="00A106DC"/>
    <w:rsid w:val="00A10E92"/>
    <w:rsid w:val="00A10EA0"/>
    <w:rsid w:val="00A1226F"/>
    <w:rsid w:val="00A12484"/>
    <w:rsid w:val="00A12735"/>
    <w:rsid w:val="00A12F3F"/>
    <w:rsid w:val="00A13244"/>
    <w:rsid w:val="00A1468E"/>
    <w:rsid w:val="00A15C66"/>
    <w:rsid w:val="00A173F4"/>
    <w:rsid w:val="00A17641"/>
    <w:rsid w:val="00A17B6F"/>
    <w:rsid w:val="00A21A30"/>
    <w:rsid w:val="00A21EA6"/>
    <w:rsid w:val="00A22630"/>
    <w:rsid w:val="00A23897"/>
    <w:rsid w:val="00A23A90"/>
    <w:rsid w:val="00A23DF0"/>
    <w:rsid w:val="00A24F48"/>
    <w:rsid w:val="00A25923"/>
    <w:rsid w:val="00A25C8C"/>
    <w:rsid w:val="00A25D30"/>
    <w:rsid w:val="00A25FC1"/>
    <w:rsid w:val="00A26356"/>
    <w:rsid w:val="00A2641E"/>
    <w:rsid w:val="00A26661"/>
    <w:rsid w:val="00A26ADA"/>
    <w:rsid w:val="00A26D3E"/>
    <w:rsid w:val="00A27EF0"/>
    <w:rsid w:val="00A304CB"/>
    <w:rsid w:val="00A30B55"/>
    <w:rsid w:val="00A31364"/>
    <w:rsid w:val="00A32D1B"/>
    <w:rsid w:val="00A3321C"/>
    <w:rsid w:val="00A334E1"/>
    <w:rsid w:val="00A3371D"/>
    <w:rsid w:val="00A339BC"/>
    <w:rsid w:val="00A346FE"/>
    <w:rsid w:val="00A34F6D"/>
    <w:rsid w:val="00A355C0"/>
    <w:rsid w:val="00A356A1"/>
    <w:rsid w:val="00A356C2"/>
    <w:rsid w:val="00A35A77"/>
    <w:rsid w:val="00A36208"/>
    <w:rsid w:val="00A36DAF"/>
    <w:rsid w:val="00A3726B"/>
    <w:rsid w:val="00A4060F"/>
    <w:rsid w:val="00A40BEE"/>
    <w:rsid w:val="00A41843"/>
    <w:rsid w:val="00A418E0"/>
    <w:rsid w:val="00A41FB8"/>
    <w:rsid w:val="00A4392D"/>
    <w:rsid w:val="00A43ABE"/>
    <w:rsid w:val="00A44B84"/>
    <w:rsid w:val="00A44FB7"/>
    <w:rsid w:val="00A4522B"/>
    <w:rsid w:val="00A45BD0"/>
    <w:rsid w:val="00A460AD"/>
    <w:rsid w:val="00A47004"/>
    <w:rsid w:val="00A47B5E"/>
    <w:rsid w:val="00A47C5A"/>
    <w:rsid w:val="00A47F42"/>
    <w:rsid w:val="00A508EF"/>
    <w:rsid w:val="00A50EF6"/>
    <w:rsid w:val="00A51B6C"/>
    <w:rsid w:val="00A51FEF"/>
    <w:rsid w:val="00A52F9D"/>
    <w:rsid w:val="00A530CC"/>
    <w:rsid w:val="00A53289"/>
    <w:rsid w:val="00A53439"/>
    <w:rsid w:val="00A5404D"/>
    <w:rsid w:val="00A54623"/>
    <w:rsid w:val="00A5472C"/>
    <w:rsid w:val="00A54D59"/>
    <w:rsid w:val="00A566A4"/>
    <w:rsid w:val="00A56A4E"/>
    <w:rsid w:val="00A57023"/>
    <w:rsid w:val="00A57417"/>
    <w:rsid w:val="00A57587"/>
    <w:rsid w:val="00A6032A"/>
    <w:rsid w:val="00A61374"/>
    <w:rsid w:val="00A6144D"/>
    <w:rsid w:val="00A61FED"/>
    <w:rsid w:val="00A621D8"/>
    <w:rsid w:val="00A62237"/>
    <w:rsid w:val="00A63646"/>
    <w:rsid w:val="00A64B38"/>
    <w:rsid w:val="00A7074B"/>
    <w:rsid w:val="00A7089F"/>
    <w:rsid w:val="00A70B44"/>
    <w:rsid w:val="00A741B7"/>
    <w:rsid w:val="00A74457"/>
    <w:rsid w:val="00A746B2"/>
    <w:rsid w:val="00A75596"/>
    <w:rsid w:val="00A75725"/>
    <w:rsid w:val="00A76CE6"/>
    <w:rsid w:val="00A76EF5"/>
    <w:rsid w:val="00A77380"/>
    <w:rsid w:val="00A77492"/>
    <w:rsid w:val="00A77843"/>
    <w:rsid w:val="00A779AA"/>
    <w:rsid w:val="00A779DC"/>
    <w:rsid w:val="00A800E4"/>
    <w:rsid w:val="00A8052C"/>
    <w:rsid w:val="00A80E0A"/>
    <w:rsid w:val="00A811C7"/>
    <w:rsid w:val="00A811F1"/>
    <w:rsid w:val="00A81F01"/>
    <w:rsid w:val="00A81F12"/>
    <w:rsid w:val="00A828BD"/>
    <w:rsid w:val="00A8295C"/>
    <w:rsid w:val="00A82B61"/>
    <w:rsid w:val="00A83122"/>
    <w:rsid w:val="00A832B2"/>
    <w:rsid w:val="00A83729"/>
    <w:rsid w:val="00A83C57"/>
    <w:rsid w:val="00A84526"/>
    <w:rsid w:val="00A845EF"/>
    <w:rsid w:val="00A846F6"/>
    <w:rsid w:val="00A849C8"/>
    <w:rsid w:val="00A869E0"/>
    <w:rsid w:val="00A86EA4"/>
    <w:rsid w:val="00A87747"/>
    <w:rsid w:val="00A879A9"/>
    <w:rsid w:val="00A879E7"/>
    <w:rsid w:val="00A87AAF"/>
    <w:rsid w:val="00A87DC2"/>
    <w:rsid w:val="00A90EC0"/>
    <w:rsid w:val="00A91855"/>
    <w:rsid w:val="00A9208D"/>
    <w:rsid w:val="00A92130"/>
    <w:rsid w:val="00A924FE"/>
    <w:rsid w:val="00A92D03"/>
    <w:rsid w:val="00A937C1"/>
    <w:rsid w:val="00A9390B"/>
    <w:rsid w:val="00A93C6D"/>
    <w:rsid w:val="00A94AF2"/>
    <w:rsid w:val="00A95A3B"/>
    <w:rsid w:val="00A95EAC"/>
    <w:rsid w:val="00A96186"/>
    <w:rsid w:val="00A970CE"/>
    <w:rsid w:val="00AA027A"/>
    <w:rsid w:val="00AA0338"/>
    <w:rsid w:val="00AA1004"/>
    <w:rsid w:val="00AA1F1C"/>
    <w:rsid w:val="00AA22B8"/>
    <w:rsid w:val="00AA2828"/>
    <w:rsid w:val="00AA2E8F"/>
    <w:rsid w:val="00AA3566"/>
    <w:rsid w:val="00AA3A2D"/>
    <w:rsid w:val="00AA4E19"/>
    <w:rsid w:val="00AA4FD5"/>
    <w:rsid w:val="00AA5820"/>
    <w:rsid w:val="00AA5C95"/>
    <w:rsid w:val="00AA5E71"/>
    <w:rsid w:val="00AA60F6"/>
    <w:rsid w:val="00AA61AE"/>
    <w:rsid w:val="00AA643C"/>
    <w:rsid w:val="00AA66B7"/>
    <w:rsid w:val="00AA6988"/>
    <w:rsid w:val="00AA6DA7"/>
    <w:rsid w:val="00AA760A"/>
    <w:rsid w:val="00AB0371"/>
    <w:rsid w:val="00AB0C46"/>
    <w:rsid w:val="00AB123E"/>
    <w:rsid w:val="00AB1712"/>
    <w:rsid w:val="00AB1DD0"/>
    <w:rsid w:val="00AB23EF"/>
    <w:rsid w:val="00AB2672"/>
    <w:rsid w:val="00AB2D89"/>
    <w:rsid w:val="00AB2E39"/>
    <w:rsid w:val="00AB3346"/>
    <w:rsid w:val="00AB3540"/>
    <w:rsid w:val="00AB38B9"/>
    <w:rsid w:val="00AB3E59"/>
    <w:rsid w:val="00AB4E8F"/>
    <w:rsid w:val="00AB656B"/>
    <w:rsid w:val="00AB6995"/>
    <w:rsid w:val="00AB6EA2"/>
    <w:rsid w:val="00AB7C3C"/>
    <w:rsid w:val="00AC14E3"/>
    <w:rsid w:val="00AC169A"/>
    <w:rsid w:val="00AC1D6D"/>
    <w:rsid w:val="00AC2031"/>
    <w:rsid w:val="00AC292E"/>
    <w:rsid w:val="00AC2AC3"/>
    <w:rsid w:val="00AC2C4F"/>
    <w:rsid w:val="00AC2F72"/>
    <w:rsid w:val="00AC3001"/>
    <w:rsid w:val="00AC31FD"/>
    <w:rsid w:val="00AC3A0B"/>
    <w:rsid w:val="00AC3A3E"/>
    <w:rsid w:val="00AC4120"/>
    <w:rsid w:val="00AC4FBD"/>
    <w:rsid w:val="00AC5849"/>
    <w:rsid w:val="00AC5992"/>
    <w:rsid w:val="00AC7149"/>
    <w:rsid w:val="00AC775B"/>
    <w:rsid w:val="00AC7A60"/>
    <w:rsid w:val="00AC7BBA"/>
    <w:rsid w:val="00AC7C89"/>
    <w:rsid w:val="00AD0228"/>
    <w:rsid w:val="00AD0759"/>
    <w:rsid w:val="00AD0963"/>
    <w:rsid w:val="00AD0A53"/>
    <w:rsid w:val="00AD0EB2"/>
    <w:rsid w:val="00AD1747"/>
    <w:rsid w:val="00AD1ED6"/>
    <w:rsid w:val="00AD2603"/>
    <w:rsid w:val="00AD3F86"/>
    <w:rsid w:val="00AD3FEC"/>
    <w:rsid w:val="00AD436B"/>
    <w:rsid w:val="00AD4669"/>
    <w:rsid w:val="00AD48A7"/>
    <w:rsid w:val="00AD4D89"/>
    <w:rsid w:val="00AD5B41"/>
    <w:rsid w:val="00AD5BE4"/>
    <w:rsid w:val="00AD6007"/>
    <w:rsid w:val="00AD6C79"/>
    <w:rsid w:val="00AD7D74"/>
    <w:rsid w:val="00AD7DAC"/>
    <w:rsid w:val="00AE0069"/>
    <w:rsid w:val="00AE0369"/>
    <w:rsid w:val="00AE03D8"/>
    <w:rsid w:val="00AE0C02"/>
    <w:rsid w:val="00AE3346"/>
    <w:rsid w:val="00AE3B11"/>
    <w:rsid w:val="00AE3CE8"/>
    <w:rsid w:val="00AE3E87"/>
    <w:rsid w:val="00AE41F0"/>
    <w:rsid w:val="00AE431C"/>
    <w:rsid w:val="00AE4FA1"/>
    <w:rsid w:val="00AE7278"/>
    <w:rsid w:val="00AE75E7"/>
    <w:rsid w:val="00AE7799"/>
    <w:rsid w:val="00AF089B"/>
    <w:rsid w:val="00AF123C"/>
    <w:rsid w:val="00AF2C52"/>
    <w:rsid w:val="00AF3057"/>
    <w:rsid w:val="00AF3412"/>
    <w:rsid w:val="00AF34DB"/>
    <w:rsid w:val="00AF3B6C"/>
    <w:rsid w:val="00AF4359"/>
    <w:rsid w:val="00AF520E"/>
    <w:rsid w:val="00AF547D"/>
    <w:rsid w:val="00AF5634"/>
    <w:rsid w:val="00AF56A5"/>
    <w:rsid w:val="00AF5EEE"/>
    <w:rsid w:val="00AF6360"/>
    <w:rsid w:val="00AF758F"/>
    <w:rsid w:val="00AF759D"/>
    <w:rsid w:val="00AF76A5"/>
    <w:rsid w:val="00AF7EBA"/>
    <w:rsid w:val="00B00A4C"/>
    <w:rsid w:val="00B00C7E"/>
    <w:rsid w:val="00B00E48"/>
    <w:rsid w:val="00B00ED2"/>
    <w:rsid w:val="00B019EB"/>
    <w:rsid w:val="00B028C3"/>
    <w:rsid w:val="00B02912"/>
    <w:rsid w:val="00B0311A"/>
    <w:rsid w:val="00B04114"/>
    <w:rsid w:val="00B04119"/>
    <w:rsid w:val="00B04963"/>
    <w:rsid w:val="00B049F9"/>
    <w:rsid w:val="00B05AD1"/>
    <w:rsid w:val="00B05B82"/>
    <w:rsid w:val="00B06DDF"/>
    <w:rsid w:val="00B071A8"/>
    <w:rsid w:val="00B07B66"/>
    <w:rsid w:val="00B1056D"/>
    <w:rsid w:val="00B111FC"/>
    <w:rsid w:val="00B114BA"/>
    <w:rsid w:val="00B13A63"/>
    <w:rsid w:val="00B1511C"/>
    <w:rsid w:val="00B15996"/>
    <w:rsid w:val="00B15E54"/>
    <w:rsid w:val="00B17624"/>
    <w:rsid w:val="00B17805"/>
    <w:rsid w:val="00B17913"/>
    <w:rsid w:val="00B17C59"/>
    <w:rsid w:val="00B17FC5"/>
    <w:rsid w:val="00B20693"/>
    <w:rsid w:val="00B20B00"/>
    <w:rsid w:val="00B20F38"/>
    <w:rsid w:val="00B21765"/>
    <w:rsid w:val="00B21963"/>
    <w:rsid w:val="00B21E05"/>
    <w:rsid w:val="00B22802"/>
    <w:rsid w:val="00B231C1"/>
    <w:rsid w:val="00B232FD"/>
    <w:rsid w:val="00B238B4"/>
    <w:rsid w:val="00B23EF1"/>
    <w:rsid w:val="00B2489A"/>
    <w:rsid w:val="00B25213"/>
    <w:rsid w:val="00B25271"/>
    <w:rsid w:val="00B26551"/>
    <w:rsid w:val="00B30017"/>
    <w:rsid w:val="00B3062F"/>
    <w:rsid w:val="00B30F33"/>
    <w:rsid w:val="00B31032"/>
    <w:rsid w:val="00B312DE"/>
    <w:rsid w:val="00B3147B"/>
    <w:rsid w:val="00B315D4"/>
    <w:rsid w:val="00B31BD5"/>
    <w:rsid w:val="00B31EE6"/>
    <w:rsid w:val="00B3275B"/>
    <w:rsid w:val="00B32FCC"/>
    <w:rsid w:val="00B3322E"/>
    <w:rsid w:val="00B345A5"/>
    <w:rsid w:val="00B345BE"/>
    <w:rsid w:val="00B34F2B"/>
    <w:rsid w:val="00B35E3C"/>
    <w:rsid w:val="00B36595"/>
    <w:rsid w:val="00B368B0"/>
    <w:rsid w:val="00B37861"/>
    <w:rsid w:val="00B37899"/>
    <w:rsid w:val="00B37A71"/>
    <w:rsid w:val="00B37C06"/>
    <w:rsid w:val="00B37C82"/>
    <w:rsid w:val="00B41380"/>
    <w:rsid w:val="00B4156D"/>
    <w:rsid w:val="00B42778"/>
    <w:rsid w:val="00B42BD7"/>
    <w:rsid w:val="00B42C08"/>
    <w:rsid w:val="00B43442"/>
    <w:rsid w:val="00B44AF6"/>
    <w:rsid w:val="00B463F4"/>
    <w:rsid w:val="00B47E15"/>
    <w:rsid w:val="00B50428"/>
    <w:rsid w:val="00B50590"/>
    <w:rsid w:val="00B50A07"/>
    <w:rsid w:val="00B51323"/>
    <w:rsid w:val="00B51604"/>
    <w:rsid w:val="00B516AE"/>
    <w:rsid w:val="00B523A1"/>
    <w:rsid w:val="00B52F90"/>
    <w:rsid w:val="00B530AB"/>
    <w:rsid w:val="00B54080"/>
    <w:rsid w:val="00B557E2"/>
    <w:rsid w:val="00B55C31"/>
    <w:rsid w:val="00B56157"/>
    <w:rsid w:val="00B56CD4"/>
    <w:rsid w:val="00B57B61"/>
    <w:rsid w:val="00B57F91"/>
    <w:rsid w:val="00B601E2"/>
    <w:rsid w:val="00B60370"/>
    <w:rsid w:val="00B6055E"/>
    <w:rsid w:val="00B61B8F"/>
    <w:rsid w:val="00B6281F"/>
    <w:rsid w:val="00B629D8"/>
    <w:rsid w:val="00B631E5"/>
    <w:rsid w:val="00B63389"/>
    <w:rsid w:val="00B634AF"/>
    <w:rsid w:val="00B63D9C"/>
    <w:rsid w:val="00B64996"/>
    <w:rsid w:val="00B665BF"/>
    <w:rsid w:val="00B67436"/>
    <w:rsid w:val="00B67ADE"/>
    <w:rsid w:val="00B70569"/>
    <w:rsid w:val="00B70804"/>
    <w:rsid w:val="00B708AB"/>
    <w:rsid w:val="00B70D04"/>
    <w:rsid w:val="00B70E8E"/>
    <w:rsid w:val="00B71345"/>
    <w:rsid w:val="00B7181C"/>
    <w:rsid w:val="00B73B39"/>
    <w:rsid w:val="00B73B57"/>
    <w:rsid w:val="00B74535"/>
    <w:rsid w:val="00B74DE9"/>
    <w:rsid w:val="00B7529B"/>
    <w:rsid w:val="00B7581A"/>
    <w:rsid w:val="00B758A3"/>
    <w:rsid w:val="00B75A5E"/>
    <w:rsid w:val="00B76313"/>
    <w:rsid w:val="00B764CC"/>
    <w:rsid w:val="00B765B7"/>
    <w:rsid w:val="00B765D5"/>
    <w:rsid w:val="00B770F3"/>
    <w:rsid w:val="00B77180"/>
    <w:rsid w:val="00B774EB"/>
    <w:rsid w:val="00B77866"/>
    <w:rsid w:val="00B77BA1"/>
    <w:rsid w:val="00B80C45"/>
    <w:rsid w:val="00B80D42"/>
    <w:rsid w:val="00B81151"/>
    <w:rsid w:val="00B8290B"/>
    <w:rsid w:val="00B83089"/>
    <w:rsid w:val="00B83251"/>
    <w:rsid w:val="00B83D53"/>
    <w:rsid w:val="00B8425C"/>
    <w:rsid w:val="00B84CBF"/>
    <w:rsid w:val="00B8531C"/>
    <w:rsid w:val="00B8532E"/>
    <w:rsid w:val="00B863D2"/>
    <w:rsid w:val="00B86AAA"/>
    <w:rsid w:val="00B86E40"/>
    <w:rsid w:val="00B86EAD"/>
    <w:rsid w:val="00B87550"/>
    <w:rsid w:val="00B87808"/>
    <w:rsid w:val="00B87A1E"/>
    <w:rsid w:val="00B87ECD"/>
    <w:rsid w:val="00B90436"/>
    <w:rsid w:val="00B90D93"/>
    <w:rsid w:val="00B90EEF"/>
    <w:rsid w:val="00B924F7"/>
    <w:rsid w:val="00B92553"/>
    <w:rsid w:val="00B929F5"/>
    <w:rsid w:val="00B92E8F"/>
    <w:rsid w:val="00B93B26"/>
    <w:rsid w:val="00B93F76"/>
    <w:rsid w:val="00B94696"/>
    <w:rsid w:val="00B94E16"/>
    <w:rsid w:val="00B951E3"/>
    <w:rsid w:val="00B97096"/>
    <w:rsid w:val="00B97BEA"/>
    <w:rsid w:val="00B97DAB"/>
    <w:rsid w:val="00B97E15"/>
    <w:rsid w:val="00B97F85"/>
    <w:rsid w:val="00BA008D"/>
    <w:rsid w:val="00BA068A"/>
    <w:rsid w:val="00BA086C"/>
    <w:rsid w:val="00BA09AF"/>
    <w:rsid w:val="00BA1587"/>
    <w:rsid w:val="00BA29EB"/>
    <w:rsid w:val="00BA2DA8"/>
    <w:rsid w:val="00BA322B"/>
    <w:rsid w:val="00BA378F"/>
    <w:rsid w:val="00BA3B49"/>
    <w:rsid w:val="00BA3F4F"/>
    <w:rsid w:val="00BA4B3E"/>
    <w:rsid w:val="00BA53C7"/>
    <w:rsid w:val="00BA545E"/>
    <w:rsid w:val="00BA589D"/>
    <w:rsid w:val="00BA5D9C"/>
    <w:rsid w:val="00BA6471"/>
    <w:rsid w:val="00BA6589"/>
    <w:rsid w:val="00BA6FE3"/>
    <w:rsid w:val="00BB0768"/>
    <w:rsid w:val="00BB0806"/>
    <w:rsid w:val="00BB09B8"/>
    <w:rsid w:val="00BB0BA5"/>
    <w:rsid w:val="00BB1356"/>
    <w:rsid w:val="00BB1388"/>
    <w:rsid w:val="00BB1436"/>
    <w:rsid w:val="00BB1443"/>
    <w:rsid w:val="00BB1CED"/>
    <w:rsid w:val="00BB1D2A"/>
    <w:rsid w:val="00BB4665"/>
    <w:rsid w:val="00BB50F2"/>
    <w:rsid w:val="00BB5F5D"/>
    <w:rsid w:val="00BB60BC"/>
    <w:rsid w:val="00BB6346"/>
    <w:rsid w:val="00BB6390"/>
    <w:rsid w:val="00BB7A3E"/>
    <w:rsid w:val="00BC04F8"/>
    <w:rsid w:val="00BC0916"/>
    <w:rsid w:val="00BC0F5C"/>
    <w:rsid w:val="00BC1219"/>
    <w:rsid w:val="00BC128E"/>
    <w:rsid w:val="00BC1F86"/>
    <w:rsid w:val="00BC28BE"/>
    <w:rsid w:val="00BC3A9E"/>
    <w:rsid w:val="00BC3AA8"/>
    <w:rsid w:val="00BC431A"/>
    <w:rsid w:val="00BC4F1E"/>
    <w:rsid w:val="00BC639A"/>
    <w:rsid w:val="00BC6713"/>
    <w:rsid w:val="00BC70F0"/>
    <w:rsid w:val="00BC7539"/>
    <w:rsid w:val="00BC75E7"/>
    <w:rsid w:val="00BC78F0"/>
    <w:rsid w:val="00BD0474"/>
    <w:rsid w:val="00BD070D"/>
    <w:rsid w:val="00BD0843"/>
    <w:rsid w:val="00BD0E25"/>
    <w:rsid w:val="00BD1E32"/>
    <w:rsid w:val="00BD32CA"/>
    <w:rsid w:val="00BD5EDF"/>
    <w:rsid w:val="00BD6265"/>
    <w:rsid w:val="00BD629E"/>
    <w:rsid w:val="00BD6BE8"/>
    <w:rsid w:val="00BD739F"/>
    <w:rsid w:val="00BD7856"/>
    <w:rsid w:val="00BD7C3A"/>
    <w:rsid w:val="00BD7DFC"/>
    <w:rsid w:val="00BE067D"/>
    <w:rsid w:val="00BE0BB1"/>
    <w:rsid w:val="00BE19E0"/>
    <w:rsid w:val="00BE1CB3"/>
    <w:rsid w:val="00BE21F3"/>
    <w:rsid w:val="00BE2969"/>
    <w:rsid w:val="00BE2E01"/>
    <w:rsid w:val="00BE2F11"/>
    <w:rsid w:val="00BE42EF"/>
    <w:rsid w:val="00BE49D8"/>
    <w:rsid w:val="00BE4BB7"/>
    <w:rsid w:val="00BE55CF"/>
    <w:rsid w:val="00BE5F1A"/>
    <w:rsid w:val="00BE7799"/>
    <w:rsid w:val="00BE7BB3"/>
    <w:rsid w:val="00BF00AF"/>
    <w:rsid w:val="00BF05E2"/>
    <w:rsid w:val="00BF08A6"/>
    <w:rsid w:val="00BF1372"/>
    <w:rsid w:val="00BF1712"/>
    <w:rsid w:val="00BF23A4"/>
    <w:rsid w:val="00BF23F2"/>
    <w:rsid w:val="00BF2BA8"/>
    <w:rsid w:val="00BF31DF"/>
    <w:rsid w:val="00BF4506"/>
    <w:rsid w:val="00BF4B04"/>
    <w:rsid w:val="00BF4B1F"/>
    <w:rsid w:val="00BF557A"/>
    <w:rsid w:val="00BF5BC3"/>
    <w:rsid w:val="00BF6AB5"/>
    <w:rsid w:val="00C005E8"/>
    <w:rsid w:val="00C0077A"/>
    <w:rsid w:val="00C01184"/>
    <w:rsid w:val="00C01658"/>
    <w:rsid w:val="00C01EC4"/>
    <w:rsid w:val="00C0211C"/>
    <w:rsid w:val="00C037B1"/>
    <w:rsid w:val="00C03BE3"/>
    <w:rsid w:val="00C04071"/>
    <w:rsid w:val="00C05249"/>
    <w:rsid w:val="00C052C4"/>
    <w:rsid w:val="00C05E67"/>
    <w:rsid w:val="00C0601C"/>
    <w:rsid w:val="00C0620C"/>
    <w:rsid w:val="00C06246"/>
    <w:rsid w:val="00C062C5"/>
    <w:rsid w:val="00C062E7"/>
    <w:rsid w:val="00C069AE"/>
    <w:rsid w:val="00C07401"/>
    <w:rsid w:val="00C077CE"/>
    <w:rsid w:val="00C078BC"/>
    <w:rsid w:val="00C07B15"/>
    <w:rsid w:val="00C07C33"/>
    <w:rsid w:val="00C10493"/>
    <w:rsid w:val="00C107FF"/>
    <w:rsid w:val="00C10BEC"/>
    <w:rsid w:val="00C11539"/>
    <w:rsid w:val="00C11E97"/>
    <w:rsid w:val="00C124AE"/>
    <w:rsid w:val="00C1416D"/>
    <w:rsid w:val="00C14202"/>
    <w:rsid w:val="00C144BE"/>
    <w:rsid w:val="00C147B3"/>
    <w:rsid w:val="00C14AF0"/>
    <w:rsid w:val="00C14EE5"/>
    <w:rsid w:val="00C15DBE"/>
    <w:rsid w:val="00C166DD"/>
    <w:rsid w:val="00C16732"/>
    <w:rsid w:val="00C16DB8"/>
    <w:rsid w:val="00C16EEB"/>
    <w:rsid w:val="00C170DE"/>
    <w:rsid w:val="00C17237"/>
    <w:rsid w:val="00C17379"/>
    <w:rsid w:val="00C176EF"/>
    <w:rsid w:val="00C17AC9"/>
    <w:rsid w:val="00C20E54"/>
    <w:rsid w:val="00C21259"/>
    <w:rsid w:val="00C21FF5"/>
    <w:rsid w:val="00C23AA5"/>
    <w:rsid w:val="00C23C9B"/>
    <w:rsid w:val="00C241C7"/>
    <w:rsid w:val="00C2429C"/>
    <w:rsid w:val="00C24428"/>
    <w:rsid w:val="00C246D4"/>
    <w:rsid w:val="00C24B99"/>
    <w:rsid w:val="00C24F74"/>
    <w:rsid w:val="00C25A3F"/>
    <w:rsid w:val="00C25CF5"/>
    <w:rsid w:val="00C274C1"/>
    <w:rsid w:val="00C27901"/>
    <w:rsid w:val="00C300E0"/>
    <w:rsid w:val="00C304A0"/>
    <w:rsid w:val="00C30DE8"/>
    <w:rsid w:val="00C31C3C"/>
    <w:rsid w:val="00C32361"/>
    <w:rsid w:val="00C331A4"/>
    <w:rsid w:val="00C33280"/>
    <w:rsid w:val="00C333DA"/>
    <w:rsid w:val="00C350EF"/>
    <w:rsid w:val="00C35304"/>
    <w:rsid w:val="00C35491"/>
    <w:rsid w:val="00C35991"/>
    <w:rsid w:val="00C35A86"/>
    <w:rsid w:val="00C35B8A"/>
    <w:rsid w:val="00C35EC7"/>
    <w:rsid w:val="00C368B0"/>
    <w:rsid w:val="00C36BEB"/>
    <w:rsid w:val="00C36C7B"/>
    <w:rsid w:val="00C36E16"/>
    <w:rsid w:val="00C371C4"/>
    <w:rsid w:val="00C40BA6"/>
    <w:rsid w:val="00C40FC9"/>
    <w:rsid w:val="00C41905"/>
    <w:rsid w:val="00C4280C"/>
    <w:rsid w:val="00C4331B"/>
    <w:rsid w:val="00C434AE"/>
    <w:rsid w:val="00C43FED"/>
    <w:rsid w:val="00C43FF3"/>
    <w:rsid w:val="00C45EBD"/>
    <w:rsid w:val="00C45EC6"/>
    <w:rsid w:val="00C46CA7"/>
    <w:rsid w:val="00C4760F"/>
    <w:rsid w:val="00C502A9"/>
    <w:rsid w:val="00C504EE"/>
    <w:rsid w:val="00C505F5"/>
    <w:rsid w:val="00C5122F"/>
    <w:rsid w:val="00C51B29"/>
    <w:rsid w:val="00C52B71"/>
    <w:rsid w:val="00C52FB6"/>
    <w:rsid w:val="00C5412F"/>
    <w:rsid w:val="00C544C1"/>
    <w:rsid w:val="00C54DD2"/>
    <w:rsid w:val="00C55031"/>
    <w:rsid w:val="00C55F54"/>
    <w:rsid w:val="00C5637D"/>
    <w:rsid w:val="00C567BD"/>
    <w:rsid w:val="00C569DB"/>
    <w:rsid w:val="00C56D0D"/>
    <w:rsid w:val="00C600E1"/>
    <w:rsid w:val="00C60125"/>
    <w:rsid w:val="00C604F8"/>
    <w:rsid w:val="00C61236"/>
    <w:rsid w:val="00C61DE4"/>
    <w:rsid w:val="00C624A5"/>
    <w:rsid w:val="00C6289B"/>
    <w:rsid w:val="00C636A9"/>
    <w:rsid w:val="00C63CCD"/>
    <w:rsid w:val="00C64A3C"/>
    <w:rsid w:val="00C66A80"/>
    <w:rsid w:val="00C67F88"/>
    <w:rsid w:val="00C704DA"/>
    <w:rsid w:val="00C706E5"/>
    <w:rsid w:val="00C71614"/>
    <w:rsid w:val="00C7203C"/>
    <w:rsid w:val="00C7215F"/>
    <w:rsid w:val="00C7277B"/>
    <w:rsid w:val="00C72C74"/>
    <w:rsid w:val="00C730FF"/>
    <w:rsid w:val="00C73491"/>
    <w:rsid w:val="00C73F2D"/>
    <w:rsid w:val="00C745E7"/>
    <w:rsid w:val="00C7489D"/>
    <w:rsid w:val="00C7512D"/>
    <w:rsid w:val="00C76DF7"/>
    <w:rsid w:val="00C77D4D"/>
    <w:rsid w:val="00C80501"/>
    <w:rsid w:val="00C806CF"/>
    <w:rsid w:val="00C80B3F"/>
    <w:rsid w:val="00C80C3D"/>
    <w:rsid w:val="00C81CB1"/>
    <w:rsid w:val="00C82C3B"/>
    <w:rsid w:val="00C82C46"/>
    <w:rsid w:val="00C82F37"/>
    <w:rsid w:val="00C83CD5"/>
    <w:rsid w:val="00C849F1"/>
    <w:rsid w:val="00C85DF6"/>
    <w:rsid w:val="00C90106"/>
    <w:rsid w:val="00C90950"/>
    <w:rsid w:val="00C92A88"/>
    <w:rsid w:val="00C92B94"/>
    <w:rsid w:val="00C92BDE"/>
    <w:rsid w:val="00C92FF1"/>
    <w:rsid w:val="00C937EC"/>
    <w:rsid w:val="00C93838"/>
    <w:rsid w:val="00C9391E"/>
    <w:rsid w:val="00C93CE4"/>
    <w:rsid w:val="00C9438C"/>
    <w:rsid w:val="00C94EFB"/>
    <w:rsid w:val="00C95507"/>
    <w:rsid w:val="00C955C6"/>
    <w:rsid w:val="00C96042"/>
    <w:rsid w:val="00C973A3"/>
    <w:rsid w:val="00CA1671"/>
    <w:rsid w:val="00CA2A74"/>
    <w:rsid w:val="00CA328A"/>
    <w:rsid w:val="00CA3A96"/>
    <w:rsid w:val="00CA3FF2"/>
    <w:rsid w:val="00CA4B22"/>
    <w:rsid w:val="00CA4DD9"/>
    <w:rsid w:val="00CA4DE3"/>
    <w:rsid w:val="00CA4E5D"/>
    <w:rsid w:val="00CA50A8"/>
    <w:rsid w:val="00CA6623"/>
    <w:rsid w:val="00CA6764"/>
    <w:rsid w:val="00CA697F"/>
    <w:rsid w:val="00CA70C1"/>
    <w:rsid w:val="00CA78A0"/>
    <w:rsid w:val="00CB0C59"/>
    <w:rsid w:val="00CB1053"/>
    <w:rsid w:val="00CB12A0"/>
    <w:rsid w:val="00CB2922"/>
    <w:rsid w:val="00CB2D25"/>
    <w:rsid w:val="00CB47D5"/>
    <w:rsid w:val="00CB5734"/>
    <w:rsid w:val="00CB592E"/>
    <w:rsid w:val="00CB5FD5"/>
    <w:rsid w:val="00CB6A92"/>
    <w:rsid w:val="00CB6A95"/>
    <w:rsid w:val="00CC0DAF"/>
    <w:rsid w:val="00CC1861"/>
    <w:rsid w:val="00CC25CE"/>
    <w:rsid w:val="00CC26A1"/>
    <w:rsid w:val="00CC28CC"/>
    <w:rsid w:val="00CC29B1"/>
    <w:rsid w:val="00CC2F3B"/>
    <w:rsid w:val="00CC3B26"/>
    <w:rsid w:val="00CC3F7D"/>
    <w:rsid w:val="00CC544E"/>
    <w:rsid w:val="00CC5563"/>
    <w:rsid w:val="00CC55F8"/>
    <w:rsid w:val="00CC575E"/>
    <w:rsid w:val="00CC69FD"/>
    <w:rsid w:val="00CC6F3B"/>
    <w:rsid w:val="00CC700A"/>
    <w:rsid w:val="00CD1431"/>
    <w:rsid w:val="00CD189F"/>
    <w:rsid w:val="00CD223F"/>
    <w:rsid w:val="00CD2FD1"/>
    <w:rsid w:val="00CD3530"/>
    <w:rsid w:val="00CD3CE1"/>
    <w:rsid w:val="00CD4504"/>
    <w:rsid w:val="00CD471F"/>
    <w:rsid w:val="00CD4DC0"/>
    <w:rsid w:val="00CD57DD"/>
    <w:rsid w:val="00CD5915"/>
    <w:rsid w:val="00CD5D56"/>
    <w:rsid w:val="00CD7527"/>
    <w:rsid w:val="00CD7B0E"/>
    <w:rsid w:val="00CD7E87"/>
    <w:rsid w:val="00CE0420"/>
    <w:rsid w:val="00CE0838"/>
    <w:rsid w:val="00CE2A54"/>
    <w:rsid w:val="00CE3398"/>
    <w:rsid w:val="00CE3BC5"/>
    <w:rsid w:val="00CE454B"/>
    <w:rsid w:val="00CE5719"/>
    <w:rsid w:val="00CE577F"/>
    <w:rsid w:val="00CE5C4C"/>
    <w:rsid w:val="00CE5DA9"/>
    <w:rsid w:val="00CE62E7"/>
    <w:rsid w:val="00CE6F3C"/>
    <w:rsid w:val="00CE7028"/>
    <w:rsid w:val="00CE7193"/>
    <w:rsid w:val="00CE757F"/>
    <w:rsid w:val="00CE7679"/>
    <w:rsid w:val="00CE7CD8"/>
    <w:rsid w:val="00CF1190"/>
    <w:rsid w:val="00CF1804"/>
    <w:rsid w:val="00CF19CF"/>
    <w:rsid w:val="00CF1F90"/>
    <w:rsid w:val="00CF2107"/>
    <w:rsid w:val="00CF2736"/>
    <w:rsid w:val="00CF2B00"/>
    <w:rsid w:val="00CF3A47"/>
    <w:rsid w:val="00CF4529"/>
    <w:rsid w:val="00CF573F"/>
    <w:rsid w:val="00CF5AA0"/>
    <w:rsid w:val="00CF5E53"/>
    <w:rsid w:val="00CF6022"/>
    <w:rsid w:val="00CF6758"/>
    <w:rsid w:val="00CF678F"/>
    <w:rsid w:val="00CF6D64"/>
    <w:rsid w:val="00CF72B5"/>
    <w:rsid w:val="00CF7DF6"/>
    <w:rsid w:val="00CF7DF7"/>
    <w:rsid w:val="00D0032B"/>
    <w:rsid w:val="00D004E0"/>
    <w:rsid w:val="00D008C8"/>
    <w:rsid w:val="00D015F1"/>
    <w:rsid w:val="00D01AB7"/>
    <w:rsid w:val="00D02345"/>
    <w:rsid w:val="00D0246E"/>
    <w:rsid w:val="00D03B9F"/>
    <w:rsid w:val="00D042BC"/>
    <w:rsid w:val="00D04352"/>
    <w:rsid w:val="00D04418"/>
    <w:rsid w:val="00D04AAA"/>
    <w:rsid w:val="00D052FE"/>
    <w:rsid w:val="00D0547C"/>
    <w:rsid w:val="00D054E5"/>
    <w:rsid w:val="00D077A1"/>
    <w:rsid w:val="00D07B92"/>
    <w:rsid w:val="00D07D7A"/>
    <w:rsid w:val="00D102BA"/>
    <w:rsid w:val="00D10F00"/>
    <w:rsid w:val="00D10F3F"/>
    <w:rsid w:val="00D10FFB"/>
    <w:rsid w:val="00D11002"/>
    <w:rsid w:val="00D11FBB"/>
    <w:rsid w:val="00D124F6"/>
    <w:rsid w:val="00D129AC"/>
    <w:rsid w:val="00D139ED"/>
    <w:rsid w:val="00D13A31"/>
    <w:rsid w:val="00D13FE7"/>
    <w:rsid w:val="00D14B20"/>
    <w:rsid w:val="00D15484"/>
    <w:rsid w:val="00D15819"/>
    <w:rsid w:val="00D15A6B"/>
    <w:rsid w:val="00D16505"/>
    <w:rsid w:val="00D1685D"/>
    <w:rsid w:val="00D17454"/>
    <w:rsid w:val="00D203B7"/>
    <w:rsid w:val="00D209B6"/>
    <w:rsid w:val="00D20D3E"/>
    <w:rsid w:val="00D220AC"/>
    <w:rsid w:val="00D22DB2"/>
    <w:rsid w:val="00D23E11"/>
    <w:rsid w:val="00D265A8"/>
    <w:rsid w:val="00D2688D"/>
    <w:rsid w:val="00D26C4A"/>
    <w:rsid w:val="00D276B6"/>
    <w:rsid w:val="00D27725"/>
    <w:rsid w:val="00D303DB"/>
    <w:rsid w:val="00D32C74"/>
    <w:rsid w:val="00D3335A"/>
    <w:rsid w:val="00D33C92"/>
    <w:rsid w:val="00D348A4"/>
    <w:rsid w:val="00D357B1"/>
    <w:rsid w:val="00D367E0"/>
    <w:rsid w:val="00D377BE"/>
    <w:rsid w:val="00D379F6"/>
    <w:rsid w:val="00D401AC"/>
    <w:rsid w:val="00D403D6"/>
    <w:rsid w:val="00D40AE3"/>
    <w:rsid w:val="00D40B30"/>
    <w:rsid w:val="00D416D3"/>
    <w:rsid w:val="00D41922"/>
    <w:rsid w:val="00D420A4"/>
    <w:rsid w:val="00D423DE"/>
    <w:rsid w:val="00D43E4B"/>
    <w:rsid w:val="00D447E9"/>
    <w:rsid w:val="00D44817"/>
    <w:rsid w:val="00D44F06"/>
    <w:rsid w:val="00D45292"/>
    <w:rsid w:val="00D456F1"/>
    <w:rsid w:val="00D45A56"/>
    <w:rsid w:val="00D46440"/>
    <w:rsid w:val="00D46F1E"/>
    <w:rsid w:val="00D47C35"/>
    <w:rsid w:val="00D507A7"/>
    <w:rsid w:val="00D5091E"/>
    <w:rsid w:val="00D52CC0"/>
    <w:rsid w:val="00D53ED2"/>
    <w:rsid w:val="00D555AB"/>
    <w:rsid w:val="00D561D7"/>
    <w:rsid w:val="00D569AE"/>
    <w:rsid w:val="00D569BF"/>
    <w:rsid w:val="00D56C47"/>
    <w:rsid w:val="00D57526"/>
    <w:rsid w:val="00D6019D"/>
    <w:rsid w:val="00D602B9"/>
    <w:rsid w:val="00D60AEE"/>
    <w:rsid w:val="00D60E31"/>
    <w:rsid w:val="00D61F81"/>
    <w:rsid w:val="00D62720"/>
    <w:rsid w:val="00D62B02"/>
    <w:rsid w:val="00D62C9E"/>
    <w:rsid w:val="00D63270"/>
    <w:rsid w:val="00D63589"/>
    <w:rsid w:val="00D64F10"/>
    <w:rsid w:val="00D650A9"/>
    <w:rsid w:val="00D656AE"/>
    <w:rsid w:val="00D66099"/>
    <w:rsid w:val="00D66301"/>
    <w:rsid w:val="00D67901"/>
    <w:rsid w:val="00D70186"/>
    <w:rsid w:val="00D717C8"/>
    <w:rsid w:val="00D737D2"/>
    <w:rsid w:val="00D73E4B"/>
    <w:rsid w:val="00D73F0D"/>
    <w:rsid w:val="00D7421C"/>
    <w:rsid w:val="00D745F9"/>
    <w:rsid w:val="00D75320"/>
    <w:rsid w:val="00D75AD9"/>
    <w:rsid w:val="00D764FD"/>
    <w:rsid w:val="00D76B88"/>
    <w:rsid w:val="00D76B9C"/>
    <w:rsid w:val="00D77E14"/>
    <w:rsid w:val="00D77FFA"/>
    <w:rsid w:val="00D80640"/>
    <w:rsid w:val="00D81689"/>
    <w:rsid w:val="00D81DC6"/>
    <w:rsid w:val="00D8248C"/>
    <w:rsid w:val="00D82C9C"/>
    <w:rsid w:val="00D83C94"/>
    <w:rsid w:val="00D8417B"/>
    <w:rsid w:val="00D84CB2"/>
    <w:rsid w:val="00D864BF"/>
    <w:rsid w:val="00D869A7"/>
    <w:rsid w:val="00D869EE"/>
    <w:rsid w:val="00D8715B"/>
    <w:rsid w:val="00D87980"/>
    <w:rsid w:val="00D87AC5"/>
    <w:rsid w:val="00D90FE8"/>
    <w:rsid w:val="00D91432"/>
    <w:rsid w:val="00D9159B"/>
    <w:rsid w:val="00D915BA"/>
    <w:rsid w:val="00D91921"/>
    <w:rsid w:val="00D9194E"/>
    <w:rsid w:val="00D919E6"/>
    <w:rsid w:val="00D91D95"/>
    <w:rsid w:val="00D932C4"/>
    <w:rsid w:val="00D934EA"/>
    <w:rsid w:val="00D936AE"/>
    <w:rsid w:val="00D9385E"/>
    <w:rsid w:val="00D93CAA"/>
    <w:rsid w:val="00D94624"/>
    <w:rsid w:val="00D946BA"/>
    <w:rsid w:val="00D95F17"/>
    <w:rsid w:val="00D962ED"/>
    <w:rsid w:val="00D9636D"/>
    <w:rsid w:val="00D96400"/>
    <w:rsid w:val="00D96841"/>
    <w:rsid w:val="00D973D6"/>
    <w:rsid w:val="00D97544"/>
    <w:rsid w:val="00D975DB"/>
    <w:rsid w:val="00D97CDE"/>
    <w:rsid w:val="00DA0BBE"/>
    <w:rsid w:val="00DA1A01"/>
    <w:rsid w:val="00DA2A6F"/>
    <w:rsid w:val="00DA3F74"/>
    <w:rsid w:val="00DA44B7"/>
    <w:rsid w:val="00DA476A"/>
    <w:rsid w:val="00DA47DC"/>
    <w:rsid w:val="00DA6FF2"/>
    <w:rsid w:val="00DA7022"/>
    <w:rsid w:val="00DA7468"/>
    <w:rsid w:val="00DA75CD"/>
    <w:rsid w:val="00DA7BA1"/>
    <w:rsid w:val="00DB0C3F"/>
    <w:rsid w:val="00DB13A5"/>
    <w:rsid w:val="00DB13E9"/>
    <w:rsid w:val="00DB1FA6"/>
    <w:rsid w:val="00DB2864"/>
    <w:rsid w:val="00DB4B7A"/>
    <w:rsid w:val="00DB561A"/>
    <w:rsid w:val="00DB5695"/>
    <w:rsid w:val="00DB5D0D"/>
    <w:rsid w:val="00DB66A0"/>
    <w:rsid w:val="00DB6706"/>
    <w:rsid w:val="00DB6755"/>
    <w:rsid w:val="00DB69A2"/>
    <w:rsid w:val="00DB70A1"/>
    <w:rsid w:val="00DB729E"/>
    <w:rsid w:val="00DB771D"/>
    <w:rsid w:val="00DB7B39"/>
    <w:rsid w:val="00DB7EB4"/>
    <w:rsid w:val="00DC00D6"/>
    <w:rsid w:val="00DC08BA"/>
    <w:rsid w:val="00DC0D80"/>
    <w:rsid w:val="00DC129A"/>
    <w:rsid w:val="00DC1679"/>
    <w:rsid w:val="00DC1C34"/>
    <w:rsid w:val="00DC1C8B"/>
    <w:rsid w:val="00DC23EB"/>
    <w:rsid w:val="00DC3771"/>
    <w:rsid w:val="00DC43C3"/>
    <w:rsid w:val="00DC45A7"/>
    <w:rsid w:val="00DC4CAA"/>
    <w:rsid w:val="00DC5A7F"/>
    <w:rsid w:val="00DC6060"/>
    <w:rsid w:val="00DC6673"/>
    <w:rsid w:val="00DC7D3B"/>
    <w:rsid w:val="00DD08D3"/>
    <w:rsid w:val="00DD0A45"/>
    <w:rsid w:val="00DD0C07"/>
    <w:rsid w:val="00DD0E7F"/>
    <w:rsid w:val="00DD113F"/>
    <w:rsid w:val="00DD17CD"/>
    <w:rsid w:val="00DD1F53"/>
    <w:rsid w:val="00DD217E"/>
    <w:rsid w:val="00DD292D"/>
    <w:rsid w:val="00DD2DE4"/>
    <w:rsid w:val="00DD3F82"/>
    <w:rsid w:val="00DD440E"/>
    <w:rsid w:val="00DD4D7F"/>
    <w:rsid w:val="00DD5260"/>
    <w:rsid w:val="00DD5E4A"/>
    <w:rsid w:val="00DD5E99"/>
    <w:rsid w:val="00DD641D"/>
    <w:rsid w:val="00DD6701"/>
    <w:rsid w:val="00DD6E88"/>
    <w:rsid w:val="00DD7CA4"/>
    <w:rsid w:val="00DE10B5"/>
    <w:rsid w:val="00DE1B89"/>
    <w:rsid w:val="00DE245D"/>
    <w:rsid w:val="00DE37BA"/>
    <w:rsid w:val="00DE39D8"/>
    <w:rsid w:val="00DE44E1"/>
    <w:rsid w:val="00DE4B3E"/>
    <w:rsid w:val="00DE503A"/>
    <w:rsid w:val="00DE5052"/>
    <w:rsid w:val="00DE65E7"/>
    <w:rsid w:val="00DE688A"/>
    <w:rsid w:val="00DE6A4B"/>
    <w:rsid w:val="00DE6BBE"/>
    <w:rsid w:val="00DE6E9C"/>
    <w:rsid w:val="00DF060B"/>
    <w:rsid w:val="00DF097B"/>
    <w:rsid w:val="00DF0CAA"/>
    <w:rsid w:val="00DF1953"/>
    <w:rsid w:val="00DF1F4B"/>
    <w:rsid w:val="00DF22C8"/>
    <w:rsid w:val="00DF3C63"/>
    <w:rsid w:val="00DF3D4A"/>
    <w:rsid w:val="00DF3D56"/>
    <w:rsid w:val="00DF3E92"/>
    <w:rsid w:val="00DF47A0"/>
    <w:rsid w:val="00DF5997"/>
    <w:rsid w:val="00DF5A17"/>
    <w:rsid w:val="00DF5B20"/>
    <w:rsid w:val="00DF5DA2"/>
    <w:rsid w:val="00DF65D5"/>
    <w:rsid w:val="00DF69AA"/>
    <w:rsid w:val="00DF6AC3"/>
    <w:rsid w:val="00DF6C56"/>
    <w:rsid w:val="00DF7887"/>
    <w:rsid w:val="00DF7EA5"/>
    <w:rsid w:val="00E0097F"/>
    <w:rsid w:val="00E034B7"/>
    <w:rsid w:val="00E03BE8"/>
    <w:rsid w:val="00E05854"/>
    <w:rsid w:val="00E05863"/>
    <w:rsid w:val="00E07100"/>
    <w:rsid w:val="00E07FEE"/>
    <w:rsid w:val="00E100F7"/>
    <w:rsid w:val="00E10564"/>
    <w:rsid w:val="00E106A9"/>
    <w:rsid w:val="00E1096F"/>
    <w:rsid w:val="00E128D7"/>
    <w:rsid w:val="00E13F99"/>
    <w:rsid w:val="00E14704"/>
    <w:rsid w:val="00E14D56"/>
    <w:rsid w:val="00E15F47"/>
    <w:rsid w:val="00E15F5C"/>
    <w:rsid w:val="00E1645B"/>
    <w:rsid w:val="00E1766F"/>
    <w:rsid w:val="00E17D8F"/>
    <w:rsid w:val="00E20564"/>
    <w:rsid w:val="00E20683"/>
    <w:rsid w:val="00E20EE3"/>
    <w:rsid w:val="00E212C8"/>
    <w:rsid w:val="00E212EF"/>
    <w:rsid w:val="00E213D0"/>
    <w:rsid w:val="00E21422"/>
    <w:rsid w:val="00E21C85"/>
    <w:rsid w:val="00E2368B"/>
    <w:rsid w:val="00E24E98"/>
    <w:rsid w:val="00E25401"/>
    <w:rsid w:val="00E25C1D"/>
    <w:rsid w:val="00E26016"/>
    <w:rsid w:val="00E26055"/>
    <w:rsid w:val="00E26475"/>
    <w:rsid w:val="00E26653"/>
    <w:rsid w:val="00E26739"/>
    <w:rsid w:val="00E26893"/>
    <w:rsid w:val="00E26A1E"/>
    <w:rsid w:val="00E27166"/>
    <w:rsid w:val="00E274E3"/>
    <w:rsid w:val="00E27861"/>
    <w:rsid w:val="00E27D33"/>
    <w:rsid w:val="00E301C9"/>
    <w:rsid w:val="00E30577"/>
    <w:rsid w:val="00E313CD"/>
    <w:rsid w:val="00E316F1"/>
    <w:rsid w:val="00E320BA"/>
    <w:rsid w:val="00E32671"/>
    <w:rsid w:val="00E32E46"/>
    <w:rsid w:val="00E34DAC"/>
    <w:rsid w:val="00E34E81"/>
    <w:rsid w:val="00E35315"/>
    <w:rsid w:val="00E35A83"/>
    <w:rsid w:val="00E367E9"/>
    <w:rsid w:val="00E36F7A"/>
    <w:rsid w:val="00E37175"/>
    <w:rsid w:val="00E41C04"/>
    <w:rsid w:val="00E41EE9"/>
    <w:rsid w:val="00E42431"/>
    <w:rsid w:val="00E4245E"/>
    <w:rsid w:val="00E428CA"/>
    <w:rsid w:val="00E4419D"/>
    <w:rsid w:val="00E441B0"/>
    <w:rsid w:val="00E444B4"/>
    <w:rsid w:val="00E44AF4"/>
    <w:rsid w:val="00E4558D"/>
    <w:rsid w:val="00E4727B"/>
    <w:rsid w:val="00E475BD"/>
    <w:rsid w:val="00E47808"/>
    <w:rsid w:val="00E47984"/>
    <w:rsid w:val="00E47DC9"/>
    <w:rsid w:val="00E500AA"/>
    <w:rsid w:val="00E51F72"/>
    <w:rsid w:val="00E5210A"/>
    <w:rsid w:val="00E530FB"/>
    <w:rsid w:val="00E53210"/>
    <w:rsid w:val="00E533D4"/>
    <w:rsid w:val="00E54246"/>
    <w:rsid w:val="00E54851"/>
    <w:rsid w:val="00E56001"/>
    <w:rsid w:val="00E563A3"/>
    <w:rsid w:val="00E5672C"/>
    <w:rsid w:val="00E5693D"/>
    <w:rsid w:val="00E571DC"/>
    <w:rsid w:val="00E5753D"/>
    <w:rsid w:val="00E576B4"/>
    <w:rsid w:val="00E57F12"/>
    <w:rsid w:val="00E57F78"/>
    <w:rsid w:val="00E60008"/>
    <w:rsid w:val="00E60845"/>
    <w:rsid w:val="00E60FC3"/>
    <w:rsid w:val="00E615BA"/>
    <w:rsid w:val="00E61E09"/>
    <w:rsid w:val="00E62C58"/>
    <w:rsid w:val="00E6439B"/>
    <w:rsid w:val="00E65031"/>
    <w:rsid w:val="00E661AD"/>
    <w:rsid w:val="00E665E7"/>
    <w:rsid w:val="00E67484"/>
    <w:rsid w:val="00E6785D"/>
    <w:rsid w:val="00E70155"/>
    <w:rsid w:val="00E714C0"/>
    <w:rsid w:val="00E73C7C"/>
    <w:rsid w:val="00E73DBC"/>
    <w:rsid w:val="00E73EBB"/>
    <w:rsid w:val="00E74DC3"/>
    <w:rsid w:val="00E750E3"/>
    <w:rsid w:val="00E75AD3"/>
    <w:rsid w:val="00E75B51"/>
    <w:rsid w:val="00E75DC9"/>
    <w:rsid w:val="00E75ED1"/>
    <w:rsid w:val="00E760B9"/>
    <w:rsid w:val="00E761F6"/>
    <w:rsid w:val="00E766A8"/>
    <w:rsid w:val="00E768E1"/>
    <w:rsid w:val="00E76A1B"/>
    <w:rsid w:val="00E77925"/>
    <w:rsid w:val="00E77BDE"/>
    <w:rsid w:val="00E77FDE"/>
    <w:rsid w:val="00E803B3"/>
    <w:rsid w:val="00E80C3C"/>
    <w:rsid w:val="00E8154D"/>
    <w:rsid w:val="00E81E0B"/>
    <w:rsid w:val="00E81ED2"/>
    <w:rsid w:val="00E82114"/>
    <w:rsid w:val="00E82476"/>
    <w:rsid w:val="00E839DB"/>
    <w:rsid w:val="00E83C77"/>
    <w:rsid w:val="00E8563F"/>
    <w:rsid w:val="00E85E08"/>
    <w:rsid w:val="00E8615F"/>
    <w:rsid w:val="00E87117"/>
    <w:rsid w:val="00E91661"/>
    <w:rsid w:val="00E91BE6"/>
    <w:rsid w:val="00E92FE1"/>
    <w:rsid w:val="00E9366C"/>
    <w:rsid w:val="00E9387C"/>
    <w:rsid w:val="00E93A47"/>
    <w:rsid w:val="00E94E7A"/>
    <w:rsid w:val="00E95ED5"/>
    <w:rsid w:val="00E960CC"/>
    <w:rsid w:val="00E96D9F"/>
    <w:rsid w:val="00E9759D"/>
    <w:rsid w:val="00EA015E"/>
    <w:rsid w:val="00EA023C"/>
    <w:rsid w:val="00EA0291"/>
    <w:rsid w:val="00EA1806"/>
    <w:rsid w:val="00EA1826"/>
    <w:rsid w:val="00EA1B36"/>
    <w:rsid w:val="00EA22AE"/>
    <w:rsid w:val="00EA2602"/>
    <w:rsid w:val="00EA33DE"/>
    <w:rsid w:val="00EA4407"/>
    <w:rsid w:val="00EA4D17"/>
    <w:rsid w:val="00EA72A4"/>
    <w:rsid w:val="00EA73F1"/>
    <w:rsid w:val="00EA73FE"/>
    <w:rsid w:val="00EA7A6D"/>
    <w:rsid w:val="00EA7C87"/>
    <w:rsid w:val="00EA7E07"/>
    <w:rsid w:val="00EB0065"/>
    <w:rsid w:val="00EB04C6"/>
    <w:rsid w:val="00EB083B"/>
    <w:rsid w:val="00EB13BF"/>
    <w:rsid w:val="00EB1763"/>
    <w:rsid w:val="00EB1AB4"/>
    <w:rsid w:val="00EB1BEB"/>
    <w:rsid w:val="00EB231D"/>
    <w:rsid w:val="00EB25D6"/>
    <w:rsid w:val="00EB38FF"/>
    <w:rsid w:val="00EB41BD"/>
    <w:rsid w:val="00EB44C7"/>
    <w:rsid w:val="00EB5061"/>
    <w:rsid w:val="00EB518E"/>
    <w:rsid w:val="00EB57AE"/>
    <w:rsid w:val="00EB5993"/>
    <w:rsid w:val="00EB632F"/>
    <w:rsid w:val="00EB6F9B"/>
    <w:rsid w:val="00EC0302"/>
    <w:rsid w:val="00EC07EE"/>
    <w:rsid w:val="00EC0948"/>
    <w:rsid w:val="00EC0DD0"/>
    <w:rsid w:val="00EC1C1D"/>
    <w:rsid w:val="00EC1DD2"/>
    <w:rsid w:val="00EC2555"/>
    <w:rsid w:val="00EC25BC"/>
    <w:rsid w:val="00EC2E8E"/>
    <w:rsid w:val="00EC40FD"/>
    <w:rsid w:val="00EC4426"/>
    <w:rsid w:val="00EC6156"/>
    <w:rsid w:val="00EC7035"/>
    <w:rsid w:val="00ED0B97"/>
    <w:rsid w:val="00ED1781"/>
    <w:rsid w:val="00ED2888"/>
    <w:rsid w:val="00ED2F5D"/>
    <w:rsid w:val="00ED37D2"/>
    <w:rsid w:val="00ED41E7"/>
    <w:rsid w:val="00ED4B07"/>
    <w:rsid w:val="00ED4EAF"/>
    <w:rsid w:val="00ED4F15"/>
    <w:rsid w:val="00ED5417"/>
    <w:rsid w:val="00ED6E7D"/>
    <w:rsid w:val="00ED7459"/>
    <w:rsid w:val="00ED7CDB"/>
    <w:rsid w:val="00EE06AC"/>
    <w:rsid w:val="00EE0931"/>
    <w:rsid w:val="00EE19A4"/>
    <w:rsid w:val="00EE19DC"/>
    <w:rsid w:val="00EE1FC1"/>
    <w:rsid w:val="00EE2960"/>
    <w:rsid w:val="00EE31DA"/>
    <w:rsid w:val="00EE3200"/>
    <w:rsid w:val="00EE33FB"/>
    <w:rsid w:val="00EE4637"/>
    <w:rsid w:val="00EE586B"/>
    <w:rsid w:val="00EE6807"/>
    <w:rsid w:val="00EE6D8C"/>
    <w:rsid w:val="00EE6E80"/>
    <w:rsid w:val="00EE7410"/>
    <w:rsid w:val="00EE7DB0"/>
    <w:rsid w:val="00EF076A"/>
    <w:rsid w:val="00EF128E"/>
    <w:rsid w:val="00EF3CFA"/>
    <w:rsid w:val="00EF3D6D"/>
    <w:rsid w:val="00EF4351"/>
    <w:rsid w:val="00EF4F10"/>
    <w:rsid w:val="00EF7902"/>
    <w:rsid w:val="00EF7C40"/>
    <w:rsid w:val="00EF7EB1"/>
    <w:rsid w:val="00F00631"/>
    <w:rsid w:val="00F010D7"/>
    <w:rsid w:val="00F0153A"/>
    <w:rsid w:val="00F01590"/>
    <w:rsid w:val="00F01DD7"/>
    <w:rsid w:val="00F033E7"/>
    <w:rsid w:val="00F035A7"/>
    <w:rsid w:val="00F03EB4"/>
    <w:rsid w:val="00F049DD"/>
    <w:rsid w:val="00F049E8"/>
    <w:rsid w:val="00F05ABE"/>
    <w:rsid w:val="00F066AD"/>
    <w:rsid w:val="00F06C57"/>
    <w:rsid w:val="00F0762A"/>
    <w:rsid w:val="00F07CAD"/>
    <w:rsid w:val="00F07E0D"/>
    <w:rsid w:val="00F1084E"/>
    <w:rsid w:val="00F10F21"/>
    <w:rsid w:val="00F11743"/>
    <w:rsid w:val="00F11D81"/>
    <w:rsid w:val="00F13F74"/>
    <w:rsid w:val="00F146C8"/>
    <w:rsid w:val="00F14B5B"/>
    <w:rsid w:val="00F14D5A"/>
    <w:rsid w:val="00F1543C"/>
    <w:rsid w:val="00F15F31"/>
    <w:rsid w:val="00F15FA0"/>
    <w:rsid w:val="00F20760"/>
    <w:rsid w:val="00F208E8"/>
    <w:rsid w:val="00F20BBF"/>
    <w:rsid w:val="00F2137C"/>
    <w:rsid w:val="00F21A59"/>
    <w:rsid w:val="00F21B1C"/>
    <w:rsid w:val="00F22675"/>
    <w:rsid w:val="00F22FF6"/>
    <w:rsid w:val="00F23342"/>
    <w:rsid w:val="00F245D3"/>
    <w:rsid w:val="00F249D0"/>
    <w:rsid w:val="00F24B25"/>
    <w:rsid w:val="00F24C58"/>
    <w:rsid w:val="00F24F6F"/>
    <w:rsid w:val="00F25844"/>
    <w:rsid w:val="00F25993"/>
    <w:rsid w:val="00F25A9A"/>
    <w:rsid w:val="00F25C5B"/>
    <w:rsid w:val="00F25E2E"/>
    <w:rsid w:val="00F2637C"/>
    <w:rsid w:val="00F26992"/>
    <w:rsid w:val="00F26B6F"/>
    <w:rsid w:val="00F271AC"/>
    <w:rsid w:val="00F27954"/>
    <w:rsid w:val="00F27B31"/>
    <w:rsid w:val="00F30178"/>
    <w:rsid w:val="00F30203"/>
    <w:rsid w:val="00F30742"/>
    <w:rsid w:val="00F3088A"/>
    <w:rsid w:val="00F309D7"/>
    <w:rsid w:val="00F30B12"/>
    <w:rsid w:val="00F31BE5"/>
    <w:rsid w:val="00F31FC4"/>
    <w:rsid w:val="00F32291"/>
    <w:rsid w:val="00F35902"/>
    <w:rsid w:val="00F35FC0"/>
    <w:rsid w:val="00F36535"/>
    <w:rsid w:val="00F369B7"/>
    <w:rsid w:val="00F36AE0"/>
    <w:rsid w:val="00F41D68"/>
    <w:rsid w:val="00F423ED"/>
    <w:rsid w:val="00F42D04"/>
    <w:rsid w:val="00F43271"/>
    <w:rsid w:val="00F4328D"/>
    <w:rsid w:val="00F444DB"/>
    <w:rsid w:val="00F44615"/>
    <w:rsid w:val="00F44E03"/>
    <w:rsid w:val="00F45006"/>
    <w:rsid w:val="00F45108"/>
    <w:rsid w:val="00F45A27"/>
    <w:rsid w:val="00F46971"/>
    <w:rsid w:val="00F47983"/>
    <w:rsid w:val="00F47B3A"/>
    <w:rsid w:val="00F47C99"/>
    <w:rsid w:val="00F503B1"/>
    <w:rsid w:val="00F50675"/>
    <w:rsid w:val="00F50D73"/>
    <w:rsid w:val="00F51052"/>
    <w:rsid w:val="00F51215"/>
    <w:rsid w:val="00F51C01"/>
    <w:rsid w:val="00F5251E"/>
    <w:rsid w:val="00F5317E"/>
    <w:rsid w:val="00F5322F"/>
    <w:rsid w:val="00F5368A"/>
    <w:rsid w:val="00F545A9"/>
    <w:rsid w:val="00F54A3F"/>
    <w:rsid w:val="00F54DD2"/>
    <w:rsid w:val="00F5602B"/>
    <w:rsid w:val="00F560C7"/>
    <w:rsid w:val="00F5615F"/>
    <w:rsid w:val="00F56E65"/>
    <w:rsid w:val="00F572D4"/>
    <w:rsid w:val="00F5762E"/>
    <w:rsid w:val="00F5779A"/>
    <w:rsid w:val="00F602BC"/>
    <w:rsid w:val="00F60421"/>
    <w:rsid w:val="00F60DEE"/>
    <w:rsid w:val="00F613CA"/>
    <w:rsid w:val="00F61ACD"/>
    <w:rsid w:val="00F61D98"/>
    <w:rsid w:val="00F621FD"/>
    <w:rsid w:val="00F622FB"/>
    <w:rsid w:val="00F629E2"/>
    <w:rsid w:val="00F636F4"/>
    <w:rsid w:val="00F63D72"/>
    <w:rsid w:val="00F64534"/>
    <w:rsid w:val="00F653FE"/>
    <w:rsid w:val="00F65BF4"/>
    <w:rsid w:val="00F66E30"/>
    <w:rsid w:val="00F700CD"/>
    <w:rsid w:val="00F709A1"/>
    <w:rsid w:val="00F70C70"/>
    <w:rsid w:val="00F71265"/>
    <w:rsid w:val="00F714F0"/>
    <w:rsid w:val="00F71BC9"/>
    <w:rsid w:val="00F71F1F"/>
    <w:rsid w:val="00F72703"/>
    <w:rsid w:val="00F73027"/>
    <w:rsid w:val="00F7343C"/>
    <w:rsid w:val="00F734EF"/>
    <w:rsid w:val="00F736CA"/>
    <w:rsid w:val="00F73C14"/>
    <w:rsid w:val="00F73D19"/>
    <w:rsid w:val="00F73D93"/>
    <w:rsid w:val="00F74133"/>
    <w:rsid w:val="00F74775"/>
    <w:rsid w:val="00F75446"/>
    <w:rsid w:val="00F7548D"/>
    <w:rsid w:val="00F7576B"/>
    <w:rsid w:val="00F75F9C"/>
    <w:rsid w:val="00F763DB"/>
    <w:rsid w:val="00F76C87"/>
    <w:rsid w:val="00F76E25"/>
    <w:rsid w:val="00F77B03"/>
    <w:rsid w:val="00F807B8"/>
    <w:rsid w:val="00F81243"/>
    <w:rsid w:val="00F8160A"/>
    <w:rsid w:val="00F81BB9"/>
    <w:rsid w:val="00F81ECF"/>
    <w:rsid w:val="00F82120"/>
    <w:rsid w:val="00F82141"/>
    <w:rsid w:val="00F82414"/>
    <w:rsid w:val="00F83561"/>
    <w:rsid w:val="00F83991"/>
    <w:rsid w:val="00F83DC5"/>
    <w:rsid w:val="00F83F75"/>
    <w:rsid w:val="00F84122"/>
    <w:rsid w:val="00F850AC"/>
    <w:rsid w:val="00F8541C"/>
    <w:rsid w:val="00F85F85"/>
    <w:rsid w:val="00F86D4F"/>
    <w:rsid w:val="00F8722F"/>
    <w:rsid w:val="00F87587"/>
    <w:rsid w:val="00F87822"/>
    <w:rsid w:val="00F87C07"/>
    <w:rsid w:val="00F90787"/>
    <w:rsid w:val="00F91230"/>
    <w:rsid w:val="00F9159F"/>
    <w:rsid w:val="00F91AB9"/>
    <w:rsid w:val="00F922A1"/>
    <w:rsid w:val="00F93452"/>
    <w:rsid w:val="00F934A0"/>
    <w:rsid w:val="00F944B4"/>
    <w:rsid w:val="00F95E6B"/>
    <w:rsid w:val="00F95E91"/>
    <w:rsid w:val="00F96058"/>
    <w:rsid w:val="00F9612E"/>
    <w:rsid w:val="00F966A4"/>
    <w:rsid w:val="00F9671A"/>
    <w:rsid w:val="00F96C3D"/>
    <w:rsid w:val="00F96CB7"/>
    <w:rsid w:val="00F97575"/>
    <w:rsid w:val="00F97E10"/>
    <w:rsid w:val="00FA0AAB"/>
    <w:rsid w:val="00FA1220"/>
    <w:rsid w:val="00FA15C5"/>
    <w:rsid w:val="00FA173A"/>
    <w:rsid w:val="00FA190E"/>
    <w:rsid w:val="00FA19AF"/>
    <w:rsid w:val="00FA20A3"/>
    <w:rsid w:val="00FA20DD"/>
    <w:rsid w:val="00FA26FF"/>
    <w:rsid w:val="00FA2944"/>
    <w:rsid w:val="00FA2C4C"/>
    <w:rsid w:val="00FA3211"/>
    <w:rsid w:val="00FA3975"/>
    <w:rsid w:val="00FA4ACE"/>
    <w:rsid w:val="00FA5CE3"/>
    <w:rsid w:val="00FA6DC5"/>
    <w:rsid w:val="00FA723B"/>
    <w:rsid w:val="00FA7BC9"/>
    <w:rsid w:val="00FB0456"/>
    <w:rsid w:val="00FB05D9"/>
    <w:rsid w:val="00FB0C47"/>
    <w:rsid w:val="00FB23BE"/>
    <w:rsid w:val="00FB2446"/>
    <w:rsid w:val="00FB2669"/>
    <w:rsid w:val="00FB291A"/>
    <w:rsid w:val="00FB2F10"/>
    <w:rsid w:val="00FB383B"/>
    <w:rsid w:val="00FB3AD7"/>
    <w:rsid w:val="00FB3B8C"/>
    <w:rsid w:val="00FB3BBE"/>
    <w:rsid w:val="00FB40AD"/>
    <w:rsid w:val="00FB55D4"/>
    <w:rsid w:val="00FB637C"/>
    <w:rsid w:val="00FB6806"/>
    <w:rsid w:val="00FB6907"/>
    <w:rsid w:val="00FC19B4"/>
    <w:rsid w:val="00FC1FE0"/>
    <w:rsid w:val="00FC2260"/>
    <w:rsid w:val="00FC244D"/>
    <w:rsid w:val="00FC27BE"/>
    <w:rsid w:val="00FC2DA3"/>
    <w:rsid w:val="00FC33D0"/>
    <w:rsid w:val="00FC356E"/>
    <w:rsid w:val="00FC3A5B"/>
    <w:rsid w:val="00FC3E64"/>
    <w:rsid w:val="00FC448E"/>
    <w:rsid w:val="00FC4864"/>
    <w:rsid w:val="00FC4FD5"/>
    <w:rsid w:val="00FC6096"/>
    <w:rsid w:val="00FC6EDC"/>
    <w:rsid w:val="00FC71A4"/>
    <w:rsid w:val="00FC7BB4"/>
    <w:rsid w:val="00FC7F7D"/>
    <w:rsid w:val="00FD0070"/>
    <w:rsid w:val="00FD0073"/>
    <w:rsid w:val="00FD18FE"/>
    <w:rsid w:val="00FD2E92"/>
    <w:rsid w:val="00FD349A"/>
    <w:rsid w:val="00FD394C"/>
    <w:rsid w:val="00FD3E41"/>
    <w:rsid w:val="00FD4626"/>
    <w:rsid w:val="00FD4850"/>
    <w:rsid w:val="00FD5EED"/>
    <w:rsid w:val="00FE039E"/>
    <w:rsid w:val="00FE0756"/>
    <w:rsid w:val="00FE07B9"/>
    <w:rsid w:val="00FE0A7D"/>
    <w:rsid w:val="00FE22E4"/>
    <w:rsid w:val="00FE239C"/>
    <w:rsid w:val="00FE269B"/>
    <w:rsid w:val="00FE272F"/>
    <w:rsid w:val="00FE2AAE"/>
    <w:rsid w:val="00FE3EA0"/>
    <w:rsid w:val="00FE3F2E"/>
    <w:rsid w:val="00FE42B6"/>
    <w:rsid w:val="00FE4BB8"/>
    <w:rsid w:val="00FE51BB"/>
    <w:rsid w:val="00FE563B"/>
    <w:rsid w:val="00FE5E4B"/>
    <w:rsid w:val="00FE63FA"/>
    <w:rsid w:val="00FE7089"/>
    <w:rsid w:val="00FE72A3"/>
    <w:rsid w:val="00FE7776"/>
    <w:rsid w:val="00FE7DCB"/>
    <w:rsid w:val="00FE7E7E"/>
    <w:rsid w:val="00FF05F5"/>
    <w:rsid w:val="00FF0C94"/>
    <w:rsid w:val="00FF0DA1"/>
    <w:rsid w:val="00FF0FDA"/>
    <w:rsid w:val="00FF199B"/>
    <w:rsid w:val="00FF23DC"/>
    <w:rsid w:val="00FF24A2"/>
    <w:rsid w:val="00FF2915"/>
    <w:rsid w:val="00FF3335"/>
    <w:rsid w:val="00FF336F"/>
    <w:rsid w:val="00FF4099"/>
    <w:rsid w:val="00FF4221"/>
    <w:rsid w:val="00FF450E"/>
    <w:rsid w:val="00FF4C81"/>
    <w:rsid w:val="00FF5245"/>
    <w:rsid w:val="00FF6146"/>
    <w:rsid w:val="00FF61D8"/>
    <w:rsid w:val="00FF6681"/>
    <w:rsid w:val="00FF7C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60EF7"/>
    <w:pPr>
      <w:widowControl w:val="0"/>
      <w:adjustRightInd w:val="0"/>
      <w:spacing w:line="372" w:lineRule="exact"/>
      <w:textAlignment w:val="center"/>
    </w:pPr>
    <w:rPr>
      <w:rFonts w:eastAsia="細明體"/>
    </w:rPr>
  </w:style>
  <w:style w:type="paragraph" w:styleId="11">
    <w:name w:val="heading 1"/>
    <w:basedOn w:val="a1"/>
    <w:link w:val="12"/>
    <w:uiPriority w:val="9"/>
    <w:qFormat/>
    <w:pPr>
      <w:widowControl/>
      <w:adjustRightInd/>
      <w:spacing w:before="100" w:beforeAutospacing="1" w:after="100" w:afterAutospacing="1" w:line="240" w:lineRule="auto"/>
      <w:textAlignment w:val="auto"/>
      <w:outlineLvl w:val="0"/>
    </w:pPr>
    <w:rPr>
      <w:rFonts w:ascii="Arial Unicode MS" w:eastAsia="Arial Unicode MS" w:hAnsi="Arial Unicode MS" w:cs="Arial Unicode MS"/>
      <w:b/>
      <w:bCs/>
      <w:kern w:val="36"/>
      <w:sz w:val="48"/>
      <w:szCs w:val="48"/>
    </w:rPr>
  </w:style>
  <w:style w:type="paragraph" w:styleId="21">
    <w:name w:val="heading 2"/>
    <w:basedOn w:val="a1"/>
    <w:next w:val="a1"/>
    <w:link w:val="22"/>
    <w:qFormat/>
    <w:rsid w:val="00286F49"/>
    <w:pPr>
      <w:keepNext/>
      <w:spacing w:after="240" w:line="720" w:lineRule="atLeast"/>
      <w:ind w:left="397"/>
      <w:textAlignment w:val="baseline"/>
      <w:outlineLvl w:val="1"/>
    </w:pPr>
    <w:rPr>
      <w:rFonts w:ascii="Book Antiqua" w:eastAsia="華康楷書體W5" w:hAnsi="Arial"/>
      <w:b/>
      <w:spacing w:val="10"/>
      <w:sz w:val="40"/>
    </w:rPr>
  </w:style>
  <w:style w:type="paragraph" w:styleId="3">
    <w:name w:val="heading 3"/>
    <w:basedOn w:val="a1"/>
    <w:next w:val="a1"/>
    <w:link w:val="30"/>
    <w:uiPriority w:val="9"/>
    <w:unhideWhenUsed/>
    <w:qFormat/>
    <w:rsid w:val="00E1645B"/>
    <w:pPr>
      <w:keepNext/>
      <w:spacing w:line="720" w:lineRule="atLeast"/>
      <w:outlineLvl w:val="2"/>
    </w:pPr>
    <w:rPr>
      <w:rFonts w:ascii="Cambria" w:eastAsia="新細明體" w:hAnsi="Cambria"/>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31">
    <w:name w:val="弟3行"/>
    <w:basedOn w:val="a1"/>
    <w:pPr>
      <w:spacing w:line="300" w:lineRule="exact"/>
    </w:pPr>
    <w:rPr>
      <w:rFonts w:eastAsia=".文鼎中楷"/>
      <w:sz w:val="36"/>
    </w:rPr>
  </w:style>
  <w:style w:type="paragraph" w:customStyle="1" w:styleId="a5">
    <w:name w:val="信內文"/>
    <w:basedOn w:val="31"/>
    <w:pPr>
      <w:spacing w:line="360" w:lineRule="auto"/>
    </w:pPr>
    <w:rPr>
      <w:rFonts w:ascii=".文鼎中楷"/>
      <w:spacing w:val="43"/>
    </w:rPr>
  </w:style>
  <w:style w:type="paragraph" w:styleId="a6">
    <w:name w:val="footer"/>
    <w:basedOn w:val="a1"/>
    <w:link w:val="a7"/>
    <w:uiPriority w:val="99"/>
    <w:pPr>
      <w:tabs>
        <w:tab w:val="center" w:pos="4153"/>
        <w:tab w:val="right" w:pos="8306"/>
      </w:tabs>
      <w:spacing w:line="360" w:lineRule="auto"/>
    </w:pPr>
    <w:rPr>
      <w:sz w:val="18"/>
    </w:rPr>
  </w:style>
  <w:style w:type="paragraph" w:styleId="a8">
    <w:name w:val="header"/>
    <w:basedOn w:val="a1"/>
    <w:link w:val="a9"/>
    <w:uiPriority w:val="99"/>
    <w:pPr>
      <w:tabs>
        <w:tab w:val="center" w:pos="4153"/>
        <w:tab w:val="right" w:pos="8306"/>
      </w:tabs>
    </w:pPr>
  </w:style>
  <w:style w:type="character" w:styleId="aa">
    <w:name w:val="page number"/>
    <w:rPr>
      <w:rFonts w:ascii="Times New Roman" w:hAnsi="Times New Roman" w:cs="Times New Roman"/>
    </w:rPr>
  </w:style>
  <w:style w:type="paragraph" w:customStyle="1" w:styleId="ab">
    <w:name w:val="主旨"/>
    <w:basedOn w:val="a1"/>
    <w:pPr>
      <w:spacing w:line="720" w:lineRule="exact"/>
      <w:ind w:left="1021" w:hanging="1021"/>
    </w:pPr>
    <w:rPr>
      <w:rFonts w:eastAsia=".文鼎中楷"/>
      <w:sz w:val="36"/>
    </w:rPr>
  </w:style>
  <w:style w:type="paragraph" w:customStyle="1" w:styleId="13">
    <w:name w:val="說明1"/>
    <w:basedOn w:val="ab"/>
  </w:style>
  <w:style w:type="paragraph" w:customStyle="1" w:styleId="ac">
    <w:name w:val="說明"/>
    <w:basedOn w:val="ab"/>
    <w:pPr>
      <w:ind w:left="1474" w:hanging="1474"/>
    </w:pPr>
  </w:style>
  <w:style w:type="paragraph" w:customStyle="1" w:styleId="ad">
    <w:name w:val="二"/>
    <w:basedOn w:val="ac"/>
    <w:pPr>
      <w:ind w:left="397" w:hanging="397"/>
    </w:pPr>
  </w:style>
  <w:style w:type="paragraph" w:customStyle="1" w:styleId="ae">
    <w:name w:val="(一)"/>
    <w:basedOn w:val="ad"/>
    <w:pPr>
      <w:ind w:left="794"/>
    </w:pPr>
  </w:style>
  <w:style w:type="paragraph" w:customStyle="1" w:styleId="af">
    <w:name w:val="案由"/>
    <w:basedOn w:val="a1"/>
    <w:pPr>
      <w:spacing w:line="680" w:lineRule="exact"/>
      <w:ind w:left="1134" w:hanging="1134"/>
      <w:jc w:val="both"/>
    </w:pPr>
    <w:rPr>
      <w:rFonts w:ascii="華康中楷體" w:eastAsia="華康中楷體"/>
      <w:spacing w:val="16"/>
      <w:sz w:val="36"/>
    </w:rPr>
  </w:style>
  <w:style w:type="paragraph" w:customStyle="1" w:styleId="af0">
    <w:name w:val="二、"/>
    <w:basedOn w:val="a1"/>
    <w:pPr>
      <w:spacing w:line="680" w:lineRule="exact"/>
      <w:ind w:left="1560" w:hanging="426"/>
      <w:jc w:val="both"/>
    </w:pPr>
    <w:rPr>
      <w:rFonts w:ascii="華康中楷體" w:eastAsia="華康中楷體"/>
      <w:spacing w:val="16"/>
      <w:sz w:val="36"/>
    </w:rPr>
  </w:style>
  <w:style w:type="paragraph" w:customStyle="1" w:styleId="14">
    <w:name w:val="本文縮排1"/>
    <w:basedOn w:val="a1"/>
    <w:pPr>
      <w:spacing w:line="680" w:lineRule="exact"/>
      <w:ind w:left="2002" w:hanging="420"/>
      <w:jc w:val="both"/>
      <w:textDirection w:val="lrTbV"/>
    </w:pPr>
    <w:rPr>
      <w:rFonts w:ascii="華康楷書體W5" w:eastAsia="華康楷書體W5"/>
      <w:spacing w:val="16"/>
      <w:sz w:val="36"/>
    </w:rPr>
  </w:style>
  <w:style w:type="paragraph" w:styleId="23">
    <w:name w:val="Body Text Indent 2"/>
    <w:basedOn w:val="a1"/>
    <w:pPr>
      <w:spacing w:line="640" w:lineRule="exact"/>
      <w:ind w:left="1120"/>
      <w:jc w:val="both"/>
      <w:textDirection w:val="lrTbV"/>
    </w:pPr>
    <w:rPr>
      <w:rFonts w:ascii="華康楷書體W5" w:eastAsia="華康楷書體W5"/>
      <w:spacing w:val="16"/>
      <w:sz w:val="36"/>
    </w:rPr>
  </w:style>
  <w:style w:type="paragraph" w:styleId="32">
    <w:name w:val="Body Text Indent 3"/>
    <w:basedOn w:val="a1"/>
    <w:pPr>
      <w:spacing w:line="680" w:lineRule="exact"/>
      <w:ind w:left="1134"/>
      <w:jc w:val="both"/>
      <w:textDirection w:val="lrTbV"/>
    </w:pPr>
    <w:rPr>
      <w:rFonts w:ascii="華康楷書體W5" w:eastAsia="華康楷書體W5"/>
      <w:spacing w:val="16"/>
      <w:sz w:val="36"/>
    </w:rPr>
  </w:style>
  <w:style w:type="paragraph" w:styleId="af1">
    <w:name w:val="Block Text"/>
    <w:basedOn w:val="a1"/>
    <w:pPr>
      <w:spacing w:line="680" w:lineRule="exact"/>
      <w:ind w:left="1596" w:right="-20" w:hanging="1596"/>
      <w:jc w:val="both"/>
      <w:textDirection w:val="lrTbV"/>
    </w:pPr>
    <w:rPr>
      <w:rFonts w:ascii="華康楷書體W5" w:eastAsia="華康楷書體W5"/>
      <w:spacing w:val="10"/>
      <w:sz w:val="36"/>
    </w:rPr>
  </w:style>
  <w:style w:type="paragraph" w:customStyle="1" w:styleId="BodyTextIndent31">
    <w:name w:val="Body Text Indent 31"/>
    <w:basedOn w:val="a1"/>
    <w:pPr>
      <w:autoSpaceDE w:val="0"/>
      <w:autoSpaceDN w:val="0"/>
      <w:spacing w:line="420" w:lineRule="exact"/>
      <w:ind w:left="624" w:hanging="624"/>
      <w:jc w:val="both"/>
      <w:textDirection w:val="lrTbV"/>
      <w:textAlignment w:val="baseline"/>
    </w:pPr>
    <w:rPr>
      <w:rFonts w:ascii="標楷體" w:eastAsia="標楷體"/>
      <w:sz w:val="32"/>
    </w:rPr>
  </w:style>
  <w:style w:type="paragraph" w:customStyle="1" w:styleId="af2">
    <w:name w:val="一、"/>
    <w:basedOn w:val="a1"/>
    <w:pPr>
      <w:spacing w:line="680" w:lineRule="exact"/>
      <w:ind w:left="425" w:hanging="425"/>
      <w:jc w:val="both"/>
    </w:pPr>
    <w:rPr>
      <w:rFonts w:ascii="華康楷書體W5" w:eastAsia="華康楷書體W5"/>
      <w:spacing w:val="16"/>
      <w:sz w:val="36"/>
    </w:rPr>
  </w:style>
  <w:style w:type="paragraph" w:styleId="Web">
    <w:name w:val="Normal (Web)"/>
    <w:basedOn w:val="a1"/>
    <w:uiPriority w:val="99"/>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
    <w:name w:val="bodytextindent31"/>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3">
    <w:name w:val="Plain Text"/>
    <w:basedOn w:val="a1"/>
    <w:semiHidden/>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0">
    <w:name w:val="bodytextindent310"/>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4">
    <w:name w:val="Body Text"/>
    <w:basedOn w:val="a1"/>
    <w:link w:val="af5"/>
    <w:pPr>
      <w:spacing w:before="50" w:line="560" w:lineRule="exact"/>
    </w:pPr>
    <w:rPr>
      <w:rFonts w:eastAsia="標楷體"/>
      <w:sz w:val="32"/>
    </w:rPr>
  </w:style>
  <w:style w:type="paragraph" w:styleId="HTML">
    <w:name w:val="HTML Preformatted"/>
    <w:basedOn w:val="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Arial Unicode MS" w:eastAsia="Arial Unicode MS" w:hAnsi="Arial Unicode MS"/>
    </w:rPr>
  </w:style>
  <w:style w:type="character" w:styleId="af6">
    <w:name w:val="Emphasis"/>
    <w:uiPriority w:val="20"/>
    <w:qFormat/>
    <w:rPr>
      <w:rFonts w:ascii="Times New Roman" w:hAnsi="Times New Roman" w:cs="Times New Roman"/>
      <w:color w:val="CC0033"/>
    </w:rPr>
  </w:style>
  <w:style w:type="character" w:styleId="af7">
    <w:name w:val="annotation reference"/>
    <w:semiHidden/>
    <w:rPr>
      <w:rFonts w:ascii="Times New Roman" w:hAnsi="Times New Roman" w:cs="Times New Roman"/>
      <w:sz w:val="18"/>
      <w:szCs w:val="18"/>
    </w:rPr>
  </w:style>
  <w:style w:type="paragraph" w:styleId="af8">
    <w:name w:val="annotation text"/>
    <w:basedOn w:val="a1"/>
    <w:link w:val="af9"/>
    <w:semiHidden/>
    <w:pPr>
      <w:adjustRightInd/>
      <w:spacing w:line="560" w:lineRule="exact"/>
      <w:textAlignment w:val="auto"/>
    </w:pPr>
    <w:rPr>
      <w:rFonts w:eastAsia="標楷體"/>
      <w:kern w:val="2"/>
      <w:sz w:val="32"/>
      <w:szCs w:val="24"/>
    </w:rPr>
  </w:style>
  <w:style w:type="character" w:customStyle="1" w:styleId="highlight">
    <w:name w:val="highlight"/>
    <w:rPr>
      <w:rFonts w:ascii="Times New Roman" w:hAnsi="Times New Roman" w:cs="Times New Roman"/>
    </w:rPr>
  </w:style>
  <w:style w:type="character" w:styleId="afa">
    <w:name w:val="Strong"/>
    <w:qFormat/>
    <w:rPr>
      <w:rFonts w:ascii="Times New Roman" w:hAnsi="Times New Roman" w:cs="Times New Roman"/>
      <w:b/>
      <w:bCs/>
    </w:rPr>
  </w:style>
  <w:style w:type="paragraph" w:customStyle="1" w:styleId="a0">
    <w:name w:val="一"/>
    <w:basedOn w:val="a1"/>
    <w:pPr>
      <w:numPr>
        <w:numId w:val="6"/>
      </w:numPr>
      <w:tabs>
        <w:tab w:val="left" w:leader="hyphen" w:pos="3402"/>
        <w:tab w:val="left" w:leader="hyphen" w:pos="6804"/>
        <w:tab w:val="left" w:leader="hyphen" w:pos="10206"/>
        <w:tab w:val="left" w:leader="hyphen" w:pos="13608"/>
      </w:tabs>
      <w:spacing w:before="50" w:line="560" w:lineRule="exact"/>
      <w:jc w:val="both"/>
      <w:textAlignment w:val="baseline"/>
    </w:pPr>
    <w:rPr>
      <w:rFonts w:eastAsia="標楷體"/>
      <w:spacing w:val="-10"/>
      <w:sz w:val="32"/>
      <w:szCs w:val="32"/>
    </w:rPr>
  </w:style>
  <w:style w:type="paragraph" w:customStyle="1" w:styleId="15">
    <w:name w:val="1"/>
    <w:basedOn w:val="ae"/>
    <w:pPr>
      <w:tabs>
        <w:tab w:val="left" w:leader="hyphen" w:pos="3402"/>
        <w:tab w:val="left" w:leader="hyphen" w:pos="6804"/>
        <w:tab w:val="left" w:leader="hyphen" w:pos="10206"/>
        <w:tab w:val="left" w:leader="hyphen" w:pos="13608"/>
      </w:tabs>
      <w:spacing w:before="50" w:line="240" w:lineRule="auto"/>
      <w:ind w:left="1440" w:hanging="540"/>
      <w:jc w:val="both"/>
      <w:textAlignment w:val="baseline"/>
    </w:pPr>
    <w:rPr>
      <w:rFonts w:eastAsia="標楷體"/>
      <w:spacing w:val="-22"/>
      <w:sz w:val="32"/>
      <w:szCs w:val="32"/>
    </w:rPr>
  </w:style>
  <w:style w:type="paragraph" w:styleId="afb">
    <w:name w:val="Body Text Indent"/>
    <w:basedOn w:val="a1"/>
    <w:pPr>
      <w:spacing w:before="100" w:line="540" w:lineRule="exact"/>
      <w:ind w:left="620"/>
      <w:jc w:val="both"/>
    </w:pPr>
    <w:rPr>
      <w:rFonts w:eastAsia="標楷體"/>
      <w:sz w:val="32"/>
    </w:rPr>
  </w:style>
  <w:style w:type="character" w:customStyle="1" w:styleId="cpt2">
    <w:name w:val="cpt2"/>
    <w:basedOn w:val="a2"/>
  </w:style>
  <w:style w:type="paragraph" w:customStyle="1" w:styleId="Default">
    <w:name w:val="Default"/>
    <w:uiPriority w:val="99"/>
    <w:pPr>
      <w:widowControl w:val="0"/>
      <w:autoSpaceDE w:val="0"/>
      <w:autoSpaceDN w:val="0"/>
      <w:adjustRightInd w:val="0"/>
    </w:pPr>
    <w:rPr>
      <w:rFonts w:ascii="標楷體" w:eastAsia="標楷體"/>
      <w:color w:val="000000"/>
      <w:sz w:val="24"/>
      <w:szCs w:val="24"/>
    </w:rPr>
  </w:style>
  <w:style w:type="character" w:customStyle="1" w:styleId="boldtitle1">
    <w:name w:val="boldtitle1"/>
    <w:rPr>
      <w:b/>
      <w:bCs/>
    </w:rPr>
  </w:style>
  <w:style w:type="paragraph" w:styleId="afc">
    <w:name w:val="footnote text"/>
    <w:basedOn w:val="a1"/>
    <w:link w:val="afd"/>
    <w:uiPriority w:val="99"/>
    <w:pPr>
      <w:adjustRightInd/>
      <w:snapToGrid w:val="0"/>
      <w:spacing w:line="240" w:lineRule="auto"/>
      <w:textAlignment w:val="auto"/>
    </w:pPr>
    <w:rPr>
      <w:rFonts w:eastAsia="新細明體"/>
      <w:kern w:val="2"/>
    </w:rPr>
  </w:style>
  <w:style w:type="character" w:styleId="afe">
    <w:name w:val="footnote reference"/>
    <w:uiPriority w:val="99"/>
    <w:rPr>
      <w:vertAlign w:val="superscript"/>
    </w:rPr>
  </w:style>
  <w:style w:type="paragraph" w:styleId="aff">
    <w:name w:val="annotation subject"/>
    <w:basedOn w:val="af8"/>
    <w:next w:val="af8"/>
    <w:link w:val="aff0"/>
    <w:uiPriority w:val="99"/>
    <w:semiHidden/>
    <w:unhideWhenUsed/>
    <w:rsid w:val="001A5E2D"/>
    <w:pPr>
      <w:adjustRightInd w:val="0"/>
      <w:spacing w:line="372" w:lineRule="exact"/>
      <w:textAlignment w:val="center"/>
    </w:pPr>
    <w:rPr>
      <w:rFonts w:eastAsia="細明體"/>
      <w:b/>
      <w:bCs/>
      <w:kern w:val="0"/>
      <w:sz w:val="20"/>
      <w:szCs w:val="20"/>
    </w:rPr>
  </w:style>
  <w:style w:type="character" w:customStyle="1" w:styleId="af9">
    <w:name w:val="註解文字 字元"/>
    <w:link w:val="af8"/>
    <w:semiHidden/>
    <w:rsid w:val="001A5E2D"/>
    <w:rPr>
      <w:rFonts w:eastAsia="標楷體"/>
      <w:kern w:val="2"/>
      <w:sz w:val="32"/>
      <w:szCs w:val="24"/>
    </w:rPr>
  </w:style>
  <w:style w:type="character" w:customStyle="1" w:styleId="aff0">
    <w:name w:val="註解主旨 字元"/>
    <w:link w:val="aff"/>
    <w:uiPriority w:val="99"/>
    <w:semiHidden/>
    <w:rsid w:val="001A5E2D"/>
    <w:rPr>
      <w:rFonts w:eastAsia="細明體"/>
      <w:b/>
      <w:bCs/>
      <w:kern w:val="2"/>
      <w:sz w:val="32"/>
      <w:szCs w:val="24"/>
    </w:rPr>
  </w:style>
  <w:style w:type="paragraph" w:styleId="aff1">
    <w:name w:val="Balloon Text"/>
    <w:basedOn w:val="a1"/>
    <w:link w:val="aff2"/>
    <w:unhideWhenUsed/>
    <w:rsid w:val="001A5E2D"/>
    <w:pPr>
      <w:spacing w:line="240" w:lineRule="auto"/>
    </w:pPr>
    <w:rPr>
      <w:rFonts w:ascii="Cambria" w:eastAsia="新細明體" w:hAnsi="Cambria"/>
      <w:sz w:val="18"/>
      <w:szCs w:val="18"/>
    </w:rPr>
  </w:style>
  <w:style w:type="character" w:customStyle="1" w:styleId="aff2">
    <w:name w:val="註解方塊文字 字元"/>
    <w:link w:val="aff1"/>
    <w:rsid w:val="001A5E2D"/>
    <w:rPr>
      <w:rFonts w:ascii="Cambria" w:eastAsia="新細明體" w:hAnsi="Cambria" w:cs="Times New Roman"/>
      <w:sz w:val="18"/>
      <w:szCs w:val="18"/>
    </w:rPr>
  </w:style>
  <w:style w:type="character" w:customStyle="1" w:styleId="30">
    <w:name w:val="標題 3 字元"/>
    <w:link w:val="3"/>
    <w:uiPriority w:val="9"/>
    <w:semiHidden/>
    <w:rsid w:val="00E1645B"/>
    <w:rPr>
      <w:rFonts w:ascii="Cambria" w:eastAsia="新細明體" w:hAnsi="Cambria" w:cs="Times New Roman"/>
      <w:b/>
      <w:bCs/>
      <w:sz w:val="36"/>
      <w:szCs w:val="36"/>
    </w:rPr>
  </w:style>
  <w:style w:type="character" w:customStyle="1" w:styleId="st1">
    <w:name w:val="st1"/>
    <w:rsid w:val="002B4F91"/>
  </w:style>
  <w:style w:type="character" w:customStyle="1" w:styleId="22">
    <w:name w:val="標題 2 字元"/>
    <w:link w:val="21"/>
    <w:rsid w:val="00286F49"/>
    <w:rPr>
      <w:rFonts w:ascii="Book Antiqua" w:eastAsia="華康楷書體W5" w:hAnsi="Arial"/>
      <w:b/>
      <w:spacing w:val="10"/>
      <w:sz w:val="40"/>
    </w:rPr>
  </w:style>
  <w:style w:type="paragraph" w:customStyle="1" w:styleId="aff3">
    <w:name w:val="表附註"/>
    <w:basedOn w:val="24"/>
    <w:rsid w:val="00286F49"/>
    <w:pPr>
      <w:spacing w:after="0" w:line="240" w:lineRule="atLeast"/>
      <w:ind w:left="0"/>
    </w:pPr>
    <w:rPr>
      <w:spacing w:val="0"/>
      <w:sz w:val="24"/>
    </w:rPr>
  </w:style>
  <w:style w:type="paragraph" w:customStyle="1" w:styleId="24">
    <w:name w:val="內文2"/>
    <w:basedOn w:val="a1"/>
    <w:rsid w:val="00286F49"/>
    <w:pPr>
      <w:spacing w:before="120" w:after="120" w:line="324" w:lineRule="auto"/>
      <w:ind w:left="1134"/>
      <w:jc w:val="both"/>
      <w:textAlignment w:val="baseline"/>
    </w:pPr>
    <w:rPr>
      <w:rFonts w:ascii="Book Antiqua" w:eastAsia="華康楷書體W5"/>
      <w:spacing w:val="10"/>
      <w:sz w:val="36"/>
    </w:rPr>
  </w:style>
  <w:style w:type="paragraph" w:customStyle="1" w:styleId="16">
    <w:name w:val="內文1"/>
    <w:basedOn w:val="a1"/>
    <w:rsid w:val="00286F49"/>
    <w:pPr>
      <w:spacing w:before="120" w:after="120" w:line="360" w:lineRule="auto"/>
      <w:ind w:left="964" w:firstLine="397"/>
      <w:jc w:val="both"/>
      <w:textAlignment w:val="baseline"/>
    </w:pPr>
    <w:rPr>
      <w:rFonts w:ascii="Book Antiqua" w:eastAsia="華康中楷體"/>
      <w:spacing w:val="10"/>
      <w:sz w:val="36"/>
    </w:rPr>
  </w:style>
  <w:style w:type="paragraph" w:customStyle="1" w:styleId="33">
    <w:name w:val="內文3"/>
    <w:basedOn w:val="16"/>
    <w:rsid w:val="00286F49"/>
    <w:pPr>
      <w:ind w:left="2042" w:hanging="1021"/>
    </w:pPr>
    <w:rPr>
      <w:rFonts w:eastAsia="華康楷書體W5"/>
    </w:rPr>
  </w:style>
  <w:style w:type="paragraph" w:customStyle="1" w:styleId="4">
    <w:name w:val="內文4"/>
    <w:basedOn w:val="33"/>
    <w:rsid w:val="00286F49"/>
    <w:pPr>
      <w:spacing w:line="680" w:lineRule="exact"/>
      <w:ind w:left="1645" w:hanging="624"/>
    </w:pPr>
  </w:style>
  <w:style w:type="paragraph" w:customStyle="1" w:styleId="5">
    <w:name w:val="內文5"/>
    <w:basedOn w:val="33"/>
    <w:rsid w:val="00286F49"/>
    <w:pPr>
      <w:spacing w:before="240"/>
      <w:ind w:left="1305" w:hanging="284"/>
    </w:pPr>
  </w:style>
  <w:style w:type="paragraph" w:customStyle="1" w:styleId="40">
    <w:name w:val="標題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6">
    <w:name w:val="內文6"/>
    <w:basedOn w:val="16"/>
    <w:rsid w:val="00286F49"/>
    <w:pPr>
      <w:spacing w:line="680" w:lineRule="exact"/>
      <w:ind w:left="567" w:firstLine="680"/>
    </w:pPr>
    <w:rPr>
      <w:rFonts w:eastAsia="華康楷書體W5"/>
    </w:rPr>
  </w:style>
  <w:style w:type="paragraph" w:customStyle="1" w:styleId="50">
    <w:name w:val="標題5"/>
    <w:basedOn w:val="40"/>
    <w:rsid w:val="00286F49"/>
    <w:pPr>
      <w:ind w:left="567"/>
    </w:pPr>
    <w:rPr>
      <w:rFonts w:ascii="Book Antiqua"/>
      <w:b w:val="0"/>
      <w:sz w:val="32"/>
    </w:rPr>
  </w:style>
  <w:style w:type="paragraph" w:customStyle="1" w:styleId="7">
    <w:name w:val="內文7"/>
    <w:basedOn w:val="4"/>
    <w:rsid w:val="00286F49"/>
    <w:pPr>
      <w:ind w:left="2211" w:hanging="964"/>
    </w:pPr>
  </w:style>
  <w:style w:type="paragraph" w:customStyle="1" w:styleId="60">
    <w:name w:val="標題6"/>
    <w:basedOn w:val="50"/>
    <w:rsid w:val="00286F49"/>
    <w:rPr>
      <w:b/>
    </w:rPr>
  </w:style>
  <w:style w:type="paragraph" w:customStyle="1" w:styleId="70">
    <w:name w:val="標題7"/>
    <w:basedOn w:val="3"/>
    <w:rsid w:val="00286F49"/>
    <w:pPr>
      <w:spacing w:before="120" w:after="360"/>
      <w:ind w:left="794" w:hanging="1247"/>
      <w:jc w:val="both"/>
      <w:textAlignment w:val="baseline"/>
      <w:outlineLvl w:val="9"/>
    </w:pPr>
    <w:rPr>
      <w:rFonts w:ascii="Arial" w:eastAsia="華康楷書體W5" w:hAnsi="Arial"/>
      <w:b w:val="0"/>
      <w:bCs w:val="0"/>
      <w:spacing w:val="10"/>
      <w:szCs w:val="20"/>
    </w:rPr>
  </w:style>
  <w:style w:type="paragraph" w:customStyle="1" w:styleId="8">
    <w:name w:val="內文8"/>
    <w:basedOn w:val="7"/>
    <w:rsid w:val="00286F49"/>
    <w:pPr>
      <w:spacing w:before="0" w:after="0"/>
    </w:pPr>
  </w:style>
  <w:style w:type="paragraph" w:customStyle="1" w:styleId="9">
    <w:name w:val="內文9"/>
    <w:basedOn w:val="4"/>
    <w:rsid w:val="00286F49"/>
    <w:pPr>
      <w:spacing w:before="0" w:after="0"/>
    </w:pPr>
  </w:style>
  <w:style w:type="paragraph" w:customStyle="1" w:styleId="17">
    <w:name w:val="樣式1"/>
    <w:basedOn w:val="a1"/>
    <w:rsid w:val="00286F49"/>
    <w:pPr>
      <w:spacing w:after="240" w:line="680" w:lineRule="exact"/>
      <w:ind w:left="1134" w:firstLine="567"/>
      <w:jc w:val="both"/>
      <w:textAlignment w:val="baseline"/>
    </w:pPr>
    <w:rPr>
      <w:rFonts w:ascii="Book Antiqua" w:eastAsia="華康楷書體W5"/>
      <w:spacing w:val="10"/>
      <w:sz w:val="36"/>
    </w:rPr>
  </w:style>
  <w:style w:type="paragraph" w:customStyle="1" w:styleId="80">
    <w:name w:val="標題8"/>
    <w:basedOn w:val="3"/>
    <w:rsid w:val="00286F49"/>
    <w:pPr>
      <w:spacing w:before="120" w:after="360"/>
      <w:ind w:left="1814" w:hanging="1247"/>
      <w:jc w:val="both"/>
      <w:textAlignment w:val="baseline"/>
      <w:outlineLvl w:val="9"/>
    </w:pPr>
    <w:rPr>
      <w:rFonts w:ascii="Arial" w:eastAsia="華康楷書體W5" w:hAnsi="Arial"/>
      <w:bCs w:val="0"/>
      <w:spacing w:val="10"/>
      <w:sz w:val="40"/>
      <w:szCs w:val="20"/>
    </w:rPr>
  </w:style>
  <w:style w:type="paragraph" w:customStyle="1" w:styleId="90">
    <w:name w:val="標題9"/>
    <w:basedOn w:val="70"/>
    <w:rsid w:val="00286F49"/>
    <w:pPr>
      <w:ind w:left="680" w:firstLine="0"/>
      <w:jc w:val="left"/>
    </w:pPr>
  </w:style>
  <w:style w:type="paragraph" w:customStyle="1" w:styleId="100">
    <w:name w:val="內文10"/>
    <w:basedOn w:val="6"/>
    <w:rsid w:val="00286F49"/>
    <w:pPr>
      <w:ind w:firstLine="454"/>
    </w:pPr>
  </w:style>
  <w:style w:type="paragraph" w:customStyle="1" w:styleId="110">
    <w:name w:val="內文11"/>
    <w:basedOn w:val="100"/>
    <w:rsid w:val="00286F49"/>
  </w:style>
  <w:style w:type="paragraph" w:customStyle="1" w:styleId="120">
    <w:name w:val="內文12"/>
    <w:basedOn w:val="8"/>
    <w:rsid w:val="00286F49"/>
    <w:pPr>
      <w:ind w:left="1248"/>
    </w:pPr>
    <w:rPr>
      <w:spacing w:val="0"/>
    </w:rPr>
  </w:style>
  <w:style w:type="paragraph" w:customStyle="1" w:styleId="aff4">
    <w:name w:val="ｂ（）ｒ"/>
    <w:basedOn w:val="a1"/>
    <w:rsid w:val="00286F49"/>
    <w:pPr>
      <w:spacing w:before="120" w:after="120" w:line="680" w:lineRule="exact"/>
      <w:ind w:left="2042" w:hanging="1021"/>
      <w:jc w:val="both"/>
      <w:textDirection w:val="lrTbV"/>
      <w:textAlignment w:val="baseline"/>
    </w:pPr>
    <w:rPr>
      <w:rFonts w:ascii="Book Antiqua" w:eastAsia="標楷體"/>
      <w:color w:val="000000"/>
      <w:spacing w:val="10"/>
      <w:sz w:val="36"/>
    </w:rPr>
  </w:style>
  <w:style w:type="paragraph" w:customStyle="1" w:styleId="210">
    <w:name w:val="本文 21"/>
    <w:basedOn w:val="a1"/>
    <w:rsid w:val="00286F49"/>
    <w:pPr>
      <w:spacing w:line="240" w:lineRule="auto"/>
      <w:ind w:firstLine="720"/>
      <w:jc w:val="both"/>
      <w:textAlignment w:val="baseline"/>
    </w:pPr>
    <w:rPr>
      <w:rFonts w:ascii="華康仿宋體W6" w:eastAsia="華康仿宋體W6"/>
      <w:kern w:val="2"/>
      <w:sz w:val="36"/>
    </w:rPr>
  </w:style>
  <w:style w:type="paragraph" w:customStyle="1" w:styleId="aff5">
    <w:name w:val="點段"/>
    <w:basedOn w:val="a1"/>
    <w:rsid w:val="00286F49"/>
    <w:pPr>
      <w:tabs>
        <w:tab w:val="left" w:pos="1332"/>
        <w:tab w:val="left" w:pos="11421"/>
      </w:tabs>
      <w:spacing w:before="120" w:after="120" w:line="440" w:lineRule="atLeast"/>
      <w:ind w:left="976" w:hanging="488"/>
      <w:jc w:val="both"/>
      <w:textAlignment w:val="baseline"/>
    </w:pPr>
    <w:rPr>
      <w:rFonts w:ascii="標楷體" w:eastAsia="標楷體"/>
      <w:sz w:val="36"/>
    </w:rPr>
  </w:style>
  <w:style w:type="paragraph" w:customStyle="1" w:styleId="18">
    <w:name w:val="(1)"/>
    <w:basedOn w:val="a1"/>
    <w:rsid w:val="00286F49"/>
    <w:pPr>
      <w:spacing w:before="120" w:after="120" w:line="360" w:lineRule="auto"/>
      <w:ind w:left="960" w:hanging="450"/>
      <w:jc w:val="both"/>
      <w:textAlignment w:val="baseline"/>
    </w:pPr>
    <w:rPr>
      <w:rFonts w:ascii="細明體"/>
      <w:sz w:val="28"/>
    </w:rPr>
  </w:style>
  <w:style w:type="paragraph" w:customStyle="1" w:styleId="aff6">
    <w:name w:val="(一)文"/>
    <w:basedOn w:val="a1"/>
    <w:rsid w:val="00286F49"/>
    <w:pPr>
      <w:spacing w:before="120" w:after="120" w:line="680" w:lineRule="exact"/>
      <w:ind w:right="40" w:firstLine="765"/>
      <w:textAlignment w:val="baseline"/>
    </w:pPr>
    <w:rPr>
      <w:rFonts w:ascii="華康楷書體W5" w:eastAsia="華康楷書體W5"/>
      <w:spacing w:val="20"/>
      <w:sz w:val="36"/>
    </w:rPr>
  </w:style>
  <w:style w:type="paragraph" w:customStyle="1" w:styleId="aff7">
    <w:name w:val="姓名"/>
    <w:basedOn w:val="a1"/>
    <w:rsid w:val="00286F49"/>
    <w:pPr>
      <w:spacing w:before="120" w:after="120" w:line="360" w:lineRule="auto"/>
      <w:ind w:left="510"/>
      <w:jc w:val="center"/>
      <w:textAlignment w:val="baseline"/>
    </w:pPr>
    <w:rPr>
      <w:rFonts w:ascii="Book Antiqua" w:eastAsia="華康隸書體W5"/>
      <w:sz w:val="28"/>
    </w:rPr>
  </w:style>
  <w:style w:type="paragraph" w:customStyle="1" w:styleId="19">
    <w:name w:val="段落1"/>
    <w:basedOn w:val="a1"/>
    <w:rsid w:val="00286F49"/>
    <w:pPr>
      <w:spacing w:before="120" w:after="120" w:line="960" w:lineRule="atLeast"/>
      <w:ind w:firstLine="1080"/>
      <w:jc w:val="both"/>
      <w:textAlignment w:val="baseline"/>
    </w:pPr>
    <w:rPr>
      <w:rFonts w:ascii="華康中楷體" w:eastAsia="華康中楷體"/>
      <w:spacing w:val="5"/>
      <w:sz w:val="54"/>
    </w:rPr>
  </w:style>
  <w:style w:type="paragraph" w:styleId="aff8">
    <w:name w:val="Document Map"/>
    <w:basedOn w:val="a1"/>
    <w:link w:val="aff9"/>
    <w:semiHidden/>
    <w:rsid w:val="00286F49"/>
    <w:pPr>
      <w:shd w:val="clear" w:color="auto" w:fill="000080"/>
      <w:spacing w:after="240" w:line="680" w:lineRule="exact"/>
      <w:ind w:left="1134" w:firstLine="567"/>
      <w:jc w:val="both"/>
      <w:textAlignment w:val="baseline"/>
    </w:pPr>
    <w:rPr>
      <w:rFonts w:ascii="Arial" w:eastAsia="新細明體" w:hAnsi="Arial"/>
      <w:spacing w:val="10"/>
      <w:sz w:val="36"/>
    </w:rPr>
  </w:style>
  <w:style w:type="character" w:customStyle="1" w:styleId="aff9">
    <w:name w:val="文件引導模式 字元"/>
    <w:link w:val="aff8"/>
    <w:semiHidden/>
    <w:rsid w:val="00286F49"/>
    <w:rPr>
      <w:rFonts w:ascii="Arial" w:hAnsi="Arial"/>
      <w:spacing w:val="10"/>
      <w:sz w:val="36"/>
      <w:shd w:val="clear" w:color="auto" w:fill="000080"/>
    </w:rPr>
  </w:style>
  <w:style w:type="paragraph" w:customStyle="1" w:styleId="D4">
    <w:name w:val="陏D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BodyText22">
    <w:name w:val="Body Text 22"/>
    <w:basedOn w:val="a1"/>
    <w:rsid w:val="00286F49"/>
    <w:pPr>
      <w:spacing w:before="120" w:after="120" w:line="440" w:lineRule="exact"/>
      <w:textAlignment w:val="baseline"/>
    </w:pPr>
    <w:rPr>
      <w:rFonts w:ascii="標楷體" w:eastAsia="標楷體"/>
      <w:sz w:val="30"/>
    </w:rPr>
  </w:style>
  <w:style w:type="paragraph" w:customStyle="1" w:styleId="affa">
    <w:name w:val="中標題"/>
    <w:basedOn w:val="a1"/>
    <w:rsid w:val="00286F49"/>
    <w:pPr>
      <w:tabs>
        <w:tab w:val="left" w:pos="12960"/>
      </w:tabs>
      <w:spacing w:line="400" w:lineRule="atLeast"/>
      <w:textAlignment w:val="baseline"/>
    </w:pPr>
    <w:rPr>
      <w:sz w:val="22"/>
    </w:rPr>
  </w:style>
  <w:style w:type="paragraph" w:customStyle="1" w:styleId="affb">
    <w:name w:val="大標題本文"/>
    <w:basedOn w:val="a1"/>
    <w:rsid w:val="00286F49"/>
    <w:pPr>
      <w:tabs>
        <w:tab w:val="left" w:pos="13680"/>
      </w:tabs>
      <w:spacing w:before="60" w:after="60" w:line="440" w:lineRule="exact"/>
      <w:ind w:firstLine="476"/>
      <w:jc w:val="both"/>
      <w:textAlignment w:val="baseline"/>
    </w:pPr>
    <w:rPr>
      <w:rFonts w:eastAsia="華康中楷體"/>
      <w:sz w:val="24"/>
    </w:rPr>
  </w:style>
  <w:style w:type="character" w:customStyle="1" w:styleId="textstory1">
    <w:name w:val="text_story1"/>
    <w:rsid w:val="00286F49"/>
    <w:rPr>
      <w:rFonts w:ascii="sө" w:hAnsi="sө" w:hint="default"/>
      <w:i w:val="0"/>
      <w:iCs w:val="0"/>
      <w:strike w:val="0"/>
      <w:dstrike w:val="0"/>
      <w:color w:val="000000"/>
      <w:sz w:val="22"/>
      <w:szCs w:val="22"/>
      <w:u w:val="none"/>
      <w:effect w:val="none"/>
    </w:rPr>
  </w:style>
  <w:style w:type="paragraph" w:customStyle="1" w:styleId="section">
    <w:name w:val="section"/>
    <w:basedOn w:val="a1"/>
    <w:rsid w:val="00286F49"/>
    <w:pPr>
      <w:tabs>
        <w:tab w:val="left" w:pos="5580"/>
      </w:tabs>
      <w:autoSpaceDE w:val="0"/>
      <w:autoSpaceDN w:val="0"/>
      <w:spacing w:before="120" w:after="120" w:line="480" w:lineRule="atLeast"/>
      <w:ind w:firstLine="539"/>
      <w:jc w:val="both"/>
      <w:textAlignment w:val="baseline"/>
    </w:pPr>
    <w:rPr>
      <w:rFonts w:eastAsia="標楷體"/>
      <w:sz w:val="28"/>
    </w:rPr>
  </w:style>
  <w:style w:type="paragraph" w:styleId="affc">
    <w:name w:val="Salutation"/>
    <w:basedOn w:val="a1"/>
    <w:next w:val="a1"/>
    <w:link w:val="affd"/>
    <w:rsid w:val="00286F49"/>
    <w:pPr>
      <w:spacing w:after="240" w:line="680" w:lineRule="exact"/>
      <w:ind w:left="1134" w:firstLine="567"/>
      <w:jc w:val="both"/>
      <w:textAlignment w:val="baseline"/>
    </w:pPr>
    <w:rPr>
      <w:rFonts w:ascii="標楷體" w:eastAsia="標楷體" w:hAnsi="Garamond"/>
      <w:spacing w:val="20"/>
      <w:sz w:val="32"/>
    </w:rPr>
  </w:style>
  <w:style w:type="character" w:customStyle="1" w:styleId="affd">
    <w:name w:val="問候 字元"/>
    <w:link w:val="affc"/>
    <w:rsid w:val="00286F49"/>
    <w:rPr>
      <w:rFonts w:ascii="標楷體" w:eastAsia="標楷體" w:hAnsi="Garamond"/>
      <w:spacing w:val="20"/>
      <w:sz w:val="32"/>
    </w:rPr>
  </w:style>
  <w:style w:type="paragraph" w:styleId="affe">
    <w:name w:val="Closing"/>
    <w:basedOn w:val="a1"/>
    <w:next w:val="a1"/>
    <w:link w:val="afff"/>
    <w:rsid w:val="00286F49"/>
    <w:pPr>
      <w:spacing w:after="240" w:line="680" w:lineRule="exact"/>
      <w:ind w:left="4320" w:firstLine="567"/>
      <w:jc w:val="both"/>
      <w:textAlignment w:val="baseline"/>
    </w:pPr>
    <w:rPr>
      <w:rFonts w:ascii="標楷體" w:eastAsia="標楷體" w:hAnsi="Garamond"/>
      <w:spacing w:val="20"/>
      <w:sz w:val="32"/>
    </w:rPr>
  </w:style>
  <w:style w:type="character" w:customStyle="1" w:styleId="afff">
    <w:name w:val="結語 字元"/>
    <w:link w:val="affe"/>
    <w:rsid w:val="00286F49"/>
    <w:rPr>
      <w:rFonts w:ascii="標楷體" w:eastAsia="標楷體" w:hAnsi="Garamond"/>
      <w:spacing w:val="20"/>
      <w:sz w:val="32"/>
    </w:rPr>
  </w:style>
  <w:style w:type="paragraph" w:customStyle="1" w:styleId="afff0">
    <w:name w:val="小段"/>
    <w:basedOn w:val="a1"/>
    <w:rsid w:val="00286F49"/>
    <w:pPr>
      <w:adjustRightInd/>
      <w:snapToGrid w:val="0"/>
      <w:spacing w:before="120" w:after="120" w:line="500" w:lineRule="atLeast"/>
      <w:ind w:right="26" w:firstLine="720"/>
      <w:jc w:val="both"/>
      <w:textAlignment w:val="auto"/>
    </w:pPr>
    <w:rPr>
      <w:rFonts w:eastAsia="標楷體"/>
      <w:kern w:val="2"/>
      <w:sz w:val="32"/>
    </w:rPr>
  </w:style>
  <w:style w:type="paragraph" w:customStyle="1" w:styleId="main">
    <w:name w:val="main"/>
    <w:basedOn w:val="a1"/>
    <w:rsid w:val="00286F49"/>
    <w:pPr>
      <w:adjustRightInd/>
      <w:snapToGrid w:val="0"/>
      <w:spacing w:beforeLines="50" w:before="180" w:afterLines="50" w:after="180" w:line="540" w:lineRule="atLeast"/>
      <w:ind w:firstLineChars="200" w:firstLine="560"/>
      <w:jc w:val="both"/>
      <w:textAlignment w:val="auto"/>
    </w:pPr>
    <w:rPr>
      <w:rFonts w:ascii="標楷體" w:eastAsia="標楷體" w:hAnsi="標楷體"/>
      <w:kern w:val="2"/>
      <w:sz w:val="28"/>
      <w:szCs w:val="24"/>
    </w:rPr>
  </w:style>
  <w:style w:type="paragraph" w:customStyle="1" w:styleId="P0">
    <w:name w:val="P0"/>
    <w:basedOn w:val="afb"/>
    <w:rsid w:val="00286F49"/>
    <w:pPr>
      <w:snapToGrid w:val="0"/>
      <w:spacing w:before="120" w:line="700" w:lineRule="atLeast"/>
      <w:ind w:left="960" w:firstLine="720"/>
      <w:textDirection w:val="lrTbV"/>
      <w:textAlignment w:val="baseline"/>
    </w:pPr>
    <w:rPr>
      <w:rFonts w:ascii="標楷體"/>
      <w:spacing w:val="20"/>
    </w:rPr>
  </w:style>
  <w:style w:type="paragraph" w:customStyle="1" w:styleId="afff1">
    <w:name w:val="表內容"/>
    <w:basedOn w:val="24"/>
    <w:rsid w:val="00286F49"/>
    <w:pPr>
      <w:spacing w:before="0" w:line="240" w:lineRule="atLeast"/>
      <w:ind w:left="0"/>
      <w:jc w:val="center"/>
    </w:pPr>
    <w:rPr>
      <w:spacing w:val="0"/>
      <w:sz w:val="22"/>
    </w:rPr>
  </w:style>
  <w:style w:type="character" w:customStyle="1" w:styleId="text11">
    <w:name w:val="text11"/>
    <w:rsid w:val="00286F49"/>
    <w:rPr>
      <w:color w:val="000000"/>
      <w:sz w:val="22"/>
      <w:szCs w:val="22"/>
    </w:rPr>
  </w:style>
  <w:style w:type="paragraph" w:styleId="20">
    <w:name w:val="toc 2"/>
    <w:aliases w:val="樣式(一)"/>
    <w:basedOn w:val="a1"/>
    <w:autoRedefine/>
    <w:semiHidden/>
    <w:rsid w:val="00286F49"/>
    <w:pPr>
      <w:numPr>
        <w:ilvl w:val="1"/>
        <w:numId w:val="1"/>
      </w:numPr>
      <w:adjustRightInd/>
      <w:spacing w:line="240" w:lineRule="auto"/>
      <w:jc w:val="both"/>
      <w:textAlignment w:val="auto"/>
    </w:pPr>
    <w:rPr>
      <w:rFonts w:eastAsia="標楷體"/>
      <w:b/>
      <w:kern w:val="2"/>
      <w:sz w:val="28"/>
    </w:rPr>
  </w:style>
  <w:style w:type="character" w:styleId="afff2">
    <w:name w:val="Hyperlink"/>
    <w:rsid w:val="00286F49"/>
    <w:rPr>
      <w:strike w:val="0"/>
      <w:dstrike w:val="0"/>
      <w:color w:val="0066CC"/>
      <w:u w:val="none"/>
      <w:effect w:val="none"/>
    </w:rPr>
  </w:style>
  <w:style w:type="character" w:styleId="afff3">
    <w:name w:val="FollowedHyperlink"/>
    <w:rsid w:val="00286F49"/>
    <w:rPr>
      <w:color w:val="800080"/>
      <w:u w:val="single"/>
    </w:rPr>
  </w:style>
  <w:style w:type="character" w:customStyle="1" w:styleId="newscontent1">
    <w:name w:val="news_content1"/>
    <w:rsid w:val="00286F49"/>
    <w:rPr>
      <w:sz w:val="19"/>
      <w:szCs w:val="19"/>
    </w:rPr>
  </w:style>
  <w:style w:type="paragraph" w:customStyle="1" w:styleId="afff4">
    <w:name w:val="內文 + 標楷體"/>
    <w:aliases w:val="16 點,左右對齊,左:  0 cm,凸出:  3.6 字元,行距:  固定行高 30 pt,14 點"/>
    <w:basedOn w:val="a1"/>
    <w:rsid w:val="00286F49"/>
    <w:pPr>
      <w:adjustRightInd/>
      <w:spacing w:line="240" w:lineRule="auto"/>
      <w:textAlignment w:val="auto"/>
    </w:pPr>
    <w:rPr>
      <w:rFonts w:ascii="標楷體" w:eastAsia="標楷體" w:hAnsi="標楷體"/>
      <w:kern w:val="2"/>
      <w:sz w:val="28"/>
      <w:szCs w:val="28"/>
    </w:rPr>
  </w:style>
  <w:style w:type="character" w:customStyle="1" w:styleId="mbody6">
    <w:name w:val="mbody6"/>
    <w:rsid w:val="00286F49"/>
    <w:rPr>
      <w:rFonts w:ascii="Arial" w:hAnsi="Arial" w:cs="Arial" w:hint="default"/>
      <w:sz w:val="24"/>
      <w:szCs w:val="24"/>
    </w:rPr>
  </w:style>
  <w:style w:type="paragraph" w:customStyle="1" w:styleId="afff5">
    <w:name w:val="一'"/>
    <w:basedOn w:val="a1"/>
    <w:rsid w:val="00286F49"/>
    <w:pPr>
      <w:spacing w:line="560" w:lineRule="atLeast"/>
      <w:ind w:firstLine="720"/>
      <w:jc w:val="both"/>
      <w:textAlignment w:val="baseline"/>
    </w:pPr>
    <w:rPr>
      <w:rFonts w:ascii="標楷體" w:eastAsia="標楷體"/>
      <w:sz w:val="36"/>
    </w:rPr>
  </w:style>
  <w:style w:type="paragraph" w:customStyle="1" w:styleId="default0">
    <w:name w:val="default"/>
    <w:basedOn w:val="a1"/>
    <w:rsid w:val="00286F49"/>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customStyle="1" w:styleId="25">
    <w:name w:val="字元 字元2 字元 字元 字元 字元"/>
    <w:basedOn w:val="a1"/>
    <w:semiHidden/>
    <w:rsid w:val="00286F49"/>
    <w:pPr>
      <w:widowControl/>
      <w:adjustRightInd/>
      <w:spacing w:after="160" w:line="240" w:lineRule="exact"/>
      <w:textAlignment w:val="auto"/>
    </w:pPr>
    <w:rPr>
      <w:rFonts w:ascii="Verdana" w:eastAsia="Times New Roman" w:hAnsi="Verdana" w:cs="Mangal"/>
      <w:kern w:val="2"/>
      <w:szCs w:val="24"/>
      <w:lang w:eastAsia="en-US" w:bidi="hi-IN"/>
    </w:rPr>
  </w:style>
  <w:style w:type="character" w:customStyle="1" w:styleId="newmidwordlarge1">
    <w:name w:val="new_mid_word_large1"/>
    <w:rsid w:val="00286F49"/>
    <w:rPr>
      <w:rFonts w:ascii="Arial" w:hAnsi="Arial" w:cs="Arial" w:hint="default"/>
      <w:strike w:val="0"/>
      <w:dstrike w:val="0"/>
      <w:color w:val="555555"/>
      <w:sz w:val="19"/>
      <w:szCs w:val="19"/>
      <w:u w:val="none"/>
      <w:effect w:val="none"/>
    </w:rPr>
  </w:style>
  <w:style w:type="character" w:customStyle="1" w:styleId="12">
    <w:name w:val="標題 1 字元"/>
    <w:link w:val="11"/>
    <w:uiPriority w:val="9"/>
    <w:rsid w:val="00286F49"/>
    <w:rPr>
      <w:rFonts w:ascii="Arial Unicode MS" w:eastAsia="Arial Unicode MS" w:hAnsi="Arial Unicode MS" w:cs="Arial Unicode MS"/>
      <w:b/>
      <w:bCs/>
      <w:kern w:val="36"/>
      <w:sz w:val="48"/>
      <w:szCs w:val="48"/>
    </w:rPr>
  </w:style>
  <w:style w:type="paragraph" w:styleId="afff6">
    <w:name w:val="List Paragraph"/>
    <w:basedOn w:val="a1"/>
    <w:uiPriority w:val="34"/>
    <w:qFormat/>
    <w:rsid w:val="00286F49"/>
    <w:pPr>
      <w:spacing w:after="240" w:line="680" w:lineRule="exact"/>
      <w:ind w:leftChars="200" w:left="480" w:firstLine="567"/>
      <w:jc w:val="both"/>
      <w:textAlignment w:val="baseline"/>
    </w:pPr>
    <w:rPr>
      <w:rFonts w:ascii="Book Antiqua" w:eastAsia="華康楷書體W5"/>
      <w:spacing w:val="10"/>
      <w:sz w:val="36"/>
    </w:rPr>
  </w:style>
  <w:style w:type="table" w:styleId="afff7">
    <w:name w:val="Table Grid"/>
    <w:basedOn w:val="a3"/>
    <w:rsid w:val="00286F49"/>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註腳文字 字元"/>
    <w:link w:val="afc"/>
    <w:uiPriority w:val="99"/>
    <w:rsid w:val="00286F49"/>
    <w:rPr>
      <w:kern w:val="2"/>
    </w:rPr>
  </w:style>
  <w:style w:type="character" w:customStyle="1" w:styleId="a7">
    <w:name w:val="頁尾 字元"/>
    <w:link w:val="a6"/>
    <w:uiPriority w:val="99"/>
    <w:rsid w:val="0091791E"/>
    <w:rPr>
      <w:rFonts w:eastAsia="細明體"/>
      <w:sz w:val="18"/>
    </w:rPr>
  </w:style>
  <w:style w:type="character" w:customStyle="1" w:styleId="a9">
    <w:name w:val="頁首 字元"/>
    <w:link w:val="a8"/>
    <w:uiPriority w:val="99"/>
    <w:rsid w:val="00527E73"/>
    <w:rPr>
      <w:rFonts w:eastAsia="細明體"/>
    </w:rPr>
  </w:style>
  <w:style w:type="paragraph" w:customStyle="1" w:styleId="10">
    <w:name w:val="理監事會第 1層"/>
    <w:basedOn w:val="af1"/>
    <w:qFormat/>
    <w:rsid w:val="006D5EC2"/>
    <w:pPr>
      <w:widowControl/>
      <w:numPr>
        <w:numId w:val="3"/>
      </w:numPr>
      <w:topLinePunct/>
      <w:snapToGrid w:val="0"/>
      <w:spacing w:after="100" w:line="580" w:lineRule="exact"/>
      <w:ind w:left="925" w:right="0" w:hanging="641"/>
      <w:textDirection w:val="lrTb"/>
      <w:textAlignment w:val="auto"/>
    </w:pPr>
    <w:rPr>
      <w:rFonts w:ascii="Times New Roman" w:eastAsia="標楷體"/>
      <w:snapToGrid w:val="0"/>
      <w:spacing w:val="0"/>
      <w:sz w:val="32"/>
    </w:rPr>
  </w:style>
  <w:style w:type="paragraph" w:customStyle="1" w:styleId="2">
    <w:name w:val="理監事會第2層"/>
    <w:basedOn w:val="a1"/>
    <w:qFormat/>
    <w:rsid w:val="006D5EC2"/>
    <w:pPr>
      <w:widowControl/>
      <w:numPr>
        <w:numId w:val="4"/>
      </w:numPr>
      <w:tabs>
        <w:tab w:val="left" w:pos="1276"/>
      </w:tabs>
      <w:topLinePunct/>
      <w:snapToGrid w:val="0"/>
      <w:spacing w:after="100" w:line="580" w:lineRule="exact"/>
      <w:jc w:val="both"/>
      <w:textAlignment w:val="auto"/>
    </w:pPr>
    <w:rPr>
      <w:rFonts w:eastAsia="標楷體"/>
      <w:kern w:val="2"/>
      <w:sz w:val="32"/>
      <w:szCs w:val="24"/>
    </w:rPr>
  </w:style>
  <w:style w:type="paragraph" w:customStyle="1" w:styleId="34">
    <w:name w:val="理監事會第3層"/>
    <w:basedOn w:val="a1"/>
    <w:qFormat/>
    <w:rsid w:val="006D5EC2"/>
    <w:pPr>
      <w:widowControl/>
      <w:topLinePunct/>
      <w:snapToGrid w:val="0"/>
      <w:spacing w:after="100" w:line="580" w:lineRule="exact"/>
      <w:jc w:val="both"/>
      <w:textAlignment w:val="auto"/>
    </w:pPr>
    <w:rPr>
      <w:rFonts w:eastAsia="標楷體"/>
      <w:snapToGrid w:val="0"/>
      <w:sz w:val="32"/>
      <w:szCs w:val="24"/>
    </w:rPr>
  </w:style>
  <w:style w:type="paragraph" w:customStyle="1" w:styleId="1">
    <w:name w:val="1."/>
    <w:basedOn w:val="a1"/>
    <w:autoRedefine/>
    <w:rsid w:val="00EE7DB0"/>
    <w:pPr>
      <w:numPr>
        <w:numId w:val="5"/>
      </w:numPr>
      <w:topLinePunct/>
      <w:adjustRightInd/>
      <w:spacing w:after="100" w:line="580" w:lineRule="exact"/>
      <w:ind w:left="1406" w:right="28" w:hanging="641"/>
      <w:jc w:val="both"/>
      <w:textAlignment w:val="auto"/>
    </w:pPr>
    <w:rPr>
      <w:rFonts w:ascii="標楷體" w:eastAsia="標楷體"/>
      <w:kern w:val="2"/>
      <w:sz w:val="32"/>
      <w:szCs w:val="24"/>
    </w:rPr>
  </w:style>
  <w:style w:type="character" w:customStyle="1" w:styleId="af5">
    <w:name w:val="本文 字元"/>
    <w:basedOn w:val="a2"/>
    <w:link w:val="af4"/>
    <w:locked/>
    <w:rsid w:val="00BD32CA"/>
    <w:rPr>
      <w:rFonts w:eastAsia="標楷體"/>
      <w:sz w:val="32"/>
    </w:rPr>
  </w:style>
  <w:style w:type="paragraph" w:styleId="a">
    <w:name w:val="List Bullet"/>
    <w:basedOn w:val="a1"/>
    <w:uiPriority w:val="99"/>
    <w:unhideWhenUsed/>
    <w:rsid w:val="008814F0"/>
    <w:pPr>
      <w:numPr>
        <w:numId w:val="18"/>
      </w:numPr>
      <w:adjustRightInd/>
      <w:spacing w:line="240" w:lineRule="auto"/>
      <w:contextualSpacing/>
      <w:textAlignment w:val="auto"/>
    </w:pPr>
    <w:rPr>
      <w:rFonts w:eastAsia="新細明體"/>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60EF7"/>
    <w:pPr>
      <w:widowControl w:val="0"/>
      <w:adjustRightInd w:val="0"/>
      <w:spacing w:line="372" w:lineRule="exact"/>
      <w:textAlignment w:val="center"/>
    </w:pPr>
    <w:rPr>
      <w:rFonts w:eastAsia="細明體"/>
    </w:rPr>
  </w:style>
  <w:style w:type="paragraph" w:styleId="11">
    <w:name w:val="heading 1"/>
    <w:basedOn w:val="a1"/>
    <w:link w:val="12"/>
    <w:uiPriority w:val="9"/>
    <w:qFormat/>
    <w:pPr>
      <w:widowControl/>
      <w:adjustRightInd/>
      <w:spacing w:before="100" w:beforeAutospacing="1" w:after="100" w:afterAutospacing="1" w:line="240" w:lineRule="auto"/>
      <w:textAlignment w:val="auto"/>
      <w:outlineLvl w:val="0"/>
    </w:pPr>
    <w:rPr>
      <w:rFonts w:ascii="Arial Unicode MS" w:eastAsia="Arial Unicode MS" w:hAnsi="Arial Unicode MS" w:cs="Arial Unicode MS"/>
      <w:b/>
      <w:bCs/>
      <w:kern w:val="36"/>
      <w:sz w:val="48"/>
      <w:szCs w:val="48"/>
    </w:rPr>
  </w:style>
  <w:style w:type="paragraph" w:styleId="21">
    <w:name w:val="heading 2"/>
    <w:basedOn w:val="a1"/>
    <w:next w:val="a1"/>
    <w:link w:val="22"/>
    <w:qFormat/>
    <w:rsid w:val="00286F49"/>
    <w:pPr>
      <w:keepNext/>
      <w:spacing w:after="240" w:line="720" w:lineRule="atLeast"/>
      <w:ind w:left="397"/>
      <w:textAlignment w:val="baseline"/>
      <w:outlineLvl w:val="1"/>
    </w:pPr>
    <w:rPr>
      <w:rFonts w:ascii="Book Antiqua" w:eastAsia="華康楷書體W5" w:hAnsi="Arial"/>
      <w:b/>
      <w:spacing w:val="10"/>
      <w:sz w:val="40"/>
    </w:rPr>
  </w:style>
  <w:style w:type="paragraph" w:styleId="3">
    <w:name w:val="heading 3"/>
    <w:basedOn w:val="a1"/>
    <w:next w:val="a1"/>
    <w:link w:val="30"/>
    <w:uiPriority w:val="9"/>
    <w:unhideWhenUsed/>
    <w:qFormat/>
    <w:rsid w:val="00E1645B"/>
    <w:pPr>
      <w:keepNext/>
      <w:spacing w:line="720" w:lineRule="atLeast"/>
      <w:outlineLvl w:val="2"/>
    </w:pPr>
    <w:rPr>
      <w:rFonts w:ascii="Cambria" w:eastAsia="新細明體" w:hAnsi="Cambria"/>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31">
    <w:name w:val="弟3行"/>
    <w:basedOn w:val="a1"/>
    <w:pPr>
      <w:spacing w:line="300" w:lineRule="exact"/>
    </w:pPr>
    <w:rPr>
      <w:rFonts w:eastAsia=".文鼎中楷"/>
      <w:sz w:val="36"/>
    </w:rPr>
  </w:style>
  <w:style w:type="paragraph" w:customStyle="1" w:styleId="a5">
    <w:name w:val="信內文"/>
    <w:basedOn w:val="31"/>
    <w:pPr>
      <w:spacing w:line="360" w:lineRule="auto"/>
    </w:pPr>
    <w:rPr>
      <w:rFonts w:ascii=".文鼎中楷"/>
      <w:spacing w:val="43"/>
    </w:rPr>
  </w:style>
  <w:style w:type="paragraph" w:styleId="a6">
    <w:name w:val="footer"/>
    <w:basedOn w:val="a1"/>
    <w:link w:val="a7"/>
    <w:uiPriority w:val="99"/>
    <w:pPr>
      <w:tabs>
        <w:tab w:val="center" w:pos="4153"/>
        <w:tab w:val="right" w:pos="8306"/>
      </w:tabs>
      <w:spacing w:line="360" w:lineRule="auto"/>
    </w:pPr>
    <w:rPr>
      <w:sz w:val="18"/>
    </w:rPr>
  </w:style>
  <w:style w:type="paragraph" w:styleId="a8">
    <w:name w:val="header"/>
    <w:basedOn w:val="a1"/>
    <w:link w:val="a9"/>
    <w:uiPriority w:val="99"/>
    <w:pPr>
      <w:tabs>
        <w:tab w:val="center" w:pos="4153"/>
        <w:tab w:val="right" w:pos="8306"/>
      </w:tabs>
    </w:pPr>
  </w:style>
  <w:style w:type="character" w:styleId="aa">
    <w:name w:val="page number"/>
    <w:rPr>
      <w:rFonts w:ascii="Times New Roman" w:hAnsi="Times New Roman" w:cs="Times New Roman"/>
    </w:rPr>
  </w:style>
  <w:style w:type="paragraph" w:customStyle="1" w:styleId="ab">
    <w:name w:val="主旨"/>
    <w:basedOn w:val="a1"/>
    <w:pPr>
      <w:spacing w:line="720" w:lineRule="exact"/>
      <w:ind w:left="1021" w:hanging="1021"/>
    </w:pPr>
    <w:rPr>
      <w:rFonts w:eastAsia=".文鼎中楷"/>
      <w:sz w:val="36"/>
    </w:rPr>
  </w:style>
  <w:style w:type="paragraph" w:customStyle="1" w:styleId="13">
    <w:name w:val="說明1"/>
    <w:basedOn w:val="ab"/>
  </w:style>
  <w:style w:type="paragraph" w:customStyle="1" w:styleId="ac">
    <w:name w:val="說明"/>
    <w:basedOn w:val="ab"/>
    <w:pPr>
      <w:ind w:left="1474" w:hanging="1474"/>
    </w:pPr>
  </w:style>
  <w:style w:type="paragraph" w:customStyle="1" w:styleId="ad">
    <w:name w:val="二"/>
    <w:basedOn w:val="ac"/>
    <w:pPr>
      <w:ind w:left="397" w:hanging="397"/>
    </w:pPr>
  </w:style>
  <w:style w:type="paragraph" w:customStyle="1" w:styleId="ae">
    <w:name w:val="(一)"/>
    <w:basedOn w:val="ad"/>
    <w:pPr>
      <w:ind w:left="794"/>
    </w:pPr>
  </w:style>
  <w:style w:type="paragraph" w:customStyle="1" w:styleId="af">
    <w:name w:val="案由"/>
    <w:basedOn w:val="a1"/>
    <w:pPr>
      <w:spacing w:line="680" w:lineRule="exact"/>
      <w:ind w:left="1134" w:hanging="1134"/>
      <w:jc w:val="both"/>
    </w:pPr>
    <w:rPr>
      <w:rFonts w:ascii="華康中楷體" w:eastAsia="華康中楷體"/>
      <w:spacing w:val="16"/>
      <w:sz w:val="36"/>
    </w:rPr>
  </w:style>
  <w:style w:type="paragraph" w:customStyle="1" w:styleId="af0">
    <w:name w:val="二、"/>
    <w:basedOn w:val="a1"/>
    <w:pPr>
      <w:spacing w:line="680" w:lineRule="exact"/>
      <w:ind w:left="1560" w:hanging="426"/>
      <w:jc w:val="both"/>
    </w:pPr>
    <w:rPr>
      <w:rFonts w:ascii="華康中楷體" w:eastAsia="華康中楷體"/>
      <w:spacing w:val="16"/>
      <w:sz w:val="36"/>
    </w:rPr>
  </w:style>
  <w:style w:type="paragraph" w:customStyle="1" w:styleId="14">
    <w:name w:val="本文縮排1"/>
    <w:basedOn w:val="a1"/>
    <w:pPr>
      <w:spacing w:line="680" w:lineRule="exact"/>
      <w:ind w:left="2002" w:hanging="420"/>
      <w:jc w:val="both"/>
      <w:textDirection w:val="lrTbV"/>
    </w:pPr>
    <w:rPr>
      <w:rFonts w:ascii="華康楷書體W5" w:eastAsia="華康楷書體W5"/>
      <w:spacing w:val="16"/>
      <w:sz w:val="36"/>
    </w:rPr>
  </w:style>
  <w:style w:type="paragraph" w:styleId="23">
    <w:name w:val="Body Text Indent 2"/>
    <w:basedOn w:val="a1"/>
    <w:pPr>
      <w:spacing w:line="640" w:lineRule="exact"/>
      <w:ind w:left="1120"/>
      <w:jc w:val="both"/>
      <w:textDirection w:val="lrTbV"/>
    </w:pPr>
    <w:rPr>
      <w:rFonts w:ascii="華康楷書體W5" w:eastAsia="華康楷書體W5"/>
      <w:spacing w:val="16"/>
      <w:sz w:val="36"/>
    </w:rPr>
  </w:style>
  <w:style w:type="paragraph" w:styleId="32">
    <w:name w:val="Body Text Indent 3"/>
    <w:basedOn w:val="a1"/>
    <w:pPr>
      <w:spacing w:line="680" w:lineRule="exact"/>
      <w:ind w:left="1134"/>
      <w:jc w:val="both"/>
      <w:textDirection w:val="lrTbV"/>
    </w:pPr>
    <w:rPr>
      <w:rFonts w:ascii="華康楷書體W5" w:eastAsia="華康楷書體W5"/>
      <w:spacing w:val="16"/>
      <w:sz w:val="36"/>
    </w:rPr>
  </w:style>
  <w:style w:type="paragraph" w:styleId="af1">
    <w:name w:val="Block Text"/>
    <w:basedOn w:val="a1"/>
    <w:pPr>
      <w:spacing w:line="680" w:lineRule="exact"/>
      <w:ind w:left="1596" w:right="-20" w:hanging="1596"/>
      <w:jc w:val="both"/>
      <w:textDirection w:val="lrTbV"/>
    </w:pPr>
    <w:rPr>
      <w:rFonts w:ascii="華康楷書體W5" w:eastAsia="華康楷書體W5"/>
      <w:spacing w:val="10"/>
      <w:sz w:val="36"/>
    </w:rPr>
  </w:style>
  <w:style w:type="paragraph" w:customStyle="1" w:styleId="BodyTextIndent31">
    <w:name w:val="Body Text Indent 31"/>
    <w:basedOn w:val="a1"/>
    <w:pPr>
      <w:autoSpaceDE w:val="0"/>
      <w:autoSpaceDN w:val="0"/>
      <w:spacing w:line="420" w:lineRule="exact"/>
      <w:ind w:left="624" w:hanging="624"/>
      <w:jc w:val="both"/>
      <w:textDirection w:val="lrTbV"/>
      <w:textAlignment w:val="baseline"/>
    </w:pPr>
    <w:rPr>
      <w:rFonts w:ascii="標楷體" w:eastAsia="標楷體"/>
      <w:sz w:val="32"/>
    </w:rPr>
  </w:style>
  <w:style w:type="paragraph" w:customStyle="1" w:styleId="af2">
    <w:name w:val="一、"/>
    <w:basedOn w:val="a1"/>
    <w:pPr>
      <w:spacing w:line="680" w:lineRule="exact"/>
      <w:ind w:left="425" w:hanging="425"/>
      <w:jc w:val="both"/>
    </w:pPr>
    <w:rPr>
      <w:rFonts w:ascii="華康楷書體W5" w:eastAsia="華康楷書體W5"/>
      <w:spacing w:val="16"/>
      <w:sz w:val="36"/>
    </w:rPr>
  </w:style>
  <w:style w:type="paragraph" w:styleId="Web">
    <w:name w:val="Normal (Web)"/>
    <w:basedOn w:val="a1"/>
    <w:uiPriority w:val="99"/>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
    <w:name w:val="bodytextindent31"/>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3">
    <w:name w:val="Plain Text"/>
    <w:basedOn w:val="a1"/>
    <w:semiHidden/>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customStyle="1" w:styleId="bodytextindent3100">
    <w:name w:val="bodytextindent310"/>
    <w:basedOn w:val="a1"/>
    <w:pPr>
      <w:widowControl/>
      <w:adjustRightInd/>
      <w:spacing w:before="100" w:beforeAutospacing="1" w:after="100" w:afterAutospacing="1" w:line="240" w:lineRule="auto"/>
      <w:textAlignment w:val="auto"/>
    </w:pPr>
    <w:rPr>
      <w:rFonts w:ascii="Arial Unicode MS" w:eastAsia="Arial Unicode MS" w:hAnsi="Arial Unicode MS"/>
      <w:sz w:val="24"/>
      <w:szCs w:val="24"/>
    </w:rPr>
  </w:style>
  <w:style w:type="paragraph" w:styleId="af4">
    <w:name w:val="Body Text"/>
    <w:basedOn w:val="a1"/>
    <w:link w:val="af5"/>
    <w:pPr>
      <w:spacing w:before="50" w:line="560" w:lineRule="exact"/>
    </w:pPr>
    <w:rPr>
      <w:rFonts w:eastAsia="標楷體"/>
      <w:sz w:val="32"/>
    </w:rPr>
  </w:style>
  <w:style w:type="paragraph" w:styleId="HTML">
    <w:name w:val="HTML Preformatted"/>
    <w:basedOn w:val="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Arial Unicode MS" w:eastAsia="Arial Unicode MS" w:hAnsi="Arial Unicode MS"/>
    </w:rPr>
  </w:style>
  <w:style w:type="character" w:styleId="af6">
    <w:name w:val="Emphasis"/>
    <w:uiPriority w:val="20"/>
    <w:qFormat/>
    <w:rPr>
      <w:rFonts w:ascii="Times New Roman" w:hAnsi="Times New Roman" w:cs="Times New Roman"/>
      <w:color w:val="CC0033"/>
    </w:rPr>
  </w:style>
  <w:style w:type="character" w:styleId="af7">
    <w:name w:val="annotation reference"/>
    <w:semiHidden/>
    <w:rPr>
      <w:rFonts w:ascii="Times New Roman" w:hAnsi="Times New Roman" w:cs="Times New Roman"/>
      <w:sz w:val="18"/>
      <w:szCs w:val="18"/>
    </w:rPr>
  </w:style>
  <w:style w:type="paragraph" w:styleId="af8">
    <w:name w:val="annotation text"/>
    <w:basedOn w:val="a1"/>
    <w:link w:val="af9"/>
    <w:semiHidden/>
    <w:pPr>
      <w:adjustRightInd/>
      <w:spacing w:line="560" w:lineRule="exact"/>
      <w:textAlignment w:val="auto"/>
    </w:pPr>
    <w:rPr>
      <w:rFonts w:eastAsia="標楷體"/>
      <w:kern w:val="2"/>
      <w:sz w:val="32"/>
      <w:szCs w:val="24"/>
    </w:rPr>
  </w:style>
  <w:style w:type="character" w:customStyle="1" w:styleId="highlight">
    <w:name w:val="highlight"/>
    <w:rPr>
      <w:rFonts w:ascii="Times New Roman" w:hAnsi="Times New Roman" w:cs="Times New Roman"/>
    </w:rPr>
  </w:style>
  <w:style w:type="character" w:styleId="afa">
    <w:name w:val="Strong"/>
    <w:qFormat/>
    <w:rPr>
      <w:rFonts w:ascii="Times New Roman" w:hAnsi="Times New Roman" w:cs="Times New Roman"/>
      <w:b/>
      <w:bCs/>
    </w:rPr>
  </w:style>
  <w:style w:type="paragraph" w:customStyle="1" w:styleId="a0">
    <w:name w:val="一"/>
    <w:basedOn w:val="a1"/>
    <w:pPr>
      <w:numPr>
        <w:numId w:val="6"/>
      </w:numPr>
      <w:tabs>
        <w:tab w:val="left" w:leader="hyphen" w:pos="3402"/>
        <w:tab w:val="left" w:leader="hyphen" w:pos="6804"/>
        <w:tab w:val="left" w:leader="hyphen" w:pos="10206"/>
        <w:tab w:val="left" w:leader="hyphen" w:pos="13608"/>
      </w:tabs>
      <w:spacing w:before="50" w:line="560" w:lineRule="exact"/>
      <w:jc w:val="both"/>
      <w:textAlignment w:val="baseline"/>
    </w:pPr>
    <w:rPr>
      <w:rFonts w:eastAsia="標楷體"/>
      <w:spacing w:val="-10"/>
      <w:sz w:val="32"/>
      <w:szCs w:val="32"/>
    </w:rPr>
  </w:style>
  <w:style w:type="paragraph" w:customStyle="1" w:styleId="15">
    <w:name w:val="1"/>
    <w:basedOn w:val="ae"/>
    <w:pPr>
      <w:tabs>
        <w:tab w:val="left" w:leader="hyphen" w:pos="3402"/>
        <w:tab w:val="left" w:leader="hyphen" w:pos="6804"/>
        <w:tab w:val="left" w:leader="hyphen" w:pos="10206"/>
        <w:tab w:val="left" w:leader="hyphen" w:pos="13608"/>
      </w:tabs>
      <w:spacing w:before="50" w:line="240" w:lineRule="auto"/>
      <w:ind w:left="1440" w:hanging="540"/>
      <w:jc w:val="both"/>
      <w:textAlignment w:val="baseline"/>
    </w:pPr>
    <w:rPr>
      <w:rFonts w:eastAsia="標楷體"/>
      <w:spacing w:val="-22"/>
      <w:sz w:val="32"/>
      <w:szCs w:val="32"/>
    </w:rPr>
  </w:style>
  <w:style w:type="paragraph" w:styleId="afb">
    <w:name w:val="Body Text Indent"/>
    <w:basedOn w:val="a1"/>
    <w:pPr>
      <w:spacing w:before="100" w:line="540" w:lineRule="exact"/>
      <w:ind w:left="620"/>
      <w:jc w:val="both"/>
    </w:pPr>
    <w:rPr>
      <w:rFonts w:eastAsia="標楷體"/>
      <w:sz w:val="32"/>
    </w:rPr>
  </w:style>
  <w:style w:type="character" w:customStyle="1" w:styleId="cpt2">
    <w:name w:val="cpt2"/>
    <w:basedOn w:val="a2"/>
  </w:style>
  <w:style w:type="paragraph" w:customStyle="1" w:styleId="Default">
    <w:name w:val="Default"/>
    <w:uiPriority w:val="99"/>
    <w:pPr>
      <w:widowControl w:val="0"/>
      <w:autoSpaceDE w:val="0"/>
      <w:autoSpaceDN w:val="0"/>
      <w:adjustRightInd w:val="0"/>
    </w:pPr>
    <w:rPr>
      <w:rFonts w:ascii="標楷體" w:eastAsia="標楷體"/>
      <w:color w:val="000000"/>
      <w:sz w:val="24"/>
      <w:szCs w:val="24"/>
    </w:rPr>
  </w:style>
  <w:style w:type="character" w:customStyle="1" w:styleId="boldtitle1">
    <w:name w:val="boldtitle1"/>
    <w:rPr>
      <w:b/>
      <w:bCs/>
    </w:rPr>
  </w:style>
  <w:style w:type="paragraph" w:styleId="afc">
    <w:name w:val="footnote text"/>
    <w:basedOn w:val="a1"/>
    <w:link w:val="afd"/>
    <w:uiPriority w:val="99"/>
    <w:pPr>
      <w:adjustRightInd/>
      <w:snapToGrid w:val="0"/>
      <w:spacing w:line="240" w:lineRule="auto"/>
      <w:textAlignment w:val="auto"/>
    </w:pPr>
    <w:rPr>
      <w:rFonts w:eastAsia="新細明體"/>
      <w:kern w:val="2"/>
    </w:rPr>
  </w:style>
  <w:style w:type="character" w:styleId="afe">
    <w:name w:val="footnote reference"/>
    <w:uiPriority w:val="99"/>
    <w:rPr>
      <w:vertAlign w:val="superscript"/>
    </w:rPr>
  </w:style>
  <w:style w:type="paragraph" w:styleId="aff">
    <w:name w:val="annotation subject"/>
    <w:basedOn w:val="af8"/>
    <w:next w:val="af8"/>
    <w:link w:val="aff0"/>
    <w:uiPriority w:val="99"/>
    <w:semiHidden/>
    <w:unhideWhenUsed/>
    <w:rsid w:val="001A5E2D"/>
    <w:pPr>
      <w:adjustRightInd w:val="0"/>
      <w:spacing w:line="372" w:lineRule="exact"/>
      <w:textAlignment w:val="center"/>
    </w:pPr>
    <w:rPr>
      <w:rFonts w:eastAsia="細明體"/>
      <w:b/>
      <w:bCs/>
      <w:kern w:val="0"/>
      <w:sz w:val="20"/>
      <w:szCs w:val="20"/>
    </w:rPr>
  </w:style>
  <w:style w:type="character" w:customStyle="1" w:styleId="af9">
    <w:name w:val="註解文字 字元"/>
    <w:link w:val="af8"/>
    <w:semiHidden/>
    <w:rsid w:val="001A5E2D"/>
    <w:rPr>
      <w:rFonts w:eastAsia="標楷體"/>
      <w:kern w:val="2"/>
      <w:sz w:val="32"/>
      <w:szCs w:val="24"/>
    </w:rPr>
  </w:style>
  <w:style w:type="character" w:customStyle="1" w:styleId="aff0">
    <w:name w:val="註解主旨 字元"/>
    <w:link w:val="aff"/>
    <w:uiPriority w:val="99"/>
    <w:semiHidden/>
    <w:rsid w:val="001A5E2D"/>
    <w:rPr>
      <w:rFonts w:eastAsia="細明體"/>
      <w:b/>
      <w:bCs/>
      <w:kern w:val="2"/>
      <w:sz w:val="32"/>
      <w:szCs w:val="24"/>
    </w:rPr>
  </w:style>
  <w:style w:type="paragraph" w:styleId="aff1">
    <w:name w:val="Balloon Text"/>
    <w:basedOn w:val="a1"/>
    <w:link w:val="aff2"/>
    <w:unhideWhenUsed/>
    <w:rsid w:val="001A5E2D"/>
    <w:pPr>
      <w:spacing w:line="240" w:lineRule="auto"/>
    </w:pPr>
    <w:rPr>
      <w:rFonts w:ascii="Cambria" w:eastAsia="新細明體" w:hAnsi="Cambria"/>
      <w:sz w:val="18"/>
      <w:szCs w:val="18"/>
    </w:rPr>
  </w:style>
  <w:style w:type="character" w:customStyle="1" w:styleId="aff2">
    <w:name w:val="註解方塊文字 字元"/>
    <w:link w:val="aff1"/>
    <w:rsid w:val="001A5E2D"/>
    <w:rPr>
      <w:rFonts w:ascii="Cambria" w:eastAsia="新細明體" w:hAnsi="Cambria" w:cs="Times New Roman"/>
      <w:sz w:val="18"/>
      <w:szCs w:val="18"/>
    </w:rPr>
  </w:style>
  <w:style w:type="character" w:customStyle="1" w:styleId="30">
    <w:name w:val="標題 3 字元"/>
    <w:link w:val="3"/>
    <w:uiPriority w:val="9"/>
    <w:semiHidden/>
    <w:rsid w:val="00E1645B"/>
    <w:rPr>
      <w:rFonts w:ascii="Cambria" w:eastAsia="新細明體" w:hAnsi="Cambria" w:cs="Times New Roman"/>
      <w:b/>
      <w:bCs/>
      <w:sz w:val="36"/>
      <w:szCs w:val="36"/>
    </w:rPr>
  </w:style>
  <w:style w:type="character" w:customStyle="1" w:styleId="st1">
    <w:name w:val="st1"/>
    <w:rsid w:val="002B4F91"/>
  </w:style>
  <w:style w:type="character" w:customStyle="1" w:styleId="22">
    <w:name w:val="標題 2 字元"/>
    <w:link w:val="21"/>
    <w:rsid w:val="00286F49"/>
    <w:rPr>
      <w:rFonts w:ascii="Book Antiqua" w:eastAsia="華康楷書體W5" w:hAnsi="Arial"/>
      <w:b/>
      <w:spacing w:val="10"/>
      <w:sz w:val="40"/>
    </w:rPr>
  </w:style>
  <w:style w:type="paragraph" w:customStyle="1" w:styleId="aff3">
    <w:name w:val="表附註"/>
    <w:basedOn w:val="24"/>
    <w:rsid w:val="00286F49"/>
    <w:pPr>
      <w:spacing w:after="0" w:line="240" w:lineRule="atLeast"/>
      <w:ind w:left="0"/>
    </w:pPr>
    <w:rPr>
      <w:spacing w:val="0"/>
      <w:sz w:val="24"/>
    </w:rPr>
  </w:style>
  <w:style w:type="paragraph" w:customStyle="1" w:styleId="24">
    <w:name w:val="內文2"/>
    <w:basedOn w:val="a1"/>
    <w:rsid w:val="00286F49"/>
    <w:pPr>
      <w:spacing w:before="120" w:after="120" w:line="324" w:lineRule="auto"/>
      <w:ind w:left="1134"/>
      <w:jc w:val="both"/>
      <w:textAlignment w:val="baseline"/>
    </w:pPr>
    <w:rPr>
      <w:rFonts w:ascii="Book Antiqua" w:eastAsia="華康楷書體W5"/>
      <w:spacing w:val="10"/>
      <w:sz w:val="36"/>
    </w:rPr>
  </w:style>
  <w:style w:type="paragraph" w:customStyle="1" w:styleId="16">
    <w:name w:val="內文1"/>
    <w:basedOn w:val="a1"/>
    <w:rsid w:val="00286F49"/>
    <w:pPr>
      <w:spacing w:before="120" w:after="120" w:line="360" w:lineRule="auto"/>
      <w:ind w:left="964" w:firstLine="397"/>
      <w:jc w:val="both"/>
      <w:textAlignment w:val="baseline"/>
    </w:pPr>
    <w:rPr>
      <w:rFonts w:ascii="Book Antiqua" w:eastAsia="華康中楷體"/>
      <w:spacing w:val="10"/>
      <w:sz w:val="36"/>
    </w:rPr>
  </w:style>
  <w:style w:type="paragraph" w:customStyle="1" w:styleId="33">
    <w:name w:val="內文3"/>
    <w:basedOn w:val="16"/>
    <w:rsid w:val="00286F49"/>
    <w:pPr>
      <w:ind w:left="2042" w:hanging="1021"/>
    </w:pPr>
    <w:rPr>
      <w:rFonts w:eastAsia="華康楷書體W5"/>
    </w:rPr>
  </w:style>
  <w:style w:type="paragraph" w:customStyle="1" w:styleId="4">
    <w:name w:val="內文4"/>
    <w:basedOn w:val="33"/>
    <w:rsid w:val="00286F49"/>
    <w:pPr>
      <w:spacing w:line="680" w:lineRule="exact"/>
      <w:ind w:left="1645" w:hanging="624"/>
    </w:pPr>
  </w:style>
  <w:style w:type="paragraph" w:customStyle="1" w:styleId="5">
    <w:name w:val="內文5"/>
    <w:basedOn w:val="33"/>
    <w:rsid w:val="00286F49"/>
    <w:pPr>
      <w:spacing w:before="240"/>
      <w:ind w:left="1305" w:hanging="284"/>
    </w:pPr>
  </w:style>
  <w:style w:type="paragraph" w:customStyle="1" w:styleId="40">
    <w:name w:val="標題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6">
    <w:name w:val="內文6"/>
    <w:basedOn w:val="16"/>
    <w:rsid w:val="00286F49"/>
    <w:pPr>
      <w:spacing w:line="680" w:lineRule="exact"/>
      <w:ind w:left="567" w:firstLine="680"/>
    </w:pPr>
    <w:rPr>
      <w:rFonts w:eastAsia="華康楷書體W5"/>
    </w:rPr>
  </w:style>
  <w:style w:type="paragraph" w:customStyle="1" w:styleId="50">
    <w:name w:val="標題5"/>
    <w:basedOn w:val="40"/>
    <w:rsid w:val="00286F49"/>
    <w:pPr>
      <w:ind w:left="567"/>
    </w:pPr>
    <w:rPr>
      <w:rFonts w:ascii="Book Antiqua"/>
      <w:b w:val="0"/>
      <w:sz w:val="32"/>
    </w:rPr>
  </w:style>
  <w:style w:type="paragraph" w:customStyle="1" w:styleId="7">
    <w:name w:val="內文7"/>
    <w:basedOn w:val="4"/>
    <w:rsid w:val="00286F49"/>
    <w:pPr>
      <w:ind w:left="2211" w:hanging="964"/>
    </w:pPr>
  </w:style>
  <w:style w:type="paragraph" w:customStyle="1" w:styleId="60">
    <w:name w:val="標題6"/>
    <w:basedOn w:val="50"/>
    <w:rsid w:val="00286F49"/>
    <w:rPr>
      <w:b/>
    </w:rPr>
  </w:style>
  <w:style w:type="paragraph" w:customStyle="1" w:styleId="70">
    <w:name w:val="標題7"/>
    <w:basedOn w:val="3"/>
    <w:rsid w:val="00286F49"/>
    <w:pPr>
      <w:spacing w:before="120" w:after="360"/>
      <w:ind w:left="794" w:hanging="1247"/>
      <w:jc w:val="both"/>
      <w:textAlignment w:val="baseline"/>
      <w:outlineLvl w:val="9"/>
    </w:pPr>
    <w:rPr>
      <w:rFonts w:ascii="Arial" w:eastAsia="華康楷書體W5" w:hAnsi="Arial"/>
      <w:b w:val="0"/>
      <w:bCs w:val="0"/>
      <w:spacing w:val="10"/>
      <w:szCs w:val="20"/>
    </w:rPr>
  </w:style>
  <w:style w:type="paragraph" w:customStyle="1" w:styleId="8">
    <w:name w:val="內文8"/>
    <w:basedOn w:val="7"/>
    <w:rsid w:val="00286F49"/>
    <w:pPr>
      <w:spacing w:before="0" w:after="0"/>
    </w:pPr>
  </w:style>
  <w:style w:type="paragraph" w:customStyle="1" w:styleId="9">
    <w:name w:val="內文9"/>
    <w:basedOn w:val="4"/>
    <w:rsid w:val="00286F49"/>
    <w:pPr>
      <w:spacing w:before="0" w:after="0"/>
    </w:pPr>
  </w:style>
  <w:style w:type="paragraph" w:customStyle="1" w:styleId="17">
    <w:name w:val="樣式1"/>
    <w:basedOn w:val="a1"/>
    <w:rsid w:val="00286F49"/>
    <w:pPr>
      <w:spacing w:after="240" w:line="680" w:lineRule="exact"/>
      <w:ind w:left="1134" w:firstLine="567"/>
      <w:jc w:val="both"/>
      <w:textAlignment w:val="baseline"/>
    </w:pPr>
    <w:rPr>
      <w:rFonts w:ascii="Book Antiqua" w:eastAsia="華康楷書體W5"/>
      <w:spacing w:val="10"/>
      <w:sz w:val="36"/>
    </w:rPr>
  </w:style>
  <w:style w:type="paragraph" w:customStyle="1" w:styleId="80">
    <w:name w:val="標題8"/>
    <w:basedOn w:val="3"/>
    <w:rsid w:val="00286F49"/>
    <w:pPr>
      <w:spacing w:before="120" w:after="360"/>
      <w:ind w:left="1814" w:hanging="1247"/>
      <w:jc w:val="both"/>
      <w:textAlignment w:val="baseline"/>
      <w:outlineLvl w:val="9"/>
    </w:pPr>
    <w:rPr>
      <w:rFonts w:ascii="Arial" w:eastAsia="華康楷書體W5" w:hAnsi="Arial"/>
      <w:bCs w:val="0"/>
      <w:spacing w:val="10"/>
      <w:sz w:val="40"/>
      <w:szCs w:val="20"/>
    </w:rPr>
  </w:style>
  <w:style w:type="paragraph" w:customStyle="1" w:styleId="90">
    <w:name w:val="標題9"/>
    <w:basedOn w:val="70"/>
    <w:rsid w:val="00286F49"/>
    <w:pPr>
      <w:ind w:left="680" w:firstLine="0"/>
      <w:jc w:val="left"/>
    </w:pPr>
  </w:style>
  <w:style w:type="paragraph" w:customStyle="1" w:styleId="100">
    <w:name w:val="內文10"/>
    <w:basedOn w:val="6"/>
    <w:rsid w:val="00286F49"/>
    <w:pPr>
      <w:ind w:firstLine="454"/>
    </w:pPr>
  </w:style>
  <w:style w:type="paragraph" w:customStyle="1" w:styleId="110">
    <w:name w:val="內文11"/>
    <w:basedOn w:val="100"/>
    <w:rsid w:val="00286F49"/>
  </w:style>
  <w:style w:type="paragraph" w:customStyle="1" w:styleId="120">
    <w:name w:val="內文12"/>
    <w:basedOn w:val="8"/>
    <w:rsid w:val="00286F49"/>
    <w:pPr>
      <w:ind w:left="1248"/>
    </w:pPr>
    <w:rPr>
      <w:spacing w:val="0"/>
    </w:rPr>
  </w:style>
  <w:style w:type="paragraph" w:customStyle="1" w:styleId="aff4">
    <w:name w:val="ｂ（）ｒ"/>
    <w:basedOn w:val="a1"/>
    <w:rsid w:val="00286F49"/>
    <w:pPr>
      <w:spacing w:before="120" w:after="120" w:line="680" w:lineRule="exact"/>
      <w:ind w:left="2042" w:hanging="1021"/>
      <w:jc w:val="both"/>
      <w:textDirection w:val="lrTbV"/>
      <w:textAlignment w:val="baseline"/>
    </w:pPr>
    <w:rPr>
      <w:rFonts w:ascii="Book Antiqua" w:eastAsia="標楷體"/>
      <w:color w:val="000000"/>
      <w:spacing w:val="10"/>
      <w:sz w:val="36"/>
    </w:rPr>
  </w:style>
  <w:style w:type="paragraph" w:customStyle="1" w:styleId="210">
    <w:name w:val="本文 21"/>
    <w:basedOn w:val="a1"/>
    <w:rsid w:val="00286F49"/>
    <w:pPr>
      <w:spacing w:line="240" w:lineRule="auto"/>
      <w:ind w:firstLine="720"/>
      <w:jc w:val="both"/>
      <w:textAlignment w:val="baseline"/>
    </w:pPr>
    <w:rPr>
      <w:rFonts w:ascii="華康仿宋體W6" w:eastAsia="華康仿宋體W6"/>
      <w:kern w:val="2"/>
      <w:sz w:val="36"/>
    </w:rPr>
  </w:style>
  <w:style w:type="paragraph" w:customStyle="1" w:styleId="aff5">
    <w:name w:val="點段"/>
    <w:basedOn w:val="a1"/>
    <w:rsid w:val="00286F49"/>
    <w:pPr>
      <w:tabs>
        <w:tab w:val="left" w:pos="1332"/>
        <w:tab w:val="left" w:pos="11421"/>
      </w:tabs>
      <w:spacing w:before="120" w:after="120" w:line="440" w:lineRule="atLeast"/>
      <w:ind w:left="976" w:hanging="488"/>
      <w:jc w:val="both"/>
      <w:textAlignment w:val="baseline"/>
    </w:pPr>
    <w:rPr>
      <w:rFonts w:ascii="標楷體" w:eastAsia="標楷體"/>
      <w:sz w:val="36"/>
    </w:rPr>
  </w:style>
  <w:style w:type="paragraph" w:customStyle="1" w:styleId="18">
    <w:name w:val="(1)"/>
    <w:basedOn w:val="a1"/>
    <w:rsid w:val="00286F49"/>
    <w:pPr>
      <w:spacing w:before="120" w:after="120" w:line="360" w:lineRule="auto"/>
      <w:ind w:left="960" w:hanging="450"/>
      <w:jc w:val="both"/>
      <w:textAlignment w:val="baseline"/>
    </w:pPr>
    <w:rPr>
      <w:rFonts w:ascii="細明體"/>
      <w:sz w:val="28"/>
    </w:rPr>
  </w:style>
  <w:style w:type="paragraph" w:customStyle="1" w:styleId="aff6">
    <w:name w:val="(一)文"/>
    <w:basedOn w:val="a1"/>
    <w:rsid w:val="00286F49"/>
    <w:pPr>
      <w:spacing w:before="120" w:after="120" w:line="680" w:lineRule="exact"/>
      <w:ind w:right="40" w:firstLine="765"/>
      <w:textAlignment w:val="baseline"/>
    </w:pPr>
    <w:rPr>
      <w:rFonts w:ascii="華康楷書體W5" w:eastAsia="華康楷書體W5"/>
      <w:spacing w:val="20"/>
      <w:sz w:val="36"/>
    </w:rPr>
  </w:style>
  <w:style w:type="paragraph" w:customStyle="1" w:styleId="aff7">
    <w:name w:val="姓名"/>
    <w:basedOn w:val="a1"/>
    <w:rsid w:val="00286F49"/>
    <w:pPr>
      <w:spacing w:before="120" w:after="120" w:line="360" w:lineRule="auto"/>
      <w:ind w:left="510"/>
      <w:jc w:val="center"/>
      <w:textAlignment w:val="baseline"/>
    </w:pPr>
    <w:rPr>
      <w:rFonts w:ascii="Book Antiqua" w:eastAsia="華康隸書體W5"/>
      <w:sz w:val="28"/>
    </w:rPr>
  </w:style>
  <w:style w:type="paragraph" w:customStyle="1" w:styleId="19">
    <w:name w:val="段落1"/>
    <w:basedOn w:val="a1"/>
    <w:rsid w:val="00286F49"/>
    <w:pPr>
      <w:spacing w:before="120" w:after="120" w:line="960" w:lineRule="atLeast"/>
      <w:ind w:firstLine="1080"/>
      <w:jc w:val="both"/>
      <w:textAlignment w:val="baseline"/>
    </w:pPr>
    <w:rPr>
      <w:rFonts w:ascii="華康中楷體" w:eastAsia="華康中楷體"/>
      <w:spacing w:val="5"/>
      <w:sz w:val="54"/>
    </w:rPr>
  </w:style>
  <w:style w:type="paragraph" w:styleId="aff8">
    <w:name w:val="Document Map"/>
    <w:basedOn w:val="a1"/>
    <w:link w:val="aff9"/>
    <w:semiHidden/>
    <w:rsid w:val="00286F49"/>
    <w:pPr>
      <w:shd w:val="clear" w:color="auto" w:fill="000080"/>
      <w:spacing w:after="240" w:line="680" w:lineRule="exact"/>
      <w:ind w:left="1134" w:firstLine="567"/>
      <w:jc w:val="both"/>
      <w:textAlignment w:val="baseline"/>
    </w:pPr>
    <w:rPr>
      <w:rFonts w:ascii="Arial" w:eastAsia="新細明體" w:hAnsi="Arial"/>
      <w:spacing w:val="10"/>
      <w:sz w:val="36"/>
    </w:rPr>
  </w:style>
  <w:style w:type="character" w:customStyle="1" w:styleId="aff9">
    <w:name w:val="文件引導模式 字元"/>
    <w:link w:val="aff8"/>
    <w:semiHidden/>
    <w:rsid w:val="00286F49"/>
    <w:rPr>
      <w:rFonts w:ascii="Arial" w:hAnsi="Arial"/>
      <w:spacing w:val="10"/>
      <w:sz w:val="36"/>
      <w:shd w:val="clear" w:color="auto" w:fill="000080"/>
    </w:rPr>
  </w:style>
  <w:style w:type="paragraph" w:customStyle="1" w:styleId="D4">
    <w:name w:val="陏D4"/>
    <w:basedOn w:val="3"/>
    <w:rsid w:val="00286F49"/>
    <w:pPr>
      <w:spacing w:before="120" w:after="360"/>
      <w:textAlignment w:val="baseline"/>
      <w:outlineLvl w:val="9"/>
    </w:pPr>
    <w:rPr>
      <w:rFonts w:ascii="Arial" w:eastAsia="華康楷書體W5" w:hAnsi="Arial"/>
      <w:bCs w:val="0"/>
      <w:spacing w:val="10"/>
      <w:sz w:val="40"/>
      <w:szCs w:val="20"/>
    </w:rPr>
  </w:style>
  <w:style w:type="paragraph" w:customStyle="1" w:styleId="BodyText22">
    <w:name w:val="Body Text 22"/>
    <w:basedOn w:val="a1"/>
    <w:rsid w:val="00286F49"/>
    <w:pPr>
      <w:spacing w:before="120" w:after="120" w:line="440" w:lineRule="exact"/>
      <w:textAlignment w:val="baseline"/>
    </w:pPr>
    <w:rPr>
      <w:rFonts w:ascii="標楷體" w:eastAsia="標楷體"/>
      <w:sz w:val="30"/>
    </w:rPr>
  </w:style>
  <w:style w:type="paragraph" w:customStyle="1" w:styleId="affa">
    <w:name w:val="中標題"/>
    <w:basedOn w:val="a1"/>
    <w:rsid w:val="00286F49"/>
    <w:pPr>
      <w:tabs>
        <w:tab w:val="left" w:pos="12960"/>
      </w:tabs>
      <w:spacing w:line="400" w:lineRule="atLeast"/>
      <w:textAlignment w:val="baseline"/>
    </w:pPr>
    <w:rPr>
      <w:sz w:val="22"/>
    </w:rPr>
  </w:style>
  <w:style w:type="paragraph" w:customStyle="1" w:styleId="affb">
    <w:name w:val="大標題本文"/>
    <w:basedOn w:val="a1"/>
    <w:rsid w:val="00286F49"/>
    <w:pPr>
      <w:tabs>
        <w:tab w:val="left" w:pos="13680"/>
      </w:tabs>
      <w:spacing w:before="60" w:after="60" w:line="440" w:lineRule="exact"/>
      <w:ind w:firstLine="476"/>
      <w:jc w:val="both"/>
      <w:textAlignment w:val="baseline"/>
    </w:pPr>
    <w:rPr>
      <w:rFonts w:eastAsia="華康中楷體"/>
      <w:sz w:val="24"/>
    </w:rPr>
  </w:style>
  <w:style w:type="character" w:customStyle="1" w:styleId="textstory1">
    <w:name w:val="text_story1"/>
    <w:rsid w:val="00286F49"/>
    <w:rPr>
      <w:rFonts w:ascii="sө" w:hAnsi="sө" w:hint="default"/>
      <w:i w:val="0"/>
      <w:iCs w:val="0"/>
      <w:strike w:val="0"/>
      <w:dstrike w:val="0"/>
      <w:color w:val="000000"/>
      <w:sz w:val="22"/>
      <w:szCs w:val="22"/>
      <w:u w:val="none"/>
      <w:effect w:val="none"/>
    </w:rPr>
  </w:style>
  <w:style w:type="paragraph" w:customStyle="1" w:styleId="section">
    <w:name w:val="section"/>
    <w:basedOn w:val="a1"/>
    <w:rsid w:val="00286F49"/>
    <w:pPr>
      <w:tabs>
        <w:tab w:val="left" w:pos="5580"/>
      </w:tabs>
      <w:autoSpaceDE w:val="0"/>
      <w:autoSpaceDN w:val="0"/>
      <w:spacing w:before="120" w:after="120" w:line="480" w:lineRule="atLeast"/>
      <w:ind w:firstLine="539"/>
      <w:jc w:val="both"/>
      <w:textAlignment w:val="baseline"/>
    </w:pPr>
    <w:rPr>
      <w:rFonts w:eastAsia="標楷體"/>
      <w:sz w:val="28"/>
    </w:rPr>
  </w:style>
  <w:style w:type="paragraph" w:styleId="affc">
    <w:name w:val="Salutation"/>
    <w:basedOn w:val="a1"/>
    <w:next w:val="a1"/>
    <w:link w:val="affd"/>
    <w:rsid w:val="00286F49"/>
    <w:pPr>
      <w:spacing w:after="240" w:line="680" w:lineRule="exact"/>
      <w:ind w:left="1134" w:firstLine="567"/>
      <w:jc w:val="both"/>
      <w:textAlignment w:val="baseline"/>
    </w:pPr>
    <w:rPr>
      <w:rFonts w:ascii="標楷體" w:eastAsia="標楷體" w:hAnsi="Garamond"/>
      <w:spacing w:val="20"/>
      <w:sz w:val="32"/>
    </w:rPr>
  </w:style>
  <w:style w:type="character" w:customStyle="1" w:styleId="affd">
    <w:name w:val="問候 字元"/>
    <w:link w:val="affc"/>
    <w:rsid w:val="00286F49"/>
    <w:rPr>
      <w:rFonts w:ascii="標楷體" w:eastAsia="標楷體" w:hAnsi="Garamond"/>
      <w:spacing w:val="20"/>
      <w:sz w:val="32"/>
    </w:rPr>
  </w:style>
  <w:style w:type="paragraph" w:styleId="affe">
    <w:name w:val="Closing"/>
    <w:basedOn w:val="a1"/>
    <w:next w:val="a1"/>
    <w:link w:val="afff"/>
    <w:rsid w:val="00286F49"/>
    <w:pPr>
      <w:spacing w:after="240" w:line="680" w:lineRule="exact"/>
      <w:ind w:left="4320" w:firstLine="567"/>
      <w:jc w:val="both"/>
      <w:textAlignment w:val="baseline"/>
    </w:pPr>
    <w:rPr>
      <w:rFonts w:ascii="標楷體" w:eastAsia="標楷體" w:hAnsi="Garamond"/>
      <w:spacing w:val="20"/>
      <w:sz w:val="32"/>
    </w:rPr>
  </w:style>
  <w:style w:type="character" w:customStyle="1" w:styleId="afff">
    <w:name w:val="結語 字元"/>
    <w:link w:val="affe"/>
    <w:rsid w:val="00286F49"/>
    <w:rPr>
      <w:rFonts w:ascii="標楷體" w:eastAsia="標楷體" w:hAnsi="Garamond"/>
      <w:spacing w:val="20"/>
      <w:sz w:val="32"/>
    </w:rPr>
  </w:style>
  <w:style w:type="paragraph" w:customStyle="1" w:styleId="afff0">
    <w:name w:val="小段"/>
    <w:basedOn w:val="a1"/>
    <w:rsid w:val="00286F49"/>
    <w:pPr>
      <w:adjustRightInd/>
      <w:snapToGrid w:val="0"/>
      <w:spacing w:before="120" w:after="120" w:line="500" w:lineRule="atLeast"/>
      <w:ind w:right="26" w:firstLine="720"/>
      <w:jc w:val="both"/>
      <w:textAlignment w:val="auto"/>
    </w:pPr>
    <w:rPr>
      <w:rFonts w:eastAsia="標楷體"/>
      <w:kern w:val="2"/>
      <w:sz w:val="32"/>
    </w:rPr>
  </w:style>
  <w:style w:type="paragraph" w:customStyle="1" w:styleId="main">
    <w:name w:val="main"/>
    <w:basedOn w:val="a1"/>
    <w:rsid w:val="00286F49"/>
    <w:pPr>
      <w:adjustRightInd/>
      <w:snapToGrid w:val="0"/>
      <w:spacing w:beforeLines="50" w:before="180" w:afterLines="50" w:after="180" w:line="540" w:lineRule="atLeast"/>
      <w:ind w:firstLineChars="200" w:firstLine="560"/>
      <w:jc w:val="both"/>
      <w:textAlignment w:val="auto"/>
    </w:pPr>
    <w:rPr>
      <w:rFonts w:ascii="標楷體" w:eastAsia="標楷體" w:hAnsi="標楷體"/>
      <w:kern w:val="2"/>
      <w:sz w:val="28"/>
      <w:szCs w:val="24"/>
    </w:rPr>
  </w:style>
  <w:style w:type="paragraph" w:customStyle="1" w:styleId="P0">
    <w:name w:val="P0"/>
    <w:basedOn w:val="afb"/>
    <w:rsid w:val="00286F49"/>
    <w:pPr>
      <w:snapToGrid w:val="0"/>
      <w:spacing w:before="120" w:line="700" w:lineRule="atLeast"/>
      <w:ind w:left="960" w:firstLine="720"/>
      <w:textDirection w:val="lrTbV"/>
      <w:textAlignment w:val="baseline"/>
    </w:pPr>
    <w:rPr>
      <w:rFonts w:ascii="標楷體"/>
      <w:spacing w:val="20"/>
    </w:rPr>
  </w:style>
  <w:style w:type="paragraph" w:customStyle="1" w:styleId="afff1">
    <w:name w:val="表內容"/>
    <w:basedOn w:val="24"/>
    <w:rsid w:val="00286F49"/>
    <w:pPr>
      <w:spacing w:before="0" w:line="240" w:lineRule="atLeast"/>
      <w:ind w:left="0"/>
      <w:jc w:val="center"/>
    </w:pPr>
    <w:rPr>
      <w:spacing w:val="0"/>
      <w:sz w:val="22"/>
    </w:rPr>
  </w:style>
  <w:style w:type="character" w:customStyle="1" w:styleId="text11">
    <w:name w:val="text11"/>
    <w:rsid w:val="00286F49"/>
    <w:rPr>
      <w:color w:val="000000"/>
      <w:sz w:val="22"/>
      <w:szCs w:val="22"/>
    </w:rPr>
  </w:style>
  <w:style w:type="paragraph" w:styleId="20">
    <w:name w:val="toc 2"/>
    <w:aliases w:val="樣式(一)"/>
    <w:basedOn w:val="a1"/>
    <w:autoRedefine/>
    <w:semiHidden/>
    <w:rsid w:val="00286F49"/>
    <w:pPr>
      <w:numPr>
        <w:ilvl w:val="1"/>
        <w:numId w:val="1"/>
      </w:numPr>
      <w:adjustRightInd/>
      <w:spacing w:line="240" w:lineRule="auto"/>
      <w:jc w:val="both"/>
      <w:textAlignment w:val="auto"/>
    </w:pPr>
    <w:rPr>
      <w:rFonts w:eastAsia="標楷體"/>
      <w:b/>
      <w:kern w:val="2"/>
      <w:sz w:val="28"/>
    </w:rPr>
  </w:style>
  <w:style w:type="character" w:styleId="afff2">
    <w:name w:val="Hyperlink"/>
    <w:rsid w:val="00286F49"/>
    <w:rPr>
      <w:strike w:val="0"/>
      <w:dstrike w:val="0"/>
      <w:color w:val="0066CC"/>
      <w:u w:val="none"/>
      <w:effect w:val="none"/>
    </w:rPr>
  </w:style>
  <w:style w:type="character" w:styleId="afff3">
    <w:name w:val="FollowedHyperlink"/>
    <w:rsid w:val="00286F49"/>
    <w:rPr>
      <w:color w:val="800080"/>
      <w:u w:val="single"/>
    </w:rPr>
  </w:style>
  <w:style w:type="character" w:customStyle="1" w:styleId="newscontent1">
    <w:name w:val="news_content1"/>
    <w:rsid w:val="00286F49"/>
    <w:rPr>
      <w:sz w:val="19"/>
      <w:szCs w:val="19"/>
    </w:rPr>
  </w:style>
  <w:style w:type="paragraph" w:customStyle="1" w:styleId="afff4">
    <w:name w:val="內文 + 標楷體"/>
    <w:aliases w:val="16 點,左右對齊,左:  0 cm,凸出:  3.6 字元,行距:  固定行高 30 pt,14 點"/>
    <w:basedOn w:val="a1"/>
    <w:rsid w:val="00286F49"/>
    <w:pPr>
      <w:adjustRightInd/>
      <w:spacing w:line="240" w:lineRule="auto"/>
      <w:textAlignment w:val="auto"/>
    </w:pPr>
    <w:rPr>
      <w:rFonts w:ascii="標楷體" w:eastAsia="標楷體" w:hAnsi="標楷體"/>
      <w:kern w:val="2"/>
      <w:sz w:val="28"/>
      <w:szCs w:val="28"/>
    </w:rPr>
  </w:style>
  <w:style w:type="character" w:customStyle="1" w:styleId="mbody6">
    <w:name w:val="mbody6"/>
    <w:rsid w:val="00286F49"/>
    <w:rPr>
      <w:rFonts w:ascii="Arial" w:hAnsi="Arial" w:cs="Arial" w:hint="default"/>
      <w:sz w:val="24"/>
      <w:szCs w:val="24"/>
    </w:rPr>
  </w:style>
  <w:style w:type="paragraph" w:customStyle="1" w:styleId="afff5">
    <w:name w:val="一'"/>
    <w:basedOn w:val="a1"/>
    <w:rsid w:val="00286F49"/>
    <w:pPr>
      <w:spacing w:line="560" w:lineRule="atLeast"/>
      <w:ind w:firstLine="720"/>
      <w:jc w:val="both"/>
      <w:textAlignment w:val="baseline"/>
    </w:pPr>
    <w:rPr>
      <w:rFonts w:ascii="標楷體" w:eastAsia="標楷體"/>
      <w:sz w:val="36"/>
    </w:rPr>
  </w:style>
  <w:style w:type="paragraph" w:customStyle="1" w:styleId="default0">
    <w:name w:val="default"/>
    <w:basedOn w:val="a1"/>
    <w:rsid w:val="00286F49"/>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customStyle="1" w:styleId="25">
    <w:name w:val="字元 字元2 字元 字元 字元 字元"/>
    <w:basedOn w:val="a1"/>
    <w:semiHidden/>
    <w:rsid w:val="00286F49"/>
    <w:pPr>
      <w:widowControl/>
      <w:adjustRightInd/>
      <w:spacing w:after="160" w:line="240" w:lineRule="exact"/>
      <w:textAlignment w:val="auto"/>
    </w:pPr>
    <w:rPr>
      <w:rFonts w:ascii="Verdana" w:eastAsia="Times New Roman" w:hAnsi="Verdana" w:cs="Mangal"/>
      <w:kern w:val="2"/>
      <w:szCs w:val="24"/>
      <w:lang w:eastAsia="en-US" w:bidi="hi-IN"/>
    </w:rPr>
  </w:style>
  <w:style w:type="character" w:customStyle="1" w:styleId="newmidwordlarge1">
    <w:name w:val="new_mid_word_large1"/>
    <w:rsid w:val="00286F49"/>
    <w:rPr>
      <w:rFonts w:ascii="Arial" w:hAnsi="Arial" w:cs="Arial" w:hint="default"/>
      <w:strike w:val="0"/>
      <w:dstrike w:val="0"/>
      <w:color w:val="555555"/>
      <w:sz w:val="19"/>
      <w:szCs w:val="19"/>
      <w:u w:val="none"/>
      <w:effect w:val="none"/>
    </w:rPr>
  </w:style>
  <w:style w:type="character" w:customStyle="1" w:styleId="12">
    <w:name w:val="標題 1 字元"/>
    <w:link w:val="11"/>
    <w:uiPriority w:val="9"/>
    <w:rsid w:val="00286F49"/>
    <w:rPr>
      <w:rFonts w:ascii="Arial Unicode MS" w:eastAsia="Arial Unicode MS" w:hAnsi="Arial Unicode MS" w:cs="Arial Unicode MS"/>
      <w:b/>
      <w:bCs/>
      <w:kern w:val="36"/>
      <w:sz w:val="48"/>
      <w:szCs w:val="48"/>
    </w:rPr>
  </w:style>
  <w:style w:type="paragraph" w:styleId="afff6">
    <w:name w:val="List Paragraph"/>
    <w:basedOn w:val="a1"/>
    <w:uiPriority w:val="34"/>
    <w:qFormat/>
    <w:rsid w:val="00286F49"/>
    <w:pPr>
      <w:spacing w:after="240" w:line="680" w:lineRule="exact"/>
      <w:ind w:leftChars="200" w:left="480" w:firstLine="567"/>
      <w:jc w:val="both"/>
      <w:textAlignment w:val="baseline"/>
    </w:pPr>
    <w:rPr>
      <w:rFonts w:ascii="Book Antiqua" w:eastAsia="華康楷書體W5"/>
      <w:spacing w:val="10"/>
      <w:sz w:val="36"/>
    </w:rPr>
  </w:style>
  <w:style w:type="table" w:styleId="afff7">
    <w:name w:val="Table Grid"/>
    <w:basedOn w:val="a3"/>
    <w:rsid w:val="00286F49"/>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註腳文字 字元"/>
    <w:link w:val="afc"/>
    <w:uiPriority w:val="99"/>
    <w:rsid w:val="00286F49"/>
    <w:rPr>
      <w:kern w:val="2"/>
    </w:rPr>
  </w:style>
  <w:style w:type="character" w:customStyle="1" w:styleId="a7">
    <w:name w:val="頁尾 字元"/>
    <w:link w:val="a6"/>
    <w:uiPriority w:val="99"/>
    <w:rsid w:val="0091791E"/>
    <w:rPr>
      <w:rFonts w:eastAsia="細明體"/>
      <w:sz w:val="18"/>
    </w:rPr>
  </w:style>
  <w:style w:type="character" w:customStyle="1" w:styleId="a9">
    <w:name w:val="頁首 字元"/>
    <w:link w:val="a8"/>
    <w:uiPriority w:val="99"/>
    <w:rsid w:val="00527E73"/>
    <w:rPr>
      <w:rFonts w:eastAsia="細明體"/>
    </w:rPr>
  </w:style>
  <w:style w:type="paragraph" w:customStyle="1" w:styleId="10">
    <w:name w:val="理監事會第 1層"/>
    <w:basedOn w:val="af1"/>
    <w:qFormat/>
    <w:rsid w:val="006D5EC2"/>
    <w:pPr>
      <w:widowControl/>
      <w:numPr>
        <w:numId w:val="3"/>
      </w:numPr>
      <w:topLinePunct/>
      <w:snapToGrid w:val="0"/>
      <w:spacing w:after="100" w:line="580" w:lineRule="exact"/>
      <w:ind w:left="925" w:right="0" w:hanging="641"/>
      <w:textDirection w:val="lrTb"/>
      <w:textAlignment w:val="auto"/>
    </w:pPr>
    <w:rPr>
      <w:rFonts w:ascii="Times New Roman" w:eastAsia="標楷體"/>
      <w:snapToGrid w:val="0"/>
      <w:spacing w:val="0"/>
      <w:sz w:val="32"/>
    </w:rPr>
  </w:style>
  <w:style w:type="paragraph" w:customStyle="1" w:styleId="2">
    <w:name w:val="理監事會第2層"/>
    <w:basedOn w:val="a1"/>
    <w:qFormat/>
    <w:rsid w:val="006D5EC2"/>
    <w:pPr>
      <w:widowControl/>
      <w:numPr>
        <w:numId w:val="4"/>
      </w:numPr>
      <w:tabs>
        <w:tab w:val="left" w:pos="1276"/>
      </w:tabs>
      <w:topLinePunct/>
      <w:snapToGrid w:val="0"/>
      <w:spacing w:after="100" w:line="580" w:lineRule="exact"/>
      <w:jc w:val="both"/>
      <w:textAlignment w:val="auto"/>
    </w:pPr>
    <w:rPr>
      <w:rFonts w:eastAsia="標楷體"/>
      <w:kern w:val="2"/>
      <w:sz w:val="32"/>
      <w:szCs w:val="24"/>
    </w:rPr>
  </w:style>
  <w:style w:type="paragraph" w:customStyle="1" w:styleId="34">
    <w:name w:val="理監事會第3層"/>
    <w:basedOn w:val="a1"/>
    <w:qFormat/>
    <w:rsid w:val="006D5EC2"/>
    <w:pPr>
      <w:widowControl/>
      <w:topLinePunct/>
      <w:snapToGrid w:val="0"/>
      <w:spacing w:after="100" w:line="580" w:lineRule="exact"/>
      <w:jc w:val="both"/>
      <w:textAlignment w:val="auto"/>
    </w:pPr>
    <w:rPr>
      <w:rFonts w:eastAsia="標楷體"/>
      <w:snapToGrid w:val="0"/>
      <w:sz w:val="32"/>
      <w:szCs w:val="24"/>
    </w:rPr>
  </w:style>
  <w:style w:type="paragraph" w:customStyle="1" w:styleId="1">
    <w:name w:val="1."/>
    <w:basedOn w:val="a1"/>
    <w:autoRedefine/>
    <w:rsid w:val="00EE7DB0"/>
    <w:pPr>
      <w:numPr>
        <w:numId w:val="5"/>
      </w:numPr>
      <w:topLinePunct/>
      <w:adjustRightInd/>
      <w:spacing w:after="100" w:line="580" w:lineRule="exact"/>
      <w:ind w:left="1406" w:right="28" w:hanging="641"/>
      <w:jc w:val="both"/>
      <w:textAlignment w:val="auto"/>
    </w:pPr>
    <w:rPr>
      <w:rFonts w:ascii="標楷體" w:eastAsia="標楷體"/>
      <w:kern w:val="2"/>
      <w:sz w:val="32"/>
      <w:szCs w:val="24"/>
    </w:rPr>
  </w:style>
  <w:style w:type="character" w:customStyle="1" w:styleId="af5">
    <w:name w:val="本文 字元"/>
    <w:basedOn w:val="a2"/>
    <w:link w:val="af4"/>
    <w:locked/>
    <w:rsid w:val="00BD32CA"/>
    <w:rPr>
      <w:rFonts w:eastAsia="標楷體"/>
      <w:sz w:val="32"/>
    </w:rPr>
  </w:style>
  <w:style w:type="paragraph" w:styleId="a">
    <w:name w:val="List Bullet"/>
    <w:basedOn w:val="a1"/>
    <w:uiPriority w:val="99"/>
    <w:unhideWhenUsed/>
    <w:rsid w:val="008814F0"/>
    <w:pPr>
      <w:numPr>
        <w:numId w:val="18"/>
      </w:numPr>
      <w:adjustRightInd/>
      <w:spacing w:line="240" w:lineRule="auto"/>
      <w:contextualSpacing/>
      <w:textAlignment w:val="auto"/>
    </w:pPr>
    <w:rPr>
      <w:rFonts w:eastAsia="新細明體"/>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7012">
      <w:bodyDiv w:val="1"/>
      <w:marLeft w:val="0"/>
      <w:marRight w:val="0"/>
      <w:marTop w:val="0"/>
      <w:marBottom w:val="0"/>
      <w:divBdr>
        <w:top w:val="none" w:sz="0" w:space="0" w:color="auto"/>
        <w:left w:val="none" w:sz="0" w:space="0" w:color="auto"/>
        <w:bottom w:val="none" w:sz="0" w:space="0" w:color="auto"/>
        <w:right w:val="none" w:sz="0" w:space="0" w:color="auto"/>
      </w:divBdr>
      <w:divsChild>
        <w:div w:id="1287732111">
          <w:marLeft w:val="0"/>
          <w:marRight w:val="0"/>
          <w:marTop w:val="0"/>
          <w:marBottom w:val="0"/>
          <w:divBdr>
            <w:top w:val="none" w:sz="0" w:space="0" w:color="auto"/>
            <w:left w:val="none" w:sz="0" w:space="0" w:color="auto"/>
            <w:bottom w:val="none" w:sz="0" w:space="0" w:color="auto"/>
            <w:right w:val="none" w:sz="0" w:space="0" w:color="auto"/>
          </w:divBdr>
          <w:divsChild>
            <w:div w:id="1354460009">
              <w:marLeft w:val="0"/>
              <w:marRight w:val="0"/>
              <w:marTop w:val="0"/>
              <w:marBottom w:val="0"/>
              <w:divBdr>
                <w:top w:val="none" w:sz="0" w:space="0" w:color="auto"/>
                <w:left w:val="none" w:sz="0" w:space="0" w:color="auto"/>
                <w:bottom w:val="none" w:sz="0" w:space="0" w:color="auto"/>
                <w:right w:val="none" w:sz="0" w:space="0" w:color="auto"/>
              </w:divBdr>
              <w:divsChild>
                <w:div w:id="480732112">
                  <w:marLeft w:val="0"/>
                  <w:marRight w:val="0"/>
                  <w:marTop w:val="0"/>
                  <w:marBottom w:val="0"/>
                  <w:divBdr>
                    <w:top w:val="none" w:sz="0" w:space="0" w:color="auto"/>
                    <w:left w:val="none" w:sz="0" w:space="0" w:color="auto"/>
                    <w:bottom w:val="none" w:sz="0" w:space="0" w:color="auto"/>
                    <w:right w:val="none" w:sz="0" w:space="0" w:color="auto"/>
                  </w:divBdr>
                  <w:divsChild>
                    <w:div w:id="126896340">
                      <w:marLeft w:val="0"/>
                      <w:marRight w:val="0"/>
                      <w:marTop w:val="0"/>
                      <w:marBottom w:val="0"/>
                      <w:divBdr>
                        <w:top w:val="none" w:sz="0" w:space="0" w:color="auto"/>
                        <w:left w:val="none" w:sz="0" w:space="0" w:color="auto"/>
                        <w:bottom w:val="none" w:sz="0" w:space="0" w:color="auto"/>
                        <w:right w:val="none" w:sz="0" w:space="0" w:color="auto"/>
                      </w:divBdr>
                      <w:divsChild>
                        <w:div w:id="266472809">
                          <w:marLeft w:val="0"/>
                          <w:marRight w:val="0"/>
                          <w:marTop w:val="0"/>
                          <w:marBottom w:val="0"/>
                          <w:divBdr>
                            <w:top w:val="none" w:sz="0" w:space="0" w:color="auto"/>
                            <w:left w:val="none" w:sz="0" w:space="0" w:color="auto"/>
                            <w:bottom w:val="none" w:sz="0" w:space="0" w:color="auto"/>
                            <w:right w:val="none" w:sz="0" w:space="0" w:color="auto"/>
                          </w:divBdr>
                          <w:divsChild>
                            <w:div w:id="33966606">
                              <w:marLeft w:val="0"/>
                              <w:marRight w:val="0"/>
                              <w:marTop w:val="0"/>
                              <w:marBottom w:val="0"/>
                              <w:divBdr>
                                <w:top w:val="none" w:sz="0" w:space="0" w:color="auto"/>
                                <w:left w:val="none" w:sz="0" w:space="0" w:color="auto"/>
                                <w:bottom w:val="none" w:sz="0" w:space="0" w:color="auto"/>
                                <w:right w:val="none" w:sz="0" w:space="0" w:color="auto"/>
                              </w:divBdr>
                              <w:divsChild>
                                <w:div w:id="719282890">
                                  <w:marLeft w:val="0"/>
                                  <w:marRight w:val="0"/>
                                  <w:marTop w:val="0"/>
                                  <w:marBottom w:val="0"/>
                                  <w:divBdr>
                                    <w:top w:val="none" w:sz="0" w:space="0" w:color="auto"/>
                                    <w:left w:val="none" w:sz="0" w:space="0" w:color="auto"/>
                                    <w:bottom w:val="none" w:sz="0" w:space="0" w:color="auto"/>
                                    <w:right w:val="none" w:sz="0" w:space="0" w:color="auto"/>
                                  </w:divBdr>
                                  <w:divsChild>
                                    <w:div w:id="2054769483">
                                      <w:marLeft w:val="0"/>
                                      <w:marRight w:val="0"/>
                                      <w:marTop w:val="0"/>
                                      <w:marBottom w:val="0"/>
                                      <w:divBdr>
                                        <w:top w:val="none" w:sz="0" w:space="0" w:color="auto"/>
                                        <w:left w:val="none" w:sz="0" w:space="0" w:color="auto"/>
                                        <w:bottom w:val="none" w:sz="0" w:space="0" w:color="auto"/>
                                        <w:right w:val="none" w:sz="0" w:space="0" w:color="auto"/>
                                      </w:divBdr>
                                      <w:divsChild>
                                        <w:div w:id="1334407986">
                                          <w:marLeft w:val="0"/>
                                          <w:marRight w:val="0"/>
                                          <w:marTop w:val="0"/>
                                          <w:marBottom w:val="525"/>
                                          <w:divBdr>
                                            <w:top w:val="none" w:sz="0" w:space="0" w:color="auto"/>
                                            <w:left w:val="none" w:sz="0" w:space="0" w:color="auto"/>
                                            <w:bottom w:val="none" w:sz="0" w:space="0" w:color="auto"/>
                                            <w:right w:val="none" w:sz="0" w:space="0" w:color="auto"/>
                                          </w:divBdr>
                                          <w:divsChild>
                                            <w:div w:id="1849908556">
                                              <w:marLeft w:val="0"/>
                                              <w:marRight w:val="0"/>
                                              <w:marTop w:val="0"/>
                                              <w:marBottom w:val="0"/>
                                              <w:divBdr>
                                                <w:top w:val="none" w:sz="0" w:space="0" w:color="auto"/>
                                                <w:left w:val="none" w:sz="0" w:space="0" w:color="auto"/>
                                                <w:bottom w:val="none" w:sz="0" w:space="0" w:color="auto"/>
                                                <w:right w:val="none" w:sz="0" w:space="0" w:color="auto"/>
                                              </w:divBdr>
                                              <w:divsChild>
                                                <w:div w:id="1001662720">
                                                  <w:marLeft w:val="0"/>
                                                  <w:marRight w:val="0"/>
                                                  <w:marTop w:val="225"/>
                                                  <w:marBottom w:val="0"/>
                                                  <w:divBdr>
                                                    <w:top w:val="none" w:sz="0" w:space="0" w:color="auto"/>
                                                    <w:left w:val="none" w:sz="0" w:space="0" w:color="auto"/>
                                                    <w:bottom w:val="none" w:sz="0" w:space="0" w:color="auto"/>
                                                    <w:right w:val="none" w:sz="0" w:space="0" w:color="auto"/>
                                                  </w:divBdr>
                                                  <w:divsChild>
                                                    <w:div w:id="1366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80650">
      <w:bodyDiv w:val="1"/>
      <w:marLeft w:val="0"/>
      <w:marRight w:val="0"/>
      <w:marTop w:val="0"/>
      <w:marBottom w:val="0"/>
      <w:divBdr>
        <w:top w:val="none" w:sz="0" w:space="0" w:color="auto"/>
        <w:left w:val="none" w:sz="0" w:space="0" w:color="auto"/>
        <w:bottom w:val="none" w:sz="0" w:space="0" w:color="auto"/>
        <w:right w:val="none" w:sz="0" w:space="0" w:color="auto"/>
      </w:divBdr>
    </w:div>
    <w:div w:id="306513676">
      <w:bodyDiv w:val="1"/>
      <w:marLeft w:val="0"/>
      <w:marRight w:val="0"/>
      <w:marTop w:val="0"/>
      <w:marBottom w:val="0"/>
      <w:divBdr>
        <w:top w:val="none" w:sz="0" w:space="0" w:color="auto"/>
        <w:left w:val="none" w:sz="0" w:space="0" w:color="auto"/>
        <w:bottom w:val="none" w:sz="0" w:space="0" w:color="auto"/>
        <w:right w:val="none" w:sz="0" w:space="0" w:color="auto"/>
      </w:divBdr>
    </w:div>
    <w:div w:id="472910718">
      <w:bodyDiv w:val="1"/>
      <w:marLeft w:val="0"/>
      <w:marRight w:val="0"/>
      <w:marTop w:val="0"/>
      <w:marBottom w:val="0"/>
      <w:divBdr>
        <w:top w:val="none" w:sz="0" w:space="0" w:color="auto"/>
        <w:left w:val="none" w:sz="0" w:space="0" w:color="auto"/>
        <w:bottom w:val="none" w:sz="0" w:space="0" w:color="auto"/>
        <w:right w:val="none" w:sz="0" w:space="0" w:color="auto"/>
      </w:divBdr>
    </w:div>
    <w:div w:id="504130895">
      <w:bodyDiv w:val="1"/>
      <w:marLeft w:val="0"/>
      <w:marRight w:val="0"/>
      <w:marTop w:val="0"/>
      <w:marBottom w:val="240"/>
      <w:divBdr>
        <w:top w:val="none" w:sz="0" w:space="0" w:color="auto"/>
        <w:left w:val="none" w:sz="0" w:space="0" w:color="auto"/>
        <w:bottom w:val="none" w:sz="0" w:space="0" w:color="auto"/>
        <w:right w:val="none" w:sz="0" w:space="0" w:color="auto"/>
      </w:divBdr>
      <w:divsChild>
        <w:div w:id="1841000680">
          <w:marLeft w:val="0"/>
          <w:marRight w:val="0"/>
          <w:marTop w:val="0"/>
          <w:marBottom w:val="0"/>
          <w:divBdr>
            <w:top w:val="none" w:sz="0" w:space="0" w:color="auto"/>
            <w:left w:val="none" w:sz="0" w:space="0" w:color="auto"/>
            <w:bottom w:val="none" w:sz="0" w:space="0" w:color="auto"/>
            <w:right w:val="none" w:sz="0" w:space="0" w:color="auto"/>
          </w:divBdr>
          <w:divsChild>
            <w:div w:id="494877479">
              <w:marLeft w:val="150"/>
              <w:marRight w:val="150"/>
              <w:marTop w:val="0"/>
              <w:marBottom w:val="0"/>
              <w:divBdr>
                <w:top w:val="none" w:sz="0" w:space="0" w:color="auto"/>
                <w:left w:val="none" w:sz="0" w:space="0" w:color="auto"/>
                <w:bottom w:val="none" w:sz="0" w:space="0" w:color="auto"/>
                <w:right w:val="none" w:sz="0" w:space="0" w:color="auto"/>
              </w:divBdr>
              <w:divsChild>
                <w:div w:id="1365592283">
                  <w:marLeft w:val="-2400"/>
                  <w:marRight w:val="0"/>
                  <w:marTop w:val="0"/>
                  <w:marBottom w:val="0"/>
                  <w:divBdr>
                    <w:top w:val="none" w:sz="0" w:space="0" w:color="auto"/>
                    <w:left w:val="none" w:sz="0" w:space="0" w:color="auto"/>
                    <w:bottom w:val="none" w:sz="0" w:space="0" w:color="auto"/>
                    <w:right w:val="none" w:sz="0" w:space="0" w:color="auto"/>
                  </w:divBdr>
                  <w:divsChild>
                    <w:div w:id="2115710508">
                      <w:marLeft w:val="2400"/>
                      <w:marRight w:val="0"/>
                      <w:marTop w:val="0"/>
                      <w:marBottom w:val="0"/>
                      <w:divBdr>
                        <w:top w:val="none" w:sz="0" w:space="0" w:color="auto"/>
                        <w:left w:val="none" w:sz="0" w:space="0" w:color="auto"/>
                        <w:bottom w:val="none" w:sz="0" w:space="0" w:color="auto"/>
                        <w:right w:val="none" w:sz="0" w:space="0" w:color="auto"/>
                      </w:divBdr>
                      <w:divsChild>
                        <w:div w:id="72167117">
                          <w:marLeft w:val="0"/>
                          <w:marRight w:val="-2400"/>
                          <w:marTop w:val="0"/>
                          <w:marBottom w:val="0"/>
                          <w:divBdr>
                            <w:top w:val="none" w:sz="0" w:space="0" w:color="auto"/>
                            <w:left w:val="none" w:sz="0" w:space="0" w:color="auto"/>
                            <w:bottom w:val="none" w:sz="0" w:space="0" w:color="auto"/>
                            <w:right w:val="none" w:sz="0" w:space="0" w:color="auto"/>
                          </w:divBdr>
                          <w:divsChild>
                            <w:div w:id="1204975458">
                              <w:marLeft w:val="0"/>
                              <w:marRight w:val="2400"/>
                              <w:marTop w:val="0"/>
                              <w:marBottom w:val="0"/>
                              <w:divBdr>
                                <w:top w:val="none" w:sz="0" w:space="0" w:color="auto"/>
                                <w:left w:val="none" w:sz="0" w:space="0" w:color="auto"/>
                                <w:bottom w:val="none" w:sz="0" w:space="0" w:color="auto"/>
                                <w:right w:val="none" w:sz="0" w:space="0" w:color="auto"/>
                              </w:divBdr>
                              <w:divsChild>
                                <w:div w:id="264383213">
                                  <w:marLeft w:val="0"/>
                                  <w:marRight w:val="0"/>
                                  <w:marTop w:val="0"/>
                                  <w:marBottom w:val="150"/>
                                  <w:divBdr>
                                    <w:top w:val="none" w:sz="0" w:space="0" w:color="auto"/>
                                    <w:left w:val="none" w:sz="0" w:space="0" w:color="auto"/>
                                    <w:bottom w:val="none" w:sz="0" w:space="0" w:color="auto"/>
                                    <w:right w:val="none" w:sz="0" w:space="0" w:color="auto"/>
                                  </w:divBdr>
                                  <w:divsChild>
                                    <w:div w:id="1492139786">
                                      <w:marLeft w:val="0"/>
                                      <w:marRight w:val="0"/>
                                      <w:marTop w:val="0"/>
                                      <w:marBottom w:val="0"/>
                                      <w:divBdr>
                                        <w:top w:val="none" w:sz="0" w:space="0" w:color="auto"/>
                                        <w:left w:val="none" w:sz="0" w:space="0" w:color="auto"/>
                                        <w:bottom w:val="none" w:sz="0" w:space="0" w:color="auto"/>
                                        <w:right w:val="none" w:sz="0" w:space="0" w:color="auto"/>
                                      </w:divBdr>
                                      <w:divsChild>
                                        <w:div w:id="658265426">
                                          <w:marLeft w:val="0"/>
                                          <w:marRight w:val="0"/>
                                          <w:marTop w:val="0"/>
                                          <w:marBottom w:val="0"/>
                                          <w:divBdr>
                                            <w:top w:val="none" w:sz="0" w:space="0" w:color="auto"/>
                                            <w:left w:val="none" w:sz="0" w:space="0" w:color="auto"/>
                                            <w:bottom w:val="none" w:sz="0" w:space="0" w:color="auto"/>
                                            <w:right w:val="none" w:sz="0" w:space="0" w:color="auto"/>
                                          </w:divBdr>
                                          <w:divsChild>
                                            <w:div w:id="540479810">
                                              <w:marLeft w:val="0"/>
                                              <w:marRight w:val="0"/>
                                              <w:marTop w:val="0"/>
                                              <w:marBottom w:val="0"/>
                                              <w:divBdr>
                                                <w:top w:val="none" w:sz="0" w:space="0" w:color="auto"/>
                                                <w:left w:val="none" w:sz="0" w:space="0" w:color="auto"/>
                                                <w:bottom w:val="none" w:sz="0" w:space="0" w:color="auto"/>
                                                <w:right w:val="none" w:sz="0" w:space="0" w:color="auto"/>
                                              </w:divBdr>
                                              <w:divsChild>
                                                <w:div w:id="115682945">
                                                  <w:marLeft w:val="0"/>
                                                  <w:marRight w:val="0"/>
                                                  <w:marTop w:val="0"/>
                                                  <w:marBottom w:val="0"/>
                                                  <w:divBdr>
                                                    <w:top w:val="none" w:sz="0" w:space="0" w:color="auto"/>
                                                    <w:left w:val="none" w:sz="0" w:space="0" w:color="auto"/>
                                                    <w:bottom w:val="none" w:sz="0" w:space="0" w:color="auto"/>
                                                    <w:right w:val="none" w:sz="0" w:space="0" w:color="auto"/>
                                                  </w:divBdr>
                                                  <w:divsChild>
                                                    <w:div w:id="267205383">
                                                      <w:marLeft w:val="0"/>
                                                      <w:marRight w:val="0"/>
                                                      <w:marTop w:val="0"/>
                                                      <w:marBottom w:val="0"/>
                                                      <w:divBdr>
                                                        <w:top w:val="none" w:sz="0" w:space="0" w:color="auto"/>
                                                        <w:left w:val="none" w:sz="0" w:space="0" w:color="auto"/>
                                                        <w:bottom w:val="none" w:sz="0" w:space="0" w:color="auto"/>
                                                        <w:right w:val="none" w:sz="0" w:space="0" w:color="auto"/>
                                                      </w:divBdr>
                                                      <w:divsChild>
                                                        <w:div w:id="4492779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4811921">
      <w:bodyDiv w:val="1"/>
      <w:marLeft w:val="0"/>
      <w:marRight w:val="0"/>
      <w:marTop w:val="0"/>
      <w:marBottom w:val="0"/>
      <w:divBdr>
        <w:top w:val="none" w:sz="0" w:space="0" w:color="auto"/>
        <w:left w:val="none" w:sz="0" w:space="0" w:color="auto"/>
        <w:bottom w:val="none" w:sz="0" w:space="0" w:color="auto"/>
        <w:right w:val="none" w:sz="0" w:space="0" w:color="auto"/>
      </w:divBdr>
    </w:div>
    <w:div w:id="767770398">
      <w:bodyDiv w:val="1"/>
      <w:marLeft w:val="0"/>
      <w:marRight w:val="0"/>
      <w:marTop w:val="0"/>
      <w:marBottom w:val="0"/>
      <w:divBdr>
        <w:top w:val="none" w:sz="0" w:space="0" w:color="auto"/>
        <w:left w:val="none" w:sz="0" w:space="0" w:color="auto"/>
        <w:bottom w:val="none" w:sz="0" w:space="0" w:color="auto"/>
        <w:right w:val="none" w:sz="0" w:space="0" w:color="auto"/>
      </w:divBdr>
      <w:divsChild>
        <w:div w:id="120613336">
          <w:marLeft w:val="120"/>
          <w:marRight w:val="120"/>
          <w:marTop w:val="120"/>
          <w:marBottom w:val="120"/>
          <w:divBdr>
            <w:top w:val="none" w:sz="0" w:space="0" w:color="auto"/>
            <w:left w:val="none" w:sz="0" w:space="0" w:color="auto"/>
            <w:bottom w:val="none" w:sz="0" w:space="0" w:color="auto"/>
            <w:right w:val="none" w:sz="0" w:space="0" w:color="auto"/>
          </w:divBdr>
          <w:divsChild>
            <w:div w:id="1019311596">
              <w:marLeft w:val="0"/>
              <w:marRight w:val="0"/>
              <w:marTop w:val="0"/>
              <w:marBottom w:val="0"/>
              <w:divBdr>
                <w:top w:val="none" w:sz="0" w:space="0" w:color="auto"/>
                <w:left w:val="none" w:sz="0" w:space="0" w:color="auto"/>
                <w:bottom w:val="none" w:sz="0" w:space="0" w:color="auto"/>
                <w:right w:val="none" w:sz="0" w:space="0" w:color="auto"/>
              </w:divBdr>
              <w:divsChild>
                <w:div w:id="319889021">
                  <w:marLeft w:val="0"/>
                  <w:marRight w:val="0"/>
                  <w:marTop w:val="0"/>
                  <w:marBottom w:val="0"/>
                  <w:divBdr>
                    <w:top w:val="none" w:sz="0" w:space="0" w:color="auto"/>
                    <w:left w:val="none" w:sz="0" w:space="0" w:color="auto"/>
                    <w:bottom w:val="none" w:sz="0" w:space="0" w:color="auto"/>
                    <w:right w:val="none" w:sz="0" w:space="0" w:color="auto"/>
                  </w:divBdr>
                  <w:divsChild>
                    <w:div w:id="179511562">
                      <w:marLeft w:val="0"/>
                      <w:marRight w:val="0"/>
                      <w:marTop w:val="0"/>
                      <w:marBottom w:val="0"/>
                      <w:divBdr>
                        <w:top w:val="none" w:sz="0" w:space="0" w:color="auto"/>
                        <w:left w:val="none" w:sz="0" w:space="0" w:color="auto"/>
                        <w:bottom w:val="none" w:sz="0" w:space="0" w:color="auto"/>
                        <w:right w:val="none" w:sz="0" w:space="0" w:color="auto"/>
                      </w:divBdr>
                      <w:divsChild>
                        <w:div w:id="1933315777">
                          <w:marLeft w:val="0"/>
                          <w:marRight w:val="0"/>
                          <w:marTop w:val="0"/>
                          <w:marBottom w:val="0"/>
                          <w:divBdr>
                            <w:top w:val="none" w:sz="0" w:space="0" w:color="auto"/>
                            <w:left w:val="none" w:sz="0" w:space="0" w:color="auto"/>
                            <w:bottom w:val="none" w:sz="0" w:space="0" w:color="auto"/>
                            <w:right w:val="none" w:sz="0" w:space="0" w:color="auto"/>
                          </w:divBdr>
                          <w:divsChild>
                            <w:div w:id="1083189090">
                              <w:marLeft w:val="0"/>
                              <w:marRight w:val="0"/>
                              <w:marTop w:val="0"/>
                              <w:marBottom w:val="0"/>
                              <w:divBdr>
                                <w:top w:val="none" w:sz="0" w:space="0" w:color="auto"/>
                                <w:left w:val="none" w:sz="0" w:space="0" w:color="auto"/>
                                <w:bottom w:val="none" w:sz="0" w:space="0" w:color="auto"/>
                                <w:right w:val="none" w:sz="0" w:space="0" w:color="auto"/>
                              </w:divBdr>
                              <w:divsChild>
                                <w:div w:id="2125033415">
                                  <w:marLeft w:val="0"/>
                                  <w:marRight w:val="0"/>
                                  <w:marTop w:val="0"/>
                                  <w:marBottom w:val="0"/>
                                  <w:divBdr>
                                    <w:top w:val="none" w:sz="0" w:space="0" w:color="auto"/>
                                    <w:left w:val="none" w:sz="0" w:space="0" w:color="auto"/>
                                    <w:bottom w:val="none" w:sz="0" w:space="0" w:color="auto"/>
                                    <w:right w:val="none" w:sz="0" w:space="0" w:color="auto"/>
                                  </w:divBdr>
                                  <w:divsChild>
                                    <w:div w:id="14870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56007">
      <w:bodyDiv w:val="1"/>
      <w:marLeft w:val="0"/>
      <w:marRight w:val="0"/>
      <w:marTop w:val="0"/>
      <w:marBottom w:val="0"/>
      <w:divBdr>
        <w:top w:val="none" w:sz="0" w:space="0" w:color="auto"/>
        <w:left w:val="none" w:sz="0" w:space="0" w:color="auto"/>
        <w:bottom w:val="none" w:sz="0" w:space="0" w:color="auto"/>
        <w:right w:val="none" w:sz="0" w:space="0" w:color="auto"/>
      </w:divBdr>
      <w:divsChild>
        <w:div w:id="872569922">
          <w:marLeft w:val="0"/>
          <w:marRight w:val="0"/>
          <w:marTop w:val="0"/>
          <w:marBottom w:val="0"/>
          <w:divBdr>
            <w:top w:val="none" w:sz="0" w:space="0" w:color="auto"/>
            <w:left w:val="none" w:sz="0" w:space="0" w:color="auto"/>
            <w:bottom w:val="none" w:sz="0" w:space="0" w:color="auto"/>
            <w:right w:val="none" w:sz="0" w:space="0" w:color="auto"/>
          </w:divBdr>
          <w:divsChild>
            <w:div w:id="1643805195">
              <w:marLeft w:val="150"/>
              <w:marRight w:val="0"/>
              <w:marTop w:val="75"/>
              <w:marBottom w:val="75"/>
              <w:divBdr>
                <w:top w:val="none" w:sz="0" w:space="0" w:color="auto"/>
                <w:left w:val="none" w:sz="0" w:space="0" w:color="auto"/>
                <w:bottom w:val="none" w:sz="0" w:space="0" w:color="auto"/>
                <w:right w:val="none" w:sz="0" w:space="0" w:color="auto"/>
              </w:divBdr>
              <w:divsChild>
                <w:div w:id="1816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6569">
      <w:bodyDiv w:val="1"/>
      <w:marLeft w:val="0"/>
      <w:marRight w:val="0"/>
      <w:marTop w:val="0"/>
      <w:marBottom w:val="0"/>
      <w:divBdr>
        <w:top w:val="none" w:sz="0" w:space="0" w:color="auto"/>
        <w:left w:val="none" w:sz="0" w:space="0" w:color="auto"/>
        <w:bottom w:val="none" w:sz="0" w:space="0" w:color="auto"/>
        <w:right w:val="none" w:sz="0" w:space="0" w:color="auto"/>
      </w:divBdr>
      <w:divsChild>
        <w:div w:id="669212467">
          <w:marLeft w:val="0"/>
          <w:marRight w:val="0"/>
          <w:marTop w:val="0"/>
          <w:marBottom w:val="0"/>
          <w:divBdr>
            <w:top w:val="none" w:sz="0" w:space="0" w:color="auto"/>
            <w:left w:val="none" w:sz="0" w:space="0" w:color="auto"/>
            <w:bottom w:val="none" w:sz="0" w:space="0" w:color="auto"/>
            <w:right w:val="none" w:sz="0" w:space="0" w:color="auto"/>
          </w:divBdr>
          <w:divsChild>
            <w:div w:id="11199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851">
      <w:bodyDiv w:val="1"/>
      <w:marLeft w:val="0"/>
      <w:marRight w:val="0"/>
      <w:marTop w:val="0"/>
      <w:marBottom w:val="240"/>
      <w:divBdr>
        <w:top w:val="none" w:sz="0" w:space="0" w:color="auto"/>
        <w:left w:val="none" w:sz="0" w:space="0" w:color="auto"/>
        <w:bottom w:val="none" w:sz="0" w:space="0" w:color="auto"/>
        <w:right w:val="none" w:sz="0" w:space="0" w:color="auto"/>
      </w:divBdr>
      <w:divsChild>
        <w:div w:id="2133672186">
          <w:marLeft w:val="0"/>
          <w:marRight w:val="0"/>
          <w:marTop w:val="0"/>
          <w:marBottom w:val="0"/>
          <w:divBdr>
            <w:top w:val="none" w:sz="0" w:space="0" w:color="auto"/>
            <w:left w:val="none" w:sz="0" w:space="0" w:color="auto"/>
            <w:bottom w:val="none" w:sz="0" w:space="0" w:color="auto"/>
            <w:right w:val="none" w:sz="0" w:space="0" w:color="auto"/>
          </w:divBdr>
          <w:divsChild>
            <w:div w:id="1829200916">
              <w:marLeft w:val="150"/>
              <w:marRight w:val="150"/>
              <w:marTop w:val="0"/>
              <w:marBottom w:val="0"/>
              <w:divBdr>
                <w:top w:val="none" w:sz="0" w:space="0" w:color="auto"/>
                <w:left w:val="none" w:sz="0" w:space="0" w:color="auto"/>
                <w:bottom w:val="none" w:sz="0" w:space="0" w:color="auto"/>
                <w:right w:val="none" w:sz="0" w:space="0" w:color="auto"/>
              </w:divBdr>
              <w:divsChild>
                <w:div w:id="2006736792">
                  <w:marLeft w:val="-2400"/>
                  <w:marRight w:val="0"/>
                  <w:marTop w:val="0"/>
                  <w:marBottom w:val="0"/>
                  <w:divBdr>
                    <w:top w:val="none" w:sz="0" w:space="0" w:color="auto"/>
                    <w:left w:val="none" w:sz="0" w:space="0" w:color="auto"/>
                    <w:bottom w:val="none" w:sz="0" w:space="0" w:color="auto"/>
                    <w:right w:val="none" w:sz="0" w:space="0" w:color="auto"/>
                  </w:divBdr>
                  <w:divsChild>
                    <w:div w:id="336346963">
                      <w:marLeft w:val="2400"/>
                      <w:marRight w:val="0"/>
                      <w:marTop w:val="0"/>
                      <w:marBottom w:val="0"/>
                      <w:divBdr>
                        <w:top w:val="none" w:sz="0" w:space="0" w:color="auto"/>
                        <w:left w:val="none" w:sz="0" w:space="0" w:color="auto"/>
                        <w:bottom w:val="none" w:sz="0" w:space="0" w:color="auto"/>
                        <w:right w:val="none" w:sz="0" w:space="0" w:color="auto"/>
                      </w:divBdr>
                      <w:divsChild>
                        <w:div w:id="627013584">
                          <w:marLeft w:val="0"/>
                          <w:marRight w:val="-2400"/>
                          <w:marTop w:val="0"/>
                          <w:marBottom w:val="0"/>
                          <w:divBdr>
                            <w:top w:val="none" w:sz="0" w:space="0" w:color="auto"/>
                            <w:left w:val="none" w:sz="0" w:space="0" w:color="auto"/>
                            <w:bottom w:val="none" w:sz="0" w:space="0" w:color="auto"/>
                            <w:right w:val="none" w:sz="0" w:space="0" w:color="auto"/>
                          </w:divBdr>
                          <w:divsChild>
                            <w:div w:id="1966153551">
                              <w:marLeft w:val="0"/>
                              <w:marRight w:val="2400"/>
                              <w:marTop w:val="0"/>
                              <w:marBottom w:val="0"/>
                              <w:divBdr>
                                <w:top w:val="none" w:sz="0" w:space="0" w:color="auto"/>
                                <w:left w:val="none" w:sz="0" w:space="0" w:color="auto"/>
                                <w:bottom w:val="none" w:sz="0" w:space="0" w:color="auto"/>
                                <w:right w:val="none" w:sz="0" w:space="0" w:color="auto"/>
                              </w:divBdr>
                              <w:divsChild>
                                <w:div w:id="146869302">
                                  <w:marLeft w:val="0"/>
                                  <w:marRight w:val="0"/>
                                  <w:marTop w:val="0"/>
                                  <w:marBottom w:val="150"/>
                                  <w:divBdr>
                                    <w:top w:val="none" w:sz="0" w:space="0" w:color="auto"/>
                                    <w:left w:val="none" w:sz="0" w:space="0" w:color="auto"/>
                                    <w:bottom w:val="none" w:sz="0" w:space="0" w:color="auto"/>
                                    <w:right w:val="none" w:sz="0" w:space="0" w:color="auto"/>
                                  </w:divBdr>
                                  <w:divsChild>
                                    <w:div w:id="1951818746">
                                      <w:marLeft w:val="0"/>
                                      <w:marRight w:val="0"/>
                                      <w:marTop w:val="0"/>
                                      <w:marBottom w:val="0"/>
                                      <w:divBdr>
                                        <w:top w:val="none" w:sz="0" w:space="0" w:color="auto"/>
                                        <w:left w:val="none" w:sz="0" w:space="0" w:color="auto"/>
                                        <w:bottom w:val="none" w:sz="0" w:space="0" w:color="auto"/>
                                        <w:right w:val="none" w:sz="0" w:space="0" w:color="auto"/>
                                      </w:divBdr>
                                      <w:divsChild>
                                        <w:div w:id="92406730">
                                          <w:marLeft w:val="0"/>
                                          <w:marRight w:val="0"/>
                                          <w:marTop w:val="0"/>
                                          <w:marBottom w:val="0"/>
                                          <w:divBdr>
                                            <w:top w:val="none" w:sz="0" w:space="0" w:color="auto"/>
                                            <w:left w:val="none" w:sz="0" w:space="0" w:color="auto"/>
                                            <w:bottom w:val="none" w:sz="0" w:space="0" w:color="auto"/>
                                            <w:right w:val="none" w:sz="0" w:space="0" w:color="auto"/>
                                          </w:divBdr>
                                          <w:divsChild>
                                            <w:div w:id="1241872449">
                                              <w:marLeft w:val="0"/>
                                              <w:marRight w:val="0"/>
                                              <w:marTop w:val="0"/>
                                              <w:marBottom w:val="0"/>
                                              <w:divBdr>
                                                <w:top w:val="none" w:sz="0" w:space="0" w:color="auto"/>
                                                <w:left w:val="none" w:sz="0" w:space="0" w:color="auto"/>
                                                <w:bottom w:val="none" w:sz="0" w:space="0" w:color="auto"/>
                                                <w:right w:val="none" w:sz="0" w:space="0" w:color="auto"/>
                                              </w:divBdr>
                                              <w:divsChild>
                                                <w:div w:id="843326528">
                                                  <w:marLeft w:val="0"/>
                                                  <w:marRight w:val="0"/>
                                                  <w:marTop w:val="0"/>
                                                  <w:marBottom w:val="0"/>
                                                  <w:divBdr>
                                                    <w:top w:val="none" w:sz="0" w:space="0" w:color="auto"/>
                                                    <w:left w:val="none" w:sz="0" w:space="0" w:color="auto"/>
                                                    <w:bottom w:val="none" w:sz="0" w:space="0" w:color="auto"/>
                                                    <w:right w:val="none" w:sz="0" w:space="0" w:color="auto"/>
                                                  </w:divBdr>
                                                  <w:divsChild>
                                                    <w:div w:id="1838764793">
                                                      <w:marLeft w:val="0"/>
                                                      <w:marRight w:val="0"/>
                                                      <w:marTop w:val="0"/>
                                                      <w:marBottom w:val="0"/>
                                                      <w:divBdr>
                                                        <w:top w:val="none" w:sz="0" w:space="0" w:color="auto"/>
                                                        <w:left w:val="none" w:sz="0" w:space="0" w:color="auto"/>
                                                        <w:bottom w:val="none" w:sz="0" w:space="0" w:color="auto"/>
                                                        <w:right w:val="none" w:sz="0" w:space="0" w:color="auto"/>
                                                      </w:divBdr>
                                                      <w:divsChild>
                                                        <w:div w:id="7965317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1403611">
      <w:bodyDiv w:val="1"/>
      <w:marLeft w:val="0"/>
      <w:marRight w:val="0"/>
      <w:marTop w:val="0"/>
      <w:marBottom w:val="0"/>
      <w:divBdr>
        <w:top w:val="none" w:sz="0" w:space="0" w:color="auto"/>
        <w:left w:val="none" w:sz="0" w:space="0" w:color="auto"/>
        <w:bottom w:val="none" w:sz="0" w:space="0" w:color="auto"/>
        <w:right w:val="none" w:sz="0" w:space="0" w:color="auto"/>
      </w:divBdr>
    </w:div>
    <w:div w:id="1719546443">
      <w:bodyDiv w:val="1"/>
      <w:marLeft w:val="0"/>
      <w:marRight w:val="0"/>
      <w:marTop w:val="0"/>
      <w:marBottom w:val="0"/>
      <w:divBdr>
        <w:top w:val="none" w:sz="0" w:space="0" w:color="auto"/>
        <w:left w:val="none" w:sz="0" w:space="0" w:color="auto"/>
        <w:bottom w:val="none" w:sz="0" w:space="0" w:color="auto"/>
        <w:right w:val="none" w:sz="0" w:space="0" w:color="auto"/>
      </w:divBdr>
    </w:div>
    <w:div w:id="1744141129">
      <w:bodyDiv w:val="1"/>
      <w:marLeft w:val="0"/>
      <w:marRight w:val="0"/>
      <w:marTop w:val="0"/>
      <w:marBottom w:val="0"/>
      <w:divBdr>
        <w:top w:val="none" w:sz="0" w:space="0" w:color="auto"/>
        <w:left w:val="none" w:sz="0" w:space="0" w:color="auto"/>
        <w:bottom w:val="none" w:sz="0" w:space="0" w:color="auto"/>
        <w:right w:val="none" w:sz="0" w:space="0" w:color="auto"/>
      </w:divBdr>
    </w:div>
    <w:div w:id="1801652802">
      <w:bodyDiv w:val="1"/>
      <w:marLeft w:val="0"/>
      <w:marRight w:val="0"/>
      <w:marTop w:val="0"/>
      <w:marBottom w:val="0"/>
      <w:divBdr>
        <w:top w:val="none" w:sz="0" w:space="0" w:color="auto"/>
        <w:left w:val="none" w:sz="0" w:space="0" w:color="auto"/>
        <w:bottom w:val="none" w:sz="0" w:space="0" w:color="auto"/>
        <w:right w:val="none" w:sz="0" w:space="0" w:color="auto"/>
      </w:divBdr>
    </w:div>
    <w:div w:id="1943878611">
      <w:bodyDiv w:val="1"/>
      <w:marLeft w:val="0"/>
      <w:marRight w:val="0"/>
      <w:marTop w:val="0"/>
      <w:marBottom w:val="0"/>
      <w:divBdr>
        <w:top w:val="none" w:sz="0" w:space="0" w:color="auto"/>
        <w:left w:val="none" w:sz="0" w:space="0" w:color="auto"/>
        <w:bottom w:val="none" w:sz="0" w:space="0" w:color="auto"/>
        <w:right w:val="none" w:sz="0" w:space="0" w:color="auto"/>
      </w:divBdr>
    </w:div>
    <w:div w:id="206753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53932-E346-4BC0-940F-9AC6F59D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23</Pages>
  <Words>6547</Words>
  <Characters>37324</Characters>
  <Application>Microsoft Office Word</Application>
  <DocSecurity>0</DocSecurity>
  <Lines>311</Lines>
  <Paragraphs>87</Paragraphs>
  <ScaleCrop>false</ScaleCrop>
  <Company>cbc</Company>
  <LinksUpToDate>false</LinksUpToDate>
  <CharactersWithSpaces>43784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人事評審會提案</dc:title>
  <dc:creator>秘書處長秘書室</dc:creator>
  <cp:lastModifiedBy>ssl</cp:lastModifiedBy>
  <cp:revision>8</cp:revision>
  <cp:lastPrinted>2020-01-20T06:55:00Z</cp:lastPrinted>
  <dcterms:created xsi:type="dcterms:W3CDTF">2020-01-22T07:23:00Z</dcterms:created>
  <dcterms:modified xsi:type="dcterms:W3CDTF">2020-01-30T06:14:00Z</dcterms:modified>
</cp:coreProperties>
</file>