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C46" w:rsidRDefault="00C82C46" w:rsidP="00D052FE">
      <w:pPr>
        <w:tabs>
          <w:tab w:val="left" w:pos="8609"/>
        </w:tabs>
        <w:spacing w:before="100" w:line="640" w:lineRule="exact"/>
        <w:ind w:leftChars="21" w:left="42" w:rightChars="196" w:right="392"/>
        <w:jc w:val="both"/>
        <w:textDirection w:val="lrTbV"/>
        <w:rPr>
          <w:rFonts w:eastAsia="標楷體"/>
          <w:b/>
          <w:spacing w:val="-24"/>
          <w:sz w:val="34"/>
          <w:szCs w:val="34"/>
        </w:rPr>
      </w:pPr>
    </w:p>
    <w:p w:rsidR="00C82C46" w:rsidRDefault="00C82C46" w:rsidP="00D052FE">
      <w:pPr>
        <w:tabs>
          <w:tab w:val="left" w:pos="8609"/>
        </w:tabs>
        <w:spacing w:before="100" w:line="640" w:lineRule="exact"/>
        <w:ind w:leftChars="21" w:left="42" w:rightChars="196" w:right="392"/>
        <w:jc w:val="both"/>
        <w:textDirection w:val="lrTbV"/>
        <w:rPr>
          <w:rFonts w:eastAsia="標楷體"/>
          <w:b/>
          <w:spacing w:val="-24"/>
          <w:sz w:val="34"/>
          <w:szCs w:val="34"/>
        </w:rPr>
      </w:pPr>
    </w:p>
    <w:p w:rsidR="00C82C46" w:rsidRDefault="00C82C46" w:rsidP="00D052FE">
      <w:pPr>
        <w:tabs>
          <w:tab w:val="left" w:pos="8609"/>
        </w:tabs>
        <w:spacing w:before="100" w:line="640" w:lineRule="exact"/>
        <w:ind w:leftChars="21" w:left="42" w:rightChars="196" w:right="392"/>
        <w:jc w:val="both"/>
        <w:textDirection w:val="lrTbV"/>
        <w:rPr>
          <w:rFonts w:eastAsia="標楷體"/>
          <w:b/>
          <w:spacing w:val="-24"/>
          <w:sz w:val="34"/>
          <w:szCs w:val="34"/>
        </w:rPr>
      </w:pPr>
    </w:p>
    <w:p w:rsidR="00C82C46" w:rsidRDefault="00C82C46" w:rsidP="00D052FE">
      <w:pPr>
        <w:spacing w:before="100" w:line="640" w:lineRule="exact"/>
        <w:ind w:leftChars="252" w:left="504" w:rightChars="231" w:right="462"/>
        <w:jc w:val="both"/>
        <w:textDirection w:val="lrTbV"/>
        <w:rPr>
          <w:rFonts w:eastAsia="標楷體"/>
          <w:b/>
          <w:spacing w:val="-24"/>
          <w:sz w:val="34"/>
          <w:szCs w:val="34"/>
        </w:rPr>
      </w:pPr>
    </w:p>
    <w:p w:rsidR="00C82C46" w:rsidRDefault="00C82C46" w:rsidP="00D052FE">
      <w:pPr>
        <w:pBdr>
          <w:top w:val="single" w:sz="48" w:space="1" w:color="auto"/>
          <w:bottom w:val="single" w:sz="48" w:space="1" w:color="auto"/>
        </w:pBdr>
        <w:spacing w:before="100" w:line="200" w:lineRule="exact"/>
        <w:ind w:leftChars="252" w:left="504" w:rightChars="231" w:right="462"/>
        <w:jc w:val="both"/>
        <w:textDirection w:val="lrTbV"/>
        <w:rPr>
          <w:rFonts w:eastAsia="標楷體"/>
          <w:b/>
          <w:sz w:val="64"/>
          <w:szCs w:val="64"/>
        </w:rPr>
      </w:pPr>
    </w:p>
    <w:p w:rsidR="00181D76" w:rsidRPr="007F6F77" w:rsidRDefault="00181D76" w:rsidP="00181D76">
      <w:pPr>
        <w:pBdr>
          <w:top w:val="single" w:sz="48" w:space="1" w:color="auto"/>
          <w:bottom w:val="single" w:sz="48" w:space="1" w:color="auto"/>
        </w:pBdr>
        <w:spacing w:before="100" w:line="840" w:lineRule="exact"/>
        <w:ind w:leftChars="252" w:left="504" w:rightChars="231" w:right="462"/>
        <w:jc w:val="center"/>
        <w:textDirection w:val="lrTbV"/>
        <w:rPr>
          <w:rFonts w:eastAsia="標楷體"/>
          <w:b/>
          <w:sz w:val="52"/>
          <w:szCs w:val="64"/>
        </w:rPr>
      </w:pPr>
      <w:bookmarkStart w:id="0" w:name="_GoBack"/>
      <w:r w:rsidRPr="007F6F77">
        <w:rPr>
          <w:rFonts w:eastAsia="標楷體"/>
          <w:b/>
          <w:sz w:val="52"/>
          <w:szCs w:val="64"/>
        </w:rPr>
        <w:t xml:space="preserve">Minutes of the </w:t>
      </w:r>
      <w:r w:rsidRPr="007F6F77">
        <w:rPr>
          <w:rFonts w:eastAsia="標楷體" w:hint="eastAsia"/>
          <w:b/>
          <w:sz w:val="52"/>
          <w:szCs w:val="64"/>
        </w:rPr>
        <w:t xml:space="preserve">Monetary Policy </w:t>
      </w:r>
      <w:r w:rsidRPr="007F6F77">
        <w:rPr>
          <w:rFonts w:eastAsia="標楷體"/>
          <w:b/>
          <w:sz w:val="52"/>
          <w:szCs w:val="64"/>
        </w:rPr>
        <w:t>Meeting</w:t>
      </w:r>
      <w:bookmarkEnd w:id="0"/>
    </w:p>
    <w:p w:rsidR="00181D76" w:rsidRPr="007F6F77" w:rsidRDefault="00181D76" w:rsidP="00FA173A">
      <w:pPr>
        <w:pBdr>
          <w:top w:val="single" w:sz="48" w:space="1" w:color="auto"/>
          <w:bottom w:val="single" w:sz="48" w:space="1" w:color="auto"/>
        </w:pBdr>
        <w:spacing w:before="100" w:line="840" w:lineRule="exact"/>
        <w:ind w:leftChars="252" w:left="504" w:rightChars="231" w:right="462"/>
        <w:jc w:val="center"/>
        <w:textDirection w:val="lrTbV"/>
        <w:rPr>
          <w:rFonts w:eastAsia="標楷體"/>
          <w:b/>
          <w:sz w:val="52"/>
          <w:szCs w:val="64"/>
        </w:rPr>
      </w:pPr>
    </w:p>
    <w:p w:rsidR="00181D76" w:rsidRPr="007F6F77" w:rsidRDefault="002D5188" w:rsidP="00181D76">
      <w:pPr>
        <w:pBdr>
          <w:top w:val="single" w:sz="48" w:space="1" w:color="auto"/>
          <w:bottom w:val="single" w:sz="48" w:space="1" w:color="auto"/>
        </w:pBdr>
        <w:spacing w:before="240" w:line="640" w:lineRule="exact"/>
        <w:ind w:leftChars="252" w:left="504" w:rightChars="231" w:right="462"/>
        <w:jc w:val="center"/>
        <w:textDirection w:val="lrTbV"/>
        <w:rPr>
          <w:rFonts w:eastAsia="標楷體"/>
          <w:spacing w:val="-24"/>
          <w:sz w:val="40"/>
          <w:szCs w:val="48"/>
        </w:rPr>
      </w:pPr>
      <w:r>
        <w:rPr>
          <w:rFonts w:eastAsia="標楷體"/>
          <w:spacing w:val="-24"/>
          <w:sz w:val="40"/>
          <w:szCs w:val="48"/>
        </w:rPr>
        <w:t>June 18</w:t>
      </w:r>
      <w:r w:rsidR="008C284D" w:rsidRPr="007F6F77">
        <w:rPr>
          <w:rFonts w:eastAsia="標楷體" w:hint="eastAsia"/>
          <w:spacing w:val="-24"/>
          <w:sz w:val="40"/>
          <w:szCs w:val="48"/>
        </w:rPr>
        <w:t>, 20</w:t>
      </w:r>
      <w:r w:rsidR="00F0595F">
        <w:rPr>
          <w:rFonts w:eastAsia="標楷體" w:hint="eastAsia"/>
          <w:spacing w:val="-24"/>
          <w:sz w:val="40"/>
          <w:szCs w:val="48"/>
        </w:rPr>
        <w:t>20</w:t>
      </w:r>
    </w:p>
    <w:p w:rsidR="00C82C46" w:rsidRPr="007F6F77" w:rsidRDefault="00C82C46" w:rsidP="00506CDC">
      <w:pPr>
        <w:pBdr>
          <w:top w:val="single" w:sz="48" w:space="1" w:color="auto"/>
          <w:bottom w:val="single" w:sz="48" w:space="1" w:color="auto"/>
        </w:pBdr>
        <w:spacing w:before="240" w:line="20" w:lineRule="exact"/>
        <w:ind w:leftChars="252" w:left="504" w:rightChars="231" w:right="462"/>
        <w:jc w:val="center"/>
        <w:textDirection w:val="lrTbV"/>
        <w:rPr>
          <w:rFonts w:eastAsia="標楷體"/>
          <w:sz w:val="48"/>
          <w:szCs w:val="48"/>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181D76" w:rsidRPr="007F6F77" w:rsidRDefault="00181D76" w:rsidP="00181D76">
      <w:pPr>
        <w:spacing w:before="100" w:line="640" w:lineRule="exact"/>
        <w:ind w:leftChars="252" w:left="504" w:rightChars="231" w:right="462"/>
        <w:jc w:val="center"/>
        <w:textDirection w:val="lrTbV"/>
        <w:rPr>
          <w:rFonts w:eastAsia="標楷體"/>
          <w:b/>
          <w:spacing w:val="-24"/>
          <w:sz w:val="44"/>
          <w:szCs w:val="52"/>
        </w:rPr>
      </w:pPr>
      <w:r w:rsidRPr="007F6F77">
        <w:rPr>
          <w:rFonts w:eastAsia="標楷體" w:hint="eastAsia"/>
          <w:sz w:val="44"/>
          <w:szCs w:val="52"/>
        </w:rPr>
        <w:t>Central Bank of the R.O.C. (Taiwan)</w:t>
      </w:r>
    </w:p>
    <w:p w:rsidR="00C82C46" w:rsidRPr="007F6F77" w:rsidRDefault="00C82C46" w:rsidP="00D052FE">
      <w:pPr>
        <w:spacing w:before="100" w:line="640" w:lineRule="exact"/>
        <w:ind w:leftChars="252" w:left="504" w:rightChars="231" w:right="462"/>
        <w:jc w:val="both"/>
        <w:textDirection w:val="lrTbV"/>
        <w:rPr>
          <w:rFonts w:eastAsia="標楷體"/>
          <w:sz w:val="52"/>
          <w:szCs w:val="52"/>
        </w:rPr>
        <w:sectPr w:rsidR="00C82C46" w:rsidRPr="007F6F77" w:rsidSect="00F714F0">
          <w:headerReference w:type="default" r:id="rId8"/>
          <w:footerReference w:type="even" r:id="rId9"/>
          <w:footerReference w:type="first" r:id="rId10"/>
          <w:pgSz w:w="11907" w:h="16840" w:code="9"/>
          <w:pgMar w:top="1134" w:right="1418" w:bottom="851" w:left="1418" w:header="0" w:footer="510" w:gutter="0"/>
          <w:paperSrc w:first="15" w:other="15"/>
          <w:pgNumType w:start="0"/>
          <w:cols w:space="425"/>
          <w:titlePg/>
          <w:docGrid w:linePitch="272"/>
        </w:sectPr>
      </w:pPr>
      <w:r w:rsidRPr="007F6F77">
        <w:rPr>
          <w:rFonts w:eastAsia="標楷體"/>
          <w:spacing w:val="-24"/>
          <w:sz w:val="44"/>
          <w:szCs w:val="44"/>
        </w:rPr>
        <w:br w:type="page"/>
      </w:r>
    </w:p>
    <w:p w:rsidR="00363599" w:rsidRPr="007F6F77" w:rsidRDefault="00363599" w:rsidP="00642463">
      <w:pPr>
        <w:spacing w:line="440" w:lineRule="exact"/>
        <w:jc w:val="center"/>
        <w:textDirection w:val="lrTbV"/>
        <w:rPr>
          <w:rFonts w:eastAsia="標楷體"/>
          <w:b/>
          <w:sz w:val="28"/>
          <w:szCs w:val="28"/>
        </w:rPr>
      </w:pPr>
      <w:r w:rsidRPr="007F6F77">
        <w:rPr>
          <w:rFonts w:eastAsia="標楷體"/>
          <w:b/>
          <w:sz w:val="28"/>
          <w:szCs w:val="28"/>
        </w:rPr>
        <w:lastRenderedPageBreak/>
        <w:t>Minutes</w:t>
      </w:r>
      <w:r w:rsidRPr="007F6F77">
        <w:rPr>
          <w:rStyle w:val="afe"/>
          <w:rFonts w:eastAsia="標楷體"/>
          <w:b/>
          <w:sz w:val="28"/>
          <w:szCs w:val="28"/>
        </w:rPr>
        <w:footnoteReference w:id="1"/>
      </w:r>
      <w:r w:rsidRPr="007F6F77">
        <w:rPr>
          <w:rFonts w:eastAsia="標楷體"/>
          <w:b/>
          <w:sz w:val="28"/>
          <w:szCs w:val="28"/>
        </w:rPr>
        <w:t xml:space="preserve"> of the Joint Meeting of the Board of Directors and </w:t>
      </w:r>
    </w:p>
    <w:p w:rsidR="00363599" w:rsidRPr="007F6F77" w:rsidRDefault="00363599" w:rsidP="00642463">
      <w:pPr>
        <w:spacing w:line="440" w:lineRule="exact"/>
        <w:jc w:val="center"/>
        <w:textDirection w:val="lrTbV"/>
        <w:rPr>
          <w:rFonts w:eastAsia="標楷體"/>
          <w:b/>
          <w:sz w:val="28"/>
          <w:szCs w:val="28"/>
        </w:rPr>
      </w:pPr>
      <w:r w:rsidRPr="007F6F77">
        <w:rPr>
          <w:rFonts w:eastAsia="標楷體"/>
          <w:b/>
          <w:sz w:val="28"/>
          <w:szCs w:val="28"/>
        </w:rPr>
        <w:t>the Board of Supervisors on</w:t>
      </w:r>
      <w:r w:rsidR="00C41905" w:rsidRPr="007F6F77">
        <w:rPr>
          <w:rFonts w:eastAsia="標楷體" w:hint="eastAsia"/>
          <w:b/>
          <w:sz w:val="28"/>
          <w:szCs w:val="28"/>
        </w:rPr>
        <w:t xml:space="preserve"> </w:t>
      </w:r>
      <w:r w:rsidR="004A098E">
        <w:rPr>
          <w:rFonts w:eastAsia="標楷體"/>
          <w:b/>
          <w:sz w:val="28"/>
          <w:szCs w:val="28"/>
        </w:rPr>
        <w:t>June 18</w:t>
      </w:r>
      <w:r w:rsidR="008C284D" w:rsidRPr="007F6F77">
        <w:rPr>
          <w:rFonts w:eastAsia="標楷體"/>
          <w:b/>
          <w:sz w:val="28"/>
          <w:szCs w:val="28"/>
        </w:rPr>
        <w:t>, 20</w:t>
      </w:r>
      <w:r w:rsidR="0054412A">
        <w:rPr>
          <w:rFonts w:eastAsia="標楷體" w:hint="eastAsia"/>
          <w:b/>
          <w:sz w:val="28"/>
          <w:szCs w:val="28"/>
        </w:rPr>
        <w:t>20</w:t>
      </w:r>
    </w:p>
    <w:p w:rsidR="00363599" w:rsidRPr="007F6F77" w:rsidRDefault="00363599" w:rsidP="00642463">
      <w:pPr>
        <w:spacing w:line="440" w:lineRule="exact"/>
        <w:jc w:val="both"/>
        <w:textDirection w:val="lrTbV"/>
        <w:rPr>
          <w:rFonts w:eastAsia="標楷體"/>
          <w:sz w:val="24"/>
          <w:szCs w:val="24"/>
        </w:rPr>
      </w:pPr>
      <w:r w:rsidRPr="007F6F77">
        <w:rPr>
          <w:rFonts w:eastAsia="標楷體" w:hint="eastAsia"/>
          <w:b/>
          <w:sz w:val="24"/>
          <w:szCs w:val="24"/>
        </w:rPr>
        <w:t>Date and Time</w:t>
      </w:r>
      <w:r w:rsidRPr="007F6F77">
        <w:rPr>
          <w:rFonts w:eastAsia="標楷體" w:hint="eastAsia"/>
          <w:sz w:val="24"/>
          <w:szCs w:val="24"/>
        </w:rPr>
        <w:t xml:space="preserve">: </w:t>
      </w:r>
      <w:r w:rsidR="000830C6" w:rsidRPr="007F6F77">
        <w:rPr>
          <w:rFonts w:eastAsia="標楷體" w:hint="eastAsia"/>
          <w:sz w:val="24"/>
          <w:szCs w:val="24"/>
        </w:rPr>
        <w:t>2:00 p.m.</w:t>
      </w:r>
      <w:r w:rsidR="000830C6">
        <w:rPr>
          <w:rFonts w:eastAsia="標楷體" w:hint="eastAsia"/>
          <w:sz w:val="24"/>
          <w:szCs w:val="24"/>
        </w:rPr>
        <w:t xml:space="preserve">, </w:t>
      </w:r>
      <w:r w:rsidR="004A098E">
        <w:rPr>
          <w:rFonts w:eastAsia="標楷體"/>
          <w:sz w:val="24"/>
          <w:szCs w:val="24"/>
        </w:rPr>
        <w:t>June 18</w:t>
      </w:r>
      <w:r w:rsidRPr="007F6F77">
        <w:rPr>
          <w:rFonts w:eastAsia="標楷體" w:hint="eastAsia"/>
          <w:sz w:val="24"/>
          <w:szCs w:val="24"/>
        </w:rPr>
        <w:t>, 20</w:t>
      </w:r>
      <w:r w:rsidR="00F0595F">
        <w:rPr>
          <w:rFonts w:eastAsia="標楷體" w:hint="eastAsia"/>
          <w:sz w:val="24"/>
          <w:szCs w:val="24"/>
        </w:rPr>
        <w:t>20</w:t>
      </w:r>
    </w:p>
    <w:p w:rsidR="00363599" w:rsidRPr="007F6F77" w:rsidRDefault="00363599" w:rsidP="00642463">
      <w:pPr>
        <w:spacing w:line="440" w:lineRule="exact"/>
        <w:ind w:left="745" w:hangingChars="310" w:hanging="745"/>
        <w:jc w:val="both"/>
        <w:textDirection w:val="lrTbV"/>
        <w:rPr>
          <w:rFonts w:eastAsia="標楷體"/>
          <w:sz w:val="24"/>
          <w:szCs w:val="24"/>
        </w:rPr>
      </w:pPr>
      <w:r w:rsidRPr="007F6F77">
        <w:rPr>
          <w:rFonts w:eastAsia="標楷體" w:hint="eastAsia"/>
          <w:b/>
          <w:sz w:val="24"/>
          <w:szCs w:val="24"/>
        </w:rPr>
        <w:t>Location:</w:t>
      </w:r>
      <w:r w:rsidRPr="007F6F77">
        <w:rPr>
          <w:rFonts w:eastAsia="標楷體" w:hint="eastAsia"/>
          <w:sz w:val="24"/>
          <w:szCs w:val="24"/>
        </w:rPr>
        <w:t xml:space="preserve"> Room A606, Main Building, </w:t>
      </w:r>
      <w:r w:rsidRPr="007F6F77">
        <w:rPr>
          <w:rFonts w:eastAsia="標楷體"/>
          <w:sz w:val="24"/>
          <w:szCs w:val="24"/>
        </w:rPr>
        <w:t>Central Bank of the R.O.C. (Taiwan)</w:t>
      </w:r>
    </w:p>
    <w:p w:rsidR="00363599" w:rsidRPr="007F6F77" w:rsidRDefault="00363599" w:rsidP="00642463">
      <w:pPr>
        <w:pStyle w:val="31"/>
        <w:spacing w:line="440" w:lineRule="exact"/>
        <w:textDirection w:val="lrTbV"/>
        <w:rPr>
          <w:rFonts w:eastAsia="標楷體"/>
          <w:sz w:val="24"/>
          <w:szCs w:val="24"/>
        </w:rPr>
      </w:pPr>
      <w:r w:rsidRPr="007F6F77">
        <w:rPr>
          <w:rFonts w:eastAsia="標楷體" w:hint="eastAsia"/>
          <w:b/>
          <w:sz w:val="24"/>
          <w:szCs w:val="24"/>
        </w:rPr>
        <w:t>Members Present:</w:t>
      </w:r>
      <w:r w:rsidRPr="007F6F77">
        <w:rPr>
          <w:rFonts w:eastAsia="標楷體" w:hint="eastAsia"/>
          <w:sz w:val="24"/>
          <w:szCs w:val="24"/>
        </w:rPr>
        <w:t xml:space="preserve"> </w:t>
      </w:r>
    </w:p>
    <w:p w:rsidR="00363599" w:rsidRPr="007F6F77" w:rsidRDefault="00363599" w:rsidP="00642463">
      <w:pPr>
        <w:pStyle w:val="31"/>
        <w:spacing w:line="440" w:lineRule="exact"/>
        <w:ind w:leftChars="200" w:left="400"/>
        <w:textDirection w:val="lrTbV"/>
        <w:rPr>
          <w:rFonts w:eastAsia="標楷體"/>
          <w:sz w:val="24"/>
          <w:szCs w:val="24"/>
        </w:rPr>
      </w:pPr>
      <w:r w:rsidRPr="007F6F77">
        <w:rPr>
          <w:rFonts w:eastAsia="標楷體" w:hint="eastAsia"/>
          <w:b/>
          <w:sz w:val="24"/>
          <w:szCs w:val="24"/>
        </w:rPr>
        <w:t>Chairman, Board of Directors</w:t>
      </w:r>
      <w:r w:rsidRPr="007F6F77">
        <w:rPr>
          <w:rFonts w:eastAsia="標楷體" w:hint="eastAsia"/>
          <w:sz w:val="24"/>
          <w:szCs w:val="24"/>
        </w:rPr>
        <w:t xml:space="preserve">: </w:t>
      </w:r>
      <w:r w:rsidR="008C284D" w:rsidRPr="007F6F77">
        <w:rPr>
          <w:rFonts w:eastAsia="標楷體"/>
          <w:sz w:val="24"/>
          <w:szCs w:val="24"/>
        </w:rPr>
        <w:t>Chin-long Yang</w:t>
      </w:r>
    </w:p>
    <w:p w:rsidR="008C284D" w:rsidRPr="005C6BCD" w:rsidRDefault="008C284D" w:rsidP="00642463">
      <w:pPr>
        <w:pStyle w:val="31"/>
        <w:spacing w:line="440" w:lineRule="exact"/>
        <w:ind w:leftChars="200" w:left="400"/>
        <w:textDirection w:val="lrTbV"/>
        <w:rPr>
          <w:rFonts w:eastAsia="標楷體"/>
          <w:sz w:val="24"/>
          <w:szCs w:val="24"/>
        </w:rPr>
      </w:pPr>
      <w:r w:rsidRPr="005C6BCD">
        <w:rPr>
          <w:rFonts w:eastAsia="標楷體" w:hint="eastAsia"/>
          <w:b/>
          <w:sz w:val="24"/>
          <w:szCs w:val="24"/>
        </w:rPr>
        <w:t>Executive Directors</w:t>
      </w:r>
      <w:r w:rsidRPr="005C6BCD">
        <w:rPr>
          <w:rFonts w:eastAsia="標楷體" w:hint="eastAsia"/>
          <w:sz w:val="24"/>
          <w:szCs w:val="24"/>
        </w:rPr>
        <w:t xml:space="preserve">: </w:t>
      </w:r>
    </w:p>
    <w:p w:rsidR="008C284D" w:rsidRPr="005C6BCD" w:rsidRDefault="008C284D" w:rsidP="00642463">
      <w:pPr>
        <w:pStyle w:val="31"/>
        <w:spacing w:line="440" w:lineRule="exact"/>
        <w:ind w:leftChars="200" w:left="400"/>
        <w:textDirection w:val="lrTbV"/>
        <w:rPr>
          <w:rFonts w:eastAsia="標楷體"/>
          <w:sz w:val="24"/>
          <w:szCs w:val="24"/>
        </w:rPr>
      </w:pPr>
      <w:r w:rsidRPr="005C6BCD">
        <w:rPr>
          <w:rFonts w:eastAsia="標楷體"/>
          <w:sz w:val="24"/>
          <w:szCs w:val="24"/>
        </w:rPr>
        <w:t>Jain-Rong Su,</w:t>
      </w:r>
      <w:r w:rsidRPr="005C6BCD">
        <w:rPr>
          <w:rFonts w:eastAsia="標楷體" w:hint="eastAsia"/>
          <w:sz w:val="24"/>
          <w:szCs w:val="24"/>
        </w:rPr>
        <w:t xml:space="preserve"> </w:t>
      </w:r>
      <w:r w:rsidRPr="005C6BCD">
        <w:rPr>
          <w:rFonts w:eastAsia="標楷體"/>
          <w:sz w:val="24"/>
          <w:szCs w:val="24"/>
        </w:rPr>
        <w:t>Jong-</w:t>
      </w:r>
      <w:r w:rsidRPr="005C6BCD">
        <w:rPr>
          <w:rFonts w:eastAsia="標楷體" w:hint="eastAsia"/>
          <w:sz w:val="24"/>
          <w:szCs w:val="24"/>
        </w:rPr>
        <w:t>c</w:t>
      </w:r>
      <w:r w:rsidRPr="005C6BCD">
        <w:rPr>
          <w:rFonts w:eastAsia="標楷體"/>
          <w:sz w:val="24"/>
          <w:szCs w:val="24"/>
        </w:rPr>
        <w:t>hin Shen</w:t>
      </w:r>
      <w:r w:rsidRPr="005C6BCD">
        <w:rPr>
          <w:rFonts w:eastAsia="標楷體" w:hint="eastAsia"/>
          <w:sz w:val="24"/>
          <w:szCs w:val="24"/>
        </w:rPr>
        <w:t xml:space="preserve">, Tzung-ta Yen, Nan-kuang Chen, </w:t>
      </w:r>
      <w:r w:rsidR="00F0595F" w:rsidRPr="005C6BCD">
        <w:rPr>
          <w:rFonts w:eastAsia="標楷體"/>
          <w:sz w:val="24"/>
          <w:szCs w:val="24"/>
        </w:rPr>
        <w:t>Chung-dar Lei</w:t>
      </w:r>
    </w:p>
    <w:p w:rsidR="008C284D" w:rsidRPr="005C6BCD" w:rsidRDefault="008C284D" w:rsidP="00642463">
      <w:pPr>
        <w:spacing w:line="440" w:lineRule="exact"/>
        <w:ind w:leftChars="200" w:left="400" w:rightChars="5" w:right="10"/>
        <w:textDirection w:val="lrTbV"/>
        <w:rPr>
          <w:rFonts w:eastAsia="標楷體"/>
          <w:sz w:val="24"/>
          <w:szCs w:val="24"/>
        </w:rPr>
      </w:pPr>
      <w:r w:rsidRPr="005C6BCD">
        <w:rPr>
          <w:rFonts w:eastAsia="標楷體" w:hint="eastAsia"/>
          <w:b/>
          <w:sz w:val="24"/>
          <w:szCs w:val="24"/>
        </w:rPr>
        <w:t>Directors</w:t>
      </w:r>
      <w:r w:rsidRPr="005C6BCD">
        <w:rPr>
          <w:rFonts w:eastAsia="標楷體" w:hint="eastAsia"/>
          <w:sz w:val="24"/>
          <w:szCs w:val="24"/>
        </w:rPr>
        <w:t xml:space="preserve">: </w:t>
      </w:r>
    </w:p>
    <w:p w:rsidR="00F0595F" w:rsidRPr="005C6BCD" w:rsidRDefault="00F0595F" w:rsidP="004823B0">
      <w:pPr>
        <w:spacing w:line="440" w:lineRule="exact"/>
        <w:ind w:leftChars="200" w:left="400" w:rightChars="5" w:right="10"/>
        <w:textDirection w:val="lrTbV"/>
        <w:rPr>
          <w:rFonts w:eastAsia="標楷體"/>
          <w:sz w:val="24"/>
          <w:szCs w:val="24"/>
        </w:rPr>
      </w:pPr>
      <w:r w:rsidRPr="005C6BCD">
        <w:rPr>
          <w:rFonts w:eastAsia="標楷體"/>
          <w:sz w:val="24"/>
          <w:szCs w:val="24"/>
        </w:rPr>
        <w:t>Chi-chung Chen</w:t>
      </w:r>
      <w:r w:rsidR="004823B0" w:rsidRPr="005C6BCD">
        <w:rPr>
          <w:rFonts w:eastAsia="標楷體"/>
          <w:sz w:val="24"/>
          <w:szCs w:val="24"/>
        </w:rPr>
        <w:t>,</w:t>
      </w:r>
      <w:r w:rsidR="004823B0" w:rsidRPr="005C6BCD">
        <w:rPr>
          <w:rFonts w:eastAsia="標楷體" w:hint="eastAsia"/>
          <w:sz w:val="24"/>
          <w:szCs w:val="24"/>
        </w:rPr>
        <w:t xml:space="preserve"> Jin-lung Lin, </w:t>
      </w:r>
      <w:r w:rsidR="004823B0" w:rsidRPr="005C6BCD">
        <w:rPr>
          <w:rFonts w:eastAsia="標楷體"/>
          <w:sz w:val="24"/>
          <w:szCs w:val="24"/>
        </w:rPr>
        <w:t xml:space="preserve">Chao-hsi Huang, Shiu-sheng Chen, </w:t>
      </w:r>
      <w:r w:rsidR="000A4270" w:rsidRPr="005C6BCD">
        <w:rPr>
          <w:rFonts w:eastAsia="標楷體" w:hint="eastAsia"/>
          <w:sz w:val="24"/>
          <w:szCs w:val="24"/>
        </w:rPr>
        <w:t>Chao-yi Chen</w:t>
      </w:r>
      <w:r w:rsidRPr="005C6BCD">
        <w:rPr>
          <w:rFonts w:eastAsia="標楷體" w:hint="eastAsia"/>
          <w:sz w:val="24"/>
          <w:szCs w:val="24"/>
        </w:rPr>
        <w:t xml:space="preserve">, </w:t>
      </w:r>
      <w:r w:rsidR="000A4270" w:rsidRPr="005C6BCD">
        <w:rPr>
          <w:rFonts w:eastAsia="標楷體"/>
          <w:sz w:val="24"/>
          <w:szCs w:val="24"/>
        </w:rPr>
        <w:t>Fu-</w:t>
      </w:r>
      <w:r w:rsidR="000A4270" w:rsidRPr="005C6BCD">
        <w:rPr>
          <w:rFonts w:eastAsia="標楷體" w:hint="eastAsia"/>
          <w:sz w:val="24"/>
          <w:szCs w:val="24"/>
        </w:rPr>
        <w:t>s</w:t>
      </w:r>
      <w:r w:rsidR="000A4270" w:rsidRPr="005C6BCD">
        <w:rPr>
          <w:rFonts w:eastAsia="標楷體"/>
          <w:sz w:val="24"/>
          <w:szCs w:val="24"/>
        </w:rPr>
        <w:t>heng Hung</w:t>
      </w:r>
      <w:r w:rsidRPr="005C6BCD">
        <w:rPr>
          <w:rFonts w:eastAsia="標楷體" w:hint="eastAsia"/>
          <w:sz w:val="24"/>
          <w:szCs w:val="24"/>
        </w:rPr>
        <w:t xml:space="preserve">, </w:t>
      </w:r>
      <w:r w:rsidR="000A4270" w:rsidRPr="005C6BCD">
        <w:rPr>
          <w:rFonts w:eastAsia="標楷體"/>
          <w:sz w:val="24"/>
          <w:szCs w:val="24"/>
        </w:rPr>
        <w:t>Yi</w:t>
      </w:r>
      <w:r w:rsidR="000A4270" w:rsidRPr="005C6BCD">
        <w:rPr>
          <w:rFonts w:eastAsia="標楷體" w:hint="eastAsia"/>
          <w:sz w:val="24"/>
          <w:szCs w:val="24"/>
        </w:rPr>
        <w:t>-</w:t>
      </w:r>
      <w:r w:rsidR="000A4270" w:rsidRPr="005C6BCD">
        <w:rPr>
          <w:rFonts w:eastAsia="標楷體"/>
          <w:sz w:val="24"/>
          <w:szCs w:val="24"/>
        </w:rPr>
        <w:t>ting Li</w:t>
      </w:r>
      <w:r w:rsidRPr="005C6BCD">
        <w:rPr>
          <w:rFonts w:eastAsia="標楷體" w:hint="eastAsia"/>
          <w:sz w:val="24"/>
          <w:szCs w:val="24"/>
        </w:rPr>
        <w:t xml:space="preserve">, </w:t>
      </w:r>
      <w:r w:rsidR="000A4270" w:rsidRPr="005C6BCD">
        <w:rPr>
          <w:rFonts w:eastAsia="標楷體"/>
          <w:sz w:val="24"/>
          <w:szCs w:val="24"/>
        </w:rPr>
        <w:t>Shi</w:t>
      </w:r>
      <w:r w:rsidR="000A4270" w:rsidRPr="005C6BCD">
        <w:rPr>
          <w:rFonts w:eastAsia="標楷體" w:hint="eastAsia"/>
          <w:sz w:val="24"/>
          <w:szCs w:val="24"/>
        </w:rPr>
        <w:t>-</w:t>
      </w:r>
      <w:r w:rsidR="000A4270" w:rsidRPr="005C6BCD">
        <w:rPr>
          <w:rFonts w:eastAsia="標楷體"/>
          <w:sz w:val="24"/>
          <w:szCs w:val="24"/>
        </w:rPr>
        <w:t>kuan Chen</w:t>
      </w:r>
      <w:r w:rsidRPr="005C6BCD">
        <w:rPr>
          <w:rFonts w:eastAsia="標楷體" w:hint="eastAsia"/>
          <w:sz w:val="24"/>
          <w:szCs w:val="24"/>
        </w:rPr>
        <w:t xml:space="preserve">, </w:t>
      </w:r>
      <w:r w:rsidR="000A4270" w:rsidRPr="005C6BCD">
        <w:rPr>
          <w:rFonts w:eastAsia="標楷體"/>
          <w:sz w:val="24"/>
          <w:szCs w:val="24"/>
        </w:rPr>
        <w:t>Chien-</w:t>
      </w:r>
      <w:r w:rsidR="000A4270" w:rsidRPr="005C6BCD">
        <w:rPr>
          <w:rFonts w:eastAsia="標楷體" w:hint="eastAsia"/>
          <w:sz w:val="24"/>
          <w:szCs w:val="24"/>
        </w:rPr>
        <w:t>yi Chang</w:t>
      </w:r>
      <w:r w:rsidR="00D6522E" w:rsidRPr="005C6BCD">
        <w:rPr>
          <w:rFonts w:eastAsia="標楷體"/>
          <w:sz w:val="24"/>
          <w:szCs w:val="24"/>
        </w:rPr>
        <w:t xml:space="preserve"> </w:t>
      </w:r>
    </w:p>
    <w:p w:rsidR="008C284D" w:rsidRPr="005C6BCD" w:rsidRDefault="008C284D" w:rsidP="00642463">
      <w:pPr>
        <w:spacing w:line="440" w:lineRule="exact"/>
        <w:ind w:leftChars="200" w:left="400" w:rightChars="5" w:right="10"/>
        <w:textDirection w:val="lrTbV"/>
        <w:rPr>
          <w:rFonts w:eastAsia="標楷體"/>
          <w:sz w:val="24"/>
          <w:szCs w:val="24"/>
        </w:rPr>
      </w:pPr>
      <w:r w:rsidRPr="005C6BCD">
        <w:rPr>
          <w:rFonts w:eastAsia="標楷體" w:hint="eastAsia"/>
          <w:b/>
          <w:sz w:val="24"/>
          <w:szCs w:val="24"/>
        </w:rPr>
        <w:t>Chairman, Board of Supervisors</w:t>
      </w:r>
      <w:r w:rsidRPr="005C6BCD">
        <w:rPr>
          <w:rFonts w:eastAsia="標楷體" w:hint="eastAsia"/>
          <w:sz w:val="24"/>
          <w:szCs w:val="24"/>
        </w:rPr>
        <w:t>: Tzer-ming Chu</w:t>
      </w:r>
    </w:p>
    <w:p w:rsidR="008C284D" w:rsidRPr="005C6BCD" w:rsidRDefault="008C284D" w:rsidP="00642463">
      <w:pPr>
        <w:spacing w:line="440" w:lineRule="exact"/>
        <w:ind w:leftChars="200" w:left="400" w:rightChars="5" w:right="10"/>
        <w:jc w:val="both"/>
        <w:textDirection w:val="lrTbV"/>
        <w:rPr>
          <w:rFonts w:eastAsia="標楷體"/>
          <w:sz w:val="24"/>
          <w:szCs w:val="24"/>
        </w:rPr>
      </w:pPr>
      <w:r w:rsidRPr="005C6BCD">
        <w:rPr>
          <w:rFonts w:eastAsia="標楷體" w:hint="eastAsia"/>
          <w:b/>
          <w:sz w:val="24"/>
          <w:szCs w:val="24"/>
        </w:rPr>
        <w:t>Supervisors</w:t>
      </w:r>
      <w:r w:rsidRPr="005C6BCD">
        <w:rPr>
          <w:rFonts w:eastAsia="標楷體" w:hint="eastAsia"/>
          <w:sz w:val="24"/>
          <w:szCs w:val="24"/>
        </w:rPr>
        <w:t xml:space="preserve">: </w:t>
      </w:r>
      <w:r w:rsidR="00A8052C" w:rsidRPr="005C6BCD">
        <w:rPr>
          <w:rFonts w:eastAsia="標楷體" w:hint="eastAsia"/>
          <w:sz w:val="24"/>
          <w:szCs w:val="24"/>
        </w:rPr>
        <w:t xml:space="preserve">Ching-fan Chung, Sheng-yao Lin, </w:t>
      </w:r>
      <w:r w:rsidR="00A8052C" w:rsidRPr="005C6BCD">
        <w:rPr>
          <w:rFonts w:eastAsia="標楷體"/>
          <w:sz w:val="24"/>
          <w:szCs w:val="24"/>
        </w:rPr>
        <w:t>Tien-</w:t>
      </w:r>
      <w:r w:rsidR="00A8052C" w:rsidRPr="005C6BCD">
        <w:rPr>
          <w:rFonts w:eastAsia="標楷體" w:hint="eastAsia"/>
          <w:sz w:val="24"/>
          <w:szCs w:val="24"/>
        </w:rPr>
        <w:t>w</w:t>
      </w:r>
      <w:r w:rsidR="00A8052C" w:rsidRPr="005C6BCD">
        <w:rPr>
          <w:rFonts w:eastAsia="標楷體"/>
          <w:sz w:val="24"/>
          <w:szCs w:val="24"/>
        </w:rPr>
        <w:t>ang Tsaur</w:t>
      </w:r>
      <w:r w:rsidR="00A8052C" w:rsidRPr="005C6BCD">
        <w:rPr>
          <w:rFonts w:eastAsia="標楷體" w:hint="eastAsia"/>
          <w:sz w:val="24"/>
          <w:szCs w:val="24"/>
        </w:rPr>
        <w:t xml:space="preserve">, </w:t>
      </w:r>
      <w:r w:rsidR="00A8052C" w:rsidRPr="005C6BCD">
        <w:rPr>
          <w:rFonts w:eastAsia="標楷體"/>
          <w:sz w:val="24"/>
          <w:szCs w:val="24"/>
        </w:rPr>
        <w:t>Kuei-</w:t>
      </w:r>
      <w:r w:rsidR="00A8052C" w:rsidRPr="005C6BCD">
        <w:rPr>
          <w:rFonts w:eastAsia="標楷體" w:hint="eastAsia"/>
          <w:sz w:val="24"/>
          <w:szCs w:val="24"/>
        </w:rPr>
        <w:t>h</w:t>
      </w:r>
      <w:r w:rsidR="00A8052C" w:rsidRPr="005C6BCD">
        <w:rPr>
          <w:rFonts w:eastAsia="標楷體"/>
          <w:sz w:val="24"/>
          <w:szCs w:val="24"/>
        </w:rPr>
        <w:t>ui Cheng</w:t>
      </w:r>
      <w:r w:rsidRPr="005C6BCD">
        <w:rPr>
          <w:rFonts w:eastAsia="標楷體" w:hint="eastAsia"/>
          <w:sz w:val="24"/>
          <w:szCs w:val="24"/>
        </w:rPr>
        <w:t xml:space="preserve"> </w:t>
      </w:r>
    </w:p>
    <w:p w:rsidR="00363599" w:rsidRPr="005C6BCD" w:rsidRDefault="00363599" w:rsidP="00642463">
      <w:pPr>
        <w:pStyle w:val="31"/>
        <w:spacing w:line="440" w:lineRule="exact"/>
        <w:textDirection w:val="lrTbV"/>
        <w:rPr>
          <w:rFonts w:eastAsia="標楷體"/>
          <w:sz w:val="24"/>
          <w:szCs w:val="24"/>
        </w:rPr>
      </w:pPr>
      <w:r w:rsidRPr="005C6BCD">
        <w:rPr>
          <w:rFonts w:eastAsia="標楷體" w:hint="eastAsia"/>
          <w:b/>
          <w:sz w:val="24"/>
          <w:szCs w:val="24"/>
        </w:rPr>
        <w:t xml:space="preserve">Staff Present: </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sz w:val="24"/>
          <w:szCs w:val="24"/>
        </w:rPr>
        <w:t>E-</w:t>
      </w:r>
      <w:r w:rsidRPr="004823B0">
        <w:rPr>
          <w:rFonts w:eastAsia="標楷體" w:hint="eastAsia"/>
          <w:sz w:val="24"/>
          <w:szCs w:val="24"/>
        </w:rPr>
        <w:t>d</w:t>
      </w:r>
      <w:r w:rsidRPr="004823B0">
        <w:rPr>
          <w:rFonts w:eastAsia="標楷體"/>
          <w:sz w:val="24"/>
          <w:szCs w:val="24"/>
        </w:rPr>
        <w:t>awn Chen</w:t>
      </w:r>
      <w:r w:rsidRPr="004823B0">
        <w:rPr>
          <w:rFonts w:eastAsia="標楷體" w:hint="eastAsia"/>
          <w:sz w:val="24"/>
          <w:szCs w:val="24"/>
        </w:rPr>
        <w:t>,</w:t>
      </w:r>
      <w:r w:rsidRPr="004823B0">
        <w:rPr>
          <w:rFonts w:eastAsia="標楷體"/>
          <w:sz w:val="24"/>
          <w:szCs w:val="24"/>
        </w:rPr>
        <w:t xml:space="preserve"> Director General</w:t>
      </w:r>
      <w:r w:rsidRPr="004823B0">
        <w:rPr>
          <w:rFonts w:eastAsia="標楷體" w:hint="eastAsia"/>
          <w:sz w:val="24"/>
          <w:szCs w:val="24"/>
        </w:rPr>
        <w:t>,</w:t>
      </w:r>
      <w:r w:rsidRPr="004823B0">
        <w:rPr>
          <w:rFonts w:eastAsia="標楷體"/>
          <w:sz w:val="24"/>
          <w:szCs w:val="24"/>
        </w:rPr>
        <w:t xml:space="preserve"> Department of Banking</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sz w:val="24"/>
          <w:szCs w:val="24"/>
        </w:rPr>
        <w:t>James T.H. Shih</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 xml:space="preserve">, </w:t>
      </w:r>
      <w:r w:rsidRPr="004823B0">
        <w:rPr>
          <w:rFonts w:eastAsia="標楷體"/>
          <w:sz w:val="24"/>
          <w:szCs w:val="24"/>
        </w:rPr>
        <w:t xml:space="preserve">Department of Issuing </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sz w:val="24"/>
          <w:szCs w:val="24"/>
        </w:rPr>
        <w:t>Hui-</w:t>
      </w:r>
      <w:r w:rsidRPr="004823B0">
        <w:rPr>
          <w:rFonts w:eastAsia="標楷體" w:hint="eastAsia"/>
          <w:sz w:val="24"/>
          <w:szCs w:val="24"/>
        </w:rPr>
        <w:t>h</w:t>
      </w:r>
      <w:r w:rsidRPr="004823B0">
        <w:rPr>
          <w:rFonts w:eastAsia="標楷體"/>
          <w:sz w:val="24"/>
          <w:szCs w:val="24"/>
        </w:rPr>
        <w:t>uang Yen</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w:t>
      </w:r>
      <w:r w:rsidRPr="004823B0">
        <w:rPr>
          <w:rFonts w:eastAsia="標楷體"/>
          <w:sz w:val="24"/>
          <w:szCs w:val="24"/>
        </w:rPr>
        <w:t xml:space="preserve"> Department of Foreign</w:t>
      </w:r>
      <w:r w:rsidRPr="004823B0">
        <w:rPr>
          <w:rFonts w:eastAsia="標楷體" w:hint="eastAsia"/>
          <w:sz w:val="24"/>
          <w:szCs w:val="24"/>
        </w:rPr>
        <w:t xml:space="preserve"> </w:t>
      </w:r>
      <w:r w:rsidRPr="004823B0">
        <w:rPr>
          <w:rFonts w:eastAsia="標楷體"/>
          <w:sz w:val="24"/>
          <w:szCs w:val="24"/>
        </w:rPr>
        <w:t>Exchange</w:t>
      </w:r>
    </w:p>
    <w:p w:rsidR="00F4271F" w:rsidRPr="002F5ADE" w:rsidRDefault="00F4271F" w:rsidP="00F4271F">
      <w:pPr>
        <w:pStyle w:val="31"/>
        <w:spacing w:line="440" w:lineRule="exact"/>
        <w:ind w:leftChars="200" w:left="400"/>
        <w:textDirection w:val="lrTbV"/>
        <w:rPr>
          <w:rFonts w:eastAsia="標楷體"/>
          <w:sz w:val="24"/>
          <w:szCs w:val="24"/>
        </w:rPr>
      </w:pPr>
      <w:r w:rsidRPr="002F5ADE">
        <w:rPr>
          <w:rFonts w:eastAsia="標楷體"/>
          <w:sz w:val="24"/>
          <w:szCs w:val="24"/>
        </w:rPr>
        <w:t>Yue-min Chen, Director General, Department of the Treasury</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sz w:val="24"/>
          <w:szCs w:val="24"/>
        </w:rPr>
        <w:t>Tsuey-</w:t>
      </w:r>
      <w:r w:rsidRPr="004823B0">
        <w:rPr>
          <w:rFonts w:eastAsia="標楷體" w:hint="eastAsia"/>
          <w:sz w:val="24"/>
          <w:szCs w:val="24"/>
        </w:rPr>
        <w:t>l</w:t>
      </w:r>
      <w:r w:rsidRPr="004823B0">
        <w:rPr>
          <w:rFonts w:eastAsia="標楷體"/>
          <w:sz w:val="24"/>
          <w:szCs w:val="24"/>
        </w:rPr>
        <w:t>ing Hsiao</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 D</w:t>
      </w:r>
      <w:r w:rsidRPr="004823B0">
        <w:rPr>
          <w:rFonts w:eastAsia="標楷體"/>
          <w:sz w:val="24"/>
          <w:szCs w:val="24"/>
        </w:rPr>
        <w:t>epartment of Financial</w:t>
      </w:r>
      <w:r w:rsidRPr="004823B0">
        <w:rPr>
          <w:rFonts w:eastAsia="標楷體" w:hint="eastAsia"/>
          <w:sz w:val="24"/>
          <w:szCs w:val="24"/>
        </w:rPr>
        <w:t xml:space="preserve"> </w:t>
      </w:r>
      <w:r w:rsidRPr="004823B0">
        <w:rPr>
          <w:rFonts w:eastAsia="標楷體"/>
          <w:sz w:val="24"/>
          <w:szCs w:val="24"/>
        </w:rPr>
        <w:t>Inspection</w:t>
      </w:r>
      <w:r w:rsidRPr="004823B0">
        <w:rPr>
          <w:rFonts w:eastAsia="標楷體" w:hint="eastAsia"/>
          <w:sz w:val="24"/>
          <w:szCs w:val="24"/>
        </w:rPr>
        <w:t xml:space="preserve"> </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sz w:val="24"/>
          <w:szCs w:val="24"/>
        </w:rPr>
        <w:t>Tzong-</w:t>
      </w:r>
      <w:r w:rsidRPr="004823B0">
        <w:rPr>
          <w:rFonts w:eastAsia="標楷體" w:hint="eastAsia"/>
          <w:sz w:val="24"/>
          <w:szCs w:val="24"/>
        </w:rPr>
        <w:t>y</w:t>
      </w:r>
      <w:r w:rsidRPr="004823B0">
        <w:rPr>
          <w:rFonts w:eastAsia="標楷體"/>
          <w:sz w:val="24"/>
          <w:szCs w:val="24"/>
        </w:rPr>
        <w:t>au Lin</w:t>
      </w:r>
      <w:r w:rsidRPr="004823B0">
        <w:rPr>
          <w:rFonts w:eastAsia="標楷體" w:hint="eastAsia"/>
          <w:sz w:val="24"/>
          <w:szCs w:val="24"/>
        </w:rPr>
        <w:t>,</w:t>
      </w:r>
      <w:r w:rsidRPr="004823B0">
        <w:rPr>
          <w:rFonts w:eastAsia="標楷體"/>
          <w:sz w:val="24"/>
          <w:szCs w:val="24"/>
        </w:rPr>
        <w:t xml:space="preserve"> Director General</w:t>
      </w:r>
      <w:r w:rsidRPr="004823B0">
        <w:rPr>
          <w:rFonts w:eastAsia="標楷體" w:hint="eastAsia"/>
          <w:sz w:val="24"/>
          <w:szCs w:val="24"/>
        </w:rPr>
        <w:t xml:space="preserve">, </w:t>
      </w:r>
      <w:r w:rsidRPr="004823B0">
        <w:rPr>
          <w:rFonts w:eastAsia="標楷體"/>
          <w:sz w:val="24"/>
          <w:szCs w:val="24"/>
        </w:rPr>
        <w:t>Department of Economic Research</w:t>
      </w:r>
      <w:r w:rsidRPr="004823B0">
        <w:rPr>
          <w:rFonts w:eastAsia="標楷體" w:hint="eastAsia"/>
          <w:sz w:val="24"/>
          <w:szCs w:val="24"/>
        </w:rPr>
        <w:t xml:space="preserve"> </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sz w:val="24"/>
          <w:szCs w:val="24"/>
        </w:rPr>
        <w:t>Chien-</w:t>
      </w:r>
      <w:r w:rsidRPr="004823B0">
        <w:rPr>
          <w:rFonts w:eastAsia="標楷體" w:hint="eastAsia"/>
          <w:sz w:val="24"/>
          <w:szCs w:val="24"/>
        </w:rPr>
        <w:t>c</w:t>
      </w:r>
      <w:r w:rsidRPr="004823B0">
        <w:rPr>
          <w:rFonts w:eastAsia="標楷體"/>
          <w:sz w:val="24"/>
          <w:szCs w:val="24"/>
        </w:rPr>
        <w:t>hing Liang</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w:t>
      </w:r>
      <w:r w:rsidRPr="004823B0">
        <w:rPr>
          <w:rFonts w:eastAsia="標楷體"/>
          <w:sz w:val="24"/>
          <w:szCs w:val="24"/>
        </w:rPr>
        <w:t xml:space="preserve"> Secretariat</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sz w:val="24"/>
          <w:szCs w:val="24"/>
        </w:rPr>
        <w:t>Kuei-</w:t>
      </w:r>
      <w:r w:rsidRPr="004823B0">
        <w:rPr>
          <w:rFonts w:eastAsia="標楷體" w:hint="eastAsia"/>
          <w:sz w:val="24"/>
          <w:szCs w:val="24"/>
        </w:rPr>
        <w:t>c</w:t>
      </w:r>
      <w:r w:rsidRPr="004823B0">
        <w:rPr>
          <w:rFonts w:eastAsia="標楷體"/>
          <w:sz w:val="24"/>
          <w:szCs w:val="24"/>
        </w:rPr>
        <w:t>hou Huang</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w:t>
      </w:r>
      <w:r w:rsidRPr="004823B0">
        <w:rPr>
          <w:rFonts w:eastAsia="標楷體"/>
          <w:sz w:val="24"/>
          <w:szCs w:val="24"/>
        </w:rPr>
        <w:t xml:space="preserve"> Department of Accounting</w:t>
      </w:r>
    </w:p>
    <w:p w:rsidR="00F4271F" w:rsidRPr="00D6522E" w:rsidRDefault="00F4271F" w:rsidP="00F4271F">
      <w:pPr>
        <w:pStyle w:val="31"/>
        <w:spacing w:line="440" w:lineRule="exact"/>
        <w:ind w:leftChars="200" w:left="400"/>
        <w:textDirection w:val="lrTbV"/>
        <w:rPr>
          <w:rFonts w:eastAsia="標楷體"/>
          <w:sz w:val="24"/>
          <w:szCs w:val="24"/>
        </w:rPr>
      </w:pPr>
      <w:r w:rsidRPr="00D6522E">
        <w:rPr>
          <w:rFonts w:eastAsia="標楷體" w:hint="eastAsia"/>
          <w:sz w:val="24"/>
          <w:szCs w:val="24"/>
        </w:rPr>
        <w:t xml:space="preserve">Shu-hui Chang, </w:t>
      </w:r>
      <w:r w:rsidRPr="00D6522E">
        <w:rPr>
          <w:rFonts w:eastAsia="標楷體"/>
          <w:sz w:val="24"/>
          <w:szCs w:val="24"/>
        </w:rPr>
        <w:t>Director</w:t>
      </w:r>
      <w:r w:rsidRPr="00D6522E">
        <w:rPr>
          <w:rFonts w:eastAsia="標楷體" w:hint="eastAsia"/>
          <w:sz w:val="24"/>
          <w:szCs w:val="24"/>
        </w:rPr>
        <w:t>,</w:t>
      </w:r>
      <w:r w:rsidRPr="00D6522E">
        <w:rPr>
          <w:rFonts w:eastAsia="標楷體"/>
          <w:sz w:val="24"/>
          <w:szCs w:val="24"/>
        </w:rPr>
        <w:t xml:space="preserve"> Personnel Office</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sz w:val="24"/>
          <w:szCs w:val="24"/>
        </w:rPr>
        <w:t>Kun-</w:t>
      </w:r>
      <w:r w:rsidRPr="004823B0">
        <w:rPr>
          <w:rFonts w:eastAsia="標楷體" w:hint="eastAsia"/>
          <w:sz w:val="24"/>
          <w:szCs w:val="24"/>
        </w:rPr>
        <w:t>s</w:t>
      </w:r>
      <w:r w:rsidRPr="004823B0">
        <w:rPr>
          <w:rFonts w:eastAsia="標楷體"/>
          <w:sz w:val="24"/>
          <w:szCs w:val="24"/>
        </w:rPr>
        <w:t>han Wu</w:t>
      </w:r>
      <w:r w:rsidRPr="004823B0">
        <w:rPr>
          <w:rFonts w:eastAsia="標楷體" w:hint="eastAsia"/>
          <w:sz w:val="24"/>
          <w:szCs w:val="24"/>
        </w:rPr>
        <w:t>,</w:t>
      </w:r>
      <w:r w:rsidRPr="004823B0">
        <w:rPr>
          <w:rFonts w:eastAsia="標楷體"/>
          <w:sz w:val="24"/>
          <w:szCs w:val="24"/>
        </w:rPr>
        <w:t xml:space="preserve"> Director</w:t>
      </w:r>
      <w:r w:rsidRPr="004823B0">
        <w:rPr>
          <w:rFonts w:eastAsia="標楷體" w:hint="eastAsia"/>
          <w:sz w:val="24"/>
          <w:szCs w:val="24"/>
        </w:rPr>
        <w:t>,</w:t>
      </w:r>
      <w:r w:rsidRPr="004823B0">
        <w:rPr>
          <w:rFonts w:eastAsia="標楷體"/>
          <w:sz w:val="24"/>
          <w:szCs w:val="24"/>
        </w:rPr>
        <w:t xml:space="preserve"> Legal Affairs Office </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hint="eastAsia"/>
          <w:sz w:val="24"/>
          <w:szCs w:val="24"/>
        </w:rPr>
        <w:t>Chih-cheng Hu, Secretary, Board of Directors</w:t>
      </w:r>
    </w:p>
    <w:p w:rsidR="00F4271F" w:rsidRPr="004823B0" w:rsidRDefault="00F4271F" w:rsidP="00F4271F">
      <w:pPr>
        <w:pStyle w:val="31"/>
        <w:spacing w:line="440" w:lineRule="exact"/>
        <w:ind w:leftChars="200" w:left="400"/>
        <w:textDirection w:val="lrTbV"/>
        <w:rPr>
          <w:rFonts w:eastAsia="標楷體"/>
          <w:sz w:val="24"/>
          <w:szCs w:val="24"/>
        </w:rPr>
      </w:pPr>
      <w:r w:rsidRPr="004823B0">
        <w:rPr>
          <w:rFonts w:eastAsia="標楷體" w:hint="eastAsia"/>
          <w:sz w:val="24"/>
          <w:szCs w:val="24"/>
        </w:rPr>
        <w:t>Shu-huei Kuo, Secretary, Board of Supervisors</w:t>
      </w:r>
    </w:p>
    <w:p w:rsidR="005E27CD" w:rsidRPr="007F6F77" w:rsidRDefault="00363599" w:rsidP="00642463">
      <w:pPr>
        <w:spacing w:line="440" w:lineRule="exact"/>
        <w:textDirection w:val="lrTbV"/>
        <w:rPr>
          <w:rFonts w:eastAsia="標楷體"/>
          <w:sz w:val="32"/>
          <w:szCs w:val="32"/>
        </w:rPr>
      </w:pPr>
      <w:r w:rsidRPr="007F6F77">
        <w:rPr>
          <w:rFonts w:eastAsia="標楷體" w:hint="eastAsia"/>
          <w:b/>
          <w:sz w:val="24"/>
          <w:szCs w:val="24"/>
        </w:rPr>
        <w:t>Presiding:</w:t>
      </w:r>
      <w:r w:rsidRPr="007F6F77">
        <w:rPr>
          <w:rFonts w:eastAsia="標楷體" w:hint="eastAsia"/>
          <w:sz w:val="24"/>
          <w:szCs w:val="24"/>
        </w:rPr>
        <w:t xml:space="preserve"> </w:t>
      </w:r>
      <w:r w:rsidR="00642463" w:rsidRPr="007F6F77">
        <w:rPr>
          <w:rFonts w:eastAsia="標楷體"/>
          <w:sz w:val="24"/>
          <w:szCs w:val="24"/>
        </w:rPr>
        <w:t>Chin-long Yang</w:t>
      </w:r>
      <w:r w:rsidRPr="007F6F77">
        <w:rPr>
          <w:rFonts w:eastAsia="標楷體" w:hint="eastAsia"/>
          <w:sz w:val="24"/>
          <w:szCs w:val="24"/>
        </w:rPr>
        <w:t xml:space="preserve">　　　　</w:t>
      </w:r>
      <w:r w:rsidR="005E27CD" w:rsidRPr="007F6F77">
        <w:rPr>
          <w:rFonts w:eastAsia="標楷體"/>
          <w:sz w:val="32"/>
          <w:szCs w:val="32"/>
        </w:rPr>
        <w:br w:type="page"/>
      </w:r>
    </w:p>
    <w:p w:rsidR="002570BA" w:rsidRPr="007F6F77" w:rsidRDefault="008F7E41" w:rsidP="00FA173A">
      <w:pPr>
        <w:adjustRightInd/>
        <w:snapToGrid w:val="0"/>
        <w:spacing w:before="120" w:line="440" w:lineRule="exact"/>
        <w:jc w:val="both"/>
        <w:textDirection w:val="lrTbV"/>
        <w:rPr>
          <w:rFonts w:eastAsia="標楷體"/>
          <w:sz w:val="28"/>
          <w:szCs w:val="28"/>
        </w:rPr>
      </w:pPr>
      <w:r w:rsidRPr="00D6522E">
        <w:rPr>
          <w:rFonts w:eastAsia="標楷體"/>
          <w:b/>
          <w:sz w:val="28"/>
          <w:szCs w:val="28"/>
        </w:rPr>
        <w:lastRenderedPageBreak/>
        <w:t>AGENDA</w:t>
      </w:r>
      <w:r w:rsidRPr="007F6F77">
        <w:rPr>
          <w:rFonts w:eastAsia="標楷體"/>
          <w:b/>
          <w:sz w:val="28"/>
          <w:szCs w:val="28"/>
        </w:rPr>
        <w:t>: ECONOMIC AND FINANCIAL CONDITIONS AND MONETARY POLICY DECISION</w:t>
      </w:r>
    </w:p>
    <w:p w:rsidR="002570BA" w:rsidRPr="009605CF" w:rsidRDefault="002D5188" w:rsidP="009605CF">
      <w:pPr>
        <w:pStyle w:val="afff6"/>
        <w:numPr>
          <w:ilvl w:val="2"/>
          <w:numId w:val="26"/>
        </w:numPr>
        <w:adjustRightInd/>
        <w:snapToGrid w:val="0"/>
        <w:spacing w:before="120" w:line="440" w:lineRule="exact"/>
        <w:ind w:leftChars="0" w:left="426" w:hanging="426"/>
        <w:rPr>
          <w:rFonts w:ascii="Times New Roman" w:eastAsia="標楷體"/>
          <w:b/>
          <w:sz w:val="28"/>
          <w:szCs w:val="28"/>
        </w:rPr>
      </w:pPr>
      <w:r>
        <w:rPr>
          <w:rFonts w:ascii="Times New Roman" w:eastAsia="標楷體"/>
          <w:b/>
          <w:sz w:val="28"/>
          <w:szCs w:val="28"/>
        </w:rPr>
        <w:t xml:space="preserve">Staff </w:t>
      </w:r>
      <w:r w:rsidR="00653A10" w:rsidRPr="009605CF">
        <w:rPr>
          <w:rFonts w:ascii="Times New Roman" w:eastAsia="標楷體"/>
          <w:b/>
          <w:sz w:val="28"/>
          <w:szCs w:val="28"/>
        </w:rPr>
        <w:t xml:space="preserve">Review of </w:t>
      </w:r>
      <w:r w:rsidR="008F7E41" w:rsidRPr="009605CF">
        <w:rPr>
          <w:rFonts w:ascii="Times New Roman" w:eastAsia="標楷體"/>
          <w:b/>
          <w:sz w:val="28"/>
          <w:szCs w:val="28"/>
        </w:rPr>
        <w:t xml:space="preserve">economic </w:t>
      </w:r>
      <w:r w:rsidR="002570BA" w:rsidRPr="009605CF">
        <w:rPr>
          <w:rFonts w:ascii="Times New Roman" w:eastAsia="標楷體"/>
          <w:b/>
          <w:sz w:val="28"/>
          <w:szCs w:val="28"/>
        </w:rPr>
        <w:t>a</w:t>
      </w:r>
      <w:r w:rsidR="008F7E41" w:rsidRPr="009605CF">
        <w:rPr>
          <w:rFonts w:ascii="Times New Roman" w:eastAsia="標楷體"/>
          <w:b/>
          <w:sz w:val="28"/>
          <w:szCs w:val="28"/>
        </w:rPr>
        <w:t xml:space="preserve">nd financial conditions </w:t>
      </w:r>
    </w:p>
    <w:p w:rsidR="00EB1763" w:rsidRPr="007F6F77" w:rsidRDefault="0043506F" w:rsidP="00FA173A">
      <w:pPr>
        <w:adjustRightInd/>
        <w:snapToGrid w:val="0"/>
        <w:spacing w:before="120" w:line="440" w:lineRule="exact"/>
        <w:jc w:val="both"/>
        <w:textDirection w:val="lrTbV"/>
        <w:rPr>
          <w:rFonts w:eastAsia="標楷體"/>
          <w:sz w:val="24"/>
          <w:szCs w:val="28"/>
        </w:rPr>
      </w:pPr>
      <w:r w:rsidRPr="007F6F77">
        <w:rPr>
          <w:rFonts w:eastAsia="標楷體" w:hint="eastAsia"/>
          <w:sz w:val="24"/>
          <w:szCs w:val="28"/>
        </w:rPr>
        <w:t xml:space="preserve">The </w:t>
      </w:r>
      <w:r w:rsidR="00EB1763" w:rsidRPr="007F6F77">
        <w:rPr>
          <w:rFonts w:eastAsia="標楷體" w:hint="eastAsia"/>
          <w:sz w:val="24"/>
          <w:szCs w:val="28"/>
        </w:rPr>
        <w:t xml:space="preserve">Department of Economic Research </w:t>
      </w:r>
      <w:r w:rsidR="00653A10" w:rsidRPr="007F6F77">
        <w:rPr>
          <w:rFonts w:eastAsia="標楷體" w:hint="eastAsia"/>
          <w:sz w:val="24"/>
          <w:szCs w:val="28"/>
        </w:rPr>
        <w:t xml:space="preserve">presented </w:t>
      </w:r>
      <w:r w:rsidRPr="007F6F77">
        <w:rPr>
          <w:rFonts w:eastAsia="標楷體" w:hint="eastAsia"/>
          <w:sz w:val="24"/>
          <w:szCs w:val="28"/>
        </w:rPr>
        <w:t>the following review</w:t>
      </w:r>
      <w:r w:rsidR="00653A10" w:rsidRPr="007F6F77">
        <w:rPr>
          <w:rFonts w:eastAsia="標楷體" w:hint="eastAsia"/>
          <w:sz w:val="24"/>
          <w:szCs w:val="28"/>
        </w:rPr>
        <w:t>:</w:t>
      </w:r>
      <w:r w:rsidRPr="007F6F77">
        <w:rPr>
          <w:rFonts w:eastAsia="標楷體" w:hint="eastAsia"/>
          <w:sz w:val="24"/>
          <w:szCs w:val="28"/>
        </w:rPr>
        <w:t xml:space="preserve"> </w:t>
      </w:r>
    </w:p>
    <w:p w:rsidR="00EB1763" w:rsidRPr="007F6F77" w:rsidRDefault="00EB1763" w:rsidP="00B04114">
      <w:pPr>
        <w:numPr>
          <w:ilvl w:val="0"/>
          <w:numId w:val="9"/>
        </w:numPr>
        <w:overflowPunct w:val="0"/>
        <w:autoSpaceDE w:val="0"/>
        <w:autoSpaceDN w:val="0"/>
        <w:snapToGrid w:val="0"/>
        <w:spacing w:before="120" w:line="440" w:lineRule="exact"/>
        <w:ind w:left="426" w:hanging="426"/>
        <w:jc w:val="both"/>
        <w:rPr>
          <w:rFonts w:eastAsia="標楷體"/>
          <w:b/>
          <w:spacing w:val="-2"/>
          <w:sz w:val="24"/>
          <w:szCs w:val="28"/>
        </w:rPr>
      </w:pPr>
      <w:r w:rsidRPr="007F6F77">
        <w:rPr>
          <w:rFonts w:eastAsia="標楷體" w:hint="eastAsia"/>
          <w:b/>
          <w:spacing w:val="-2"/>
          <w:sz w:val="24"/>
          <w:szCs w:val="28"/>
        </w:rPr>
        <w:t xml:space="preserve">International </w:t>
      </w:r>
      <w:r w:rsidRPr="007F6F77">
        <w:rPr>
          <w:rFonts w:eastAsia="標楷體"/>
          <w:b/>
          <w:spacing w:val="-2"/>
          <w:sz w:val="24"/>
          <w:szCs w:val="28"/>
        </w:rPr>
        <w:t xml:space="preserve">Economic </w:t>
      </w:r>
      <w:r w:rsidRPr="007F6F77">
        <w:rPr>
          <w:rFonts w:eastAsia="標楷體" w:hint="eastAsia"/>
          <w:b/>
          <w:spacing w:val="-2"/>
          <w:sz w:val="24"/>
          <w:szCs w:val="28"/>
        </w:rPr>
        <w:t>a</w:t>
      </w:r>
      <w:r w:rsidRPr="007F6F77">
        <w:rPr>
          <w:rFonts w:eastAsia="標楷體"/>
          <w:b/>
          <w:spacing w:val="-2"/>
          <w:sz w:val="24"/>
          <w:szCs w:val="28"/>
        </w:rPr>
        <w:t>nd Financial Conditions</w:t>
      </w:r>
    </w:p>
    <w:p w:rsidR="00754D55" w:rsidRDefault="00B1605D" w:rsidP="002C1E92">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spacing w:val="0"/>
          <w:sz w:val="24"/>
          <w:szCs w:val="24"/>
        </w:rPr>
        <w:t xml:space="preserve">The effects of </w:t>
      </w:r>
      <w:r w:rsidR="0039450E">
        <w:rPr>
          <w:rFonts w:ascii="Times New Roman" w:eastAsia="標楷體" w:hint="eastAsia"/>
          <w:spacing w:val="0"/>
          <w:sz w:val="24"/>
          <w:szCs w:val="24"/>
        </w:rPr>
        <w:t>the coronavirus (COVID-19) outbreak</w:t>
      </w:r>
      <w:r w:rsidRPr="00B1605D">
        <w:rPr>
          <w:rFonts w:ascii="Times New Roman" w:eastAsia="標楷體" w:hint="eastAsia"/>
          <w:spacing w:val="0"/>
          <w:sz w:val="24"/>
          <w:szCs w:val="24"/>
        </w:rPr>
        <w:t xml:space="preserve"> </w:t>
      </w:r>
      <w:r>
        <w:rPr>
          <w:rFonts w:ascii="Times New Roman" w:eastAsia="標楷體"/>
          <w:spacing w:val="0"/>
          <w:sz w:val="24"/>
          <w:szCs w:val="24"/>
        </w:rPr>
        <w:t>s</w:t>
      </w:r>
      <w:r>
        <w:rPr>
          <w:rFonts w:ascii="Times New Roman" w:eastAsia="標楷體" w:hint="eastAsia"/>
          <w:spacing w:val="0"/>
          <w:sz w:val="24"/>
          <w:szCs w:val="24"/>
        </w:rPr>
        <w:t xml:space="preserve">ince </w:t>
      </w:r>
      <w:r>
        <w:rPr>
          <w:rFonts w:ascii="Times New Roman" w:eastAsia="標楷體"/>
          <w:spacing w:val="0"/>
          <w:sz w:val="24"/>
          <w:szCs w:val="24"/>
        </w:rPr>
        <w:t>early this year</w:t>
      </w:r>
      <w:r w:rsidR="0021646C">
        <w:rPr>
          <w:rFonts w:ascii="Times New Roman" w:eastAsia="標楷體"/>
          <w:spacing w:val="0"/>
          <w:sz w:val="24"/>
          <w:szCs w:val="24"/>
        </w:rPr>
        <w:t xml:space="preserve"> had</w:t>
      </w:r>
      <w:r>
        <w:rPr>
          <w:rFonts w:ascii="Times New Roman" w:eastAsia="標楷體"/>
          <w:spacing w:val="0"/>
          <w:sz w:val="24"/>
          <w:szCs w:val="24"/>
        </w:rPr>
        <w:t xml:space="preserve"> led many international forecasting institutions to project a substantial decline in global economic growth this year, with advanced economies to experience the s</w:t>
      </w:r>
      <w:r w:rsidR="002577BB">
        <w:rPr>
          <w:rFonts w:ascii="Times New Roman" w:eastAsia="標楷體"/>
          <w:spacing w:val="0"/>
          <w:sz w:val="24"/>
          <w:szCs w:val="24"/>
        </w:rPr>
        <w:t>har</w:t>
      </w:r>
      <w:r>
        <w:rPr>
          <w:rFonts w:ascii="Times New Roman" w:eastAsia="標楷體"/>
          <w:spacing w:val="0"/>
          <w:sz w:val="24"/>
          <w:szCs w:val="24"/>
        </w:rPr>
        <w:t xml:space="preserve">pest downturn. </w:t>
      </w:r>
      <w:r w:rsidR="00CC6C78">
        <w:rPr>
          <w:rFonts w:ascii="Times New Roman" w:eastAsia="標楷體"/>
          <w:spacing w:val="0"/>
          <w:sz w:val="24"/>
          <w:szCs w:val="24"/>
        </w:rPr>
        <w:t xml:space="preserve">World trade volume would likely contract markedly this year according to international forecasters as the pandemic and the measures undertaken to contain its spread also caused a weakening in global demand and supply chain disruptions. </w:t>
      </w:r>
    </w:p>
    <w:p w:rsidR="00A740A5" w:rsidRDefault="008B09C5" w:rsidP="00A740A5">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With </w:t>
      </w:r>
      <w:r>
        <w:rPr>
          <w:rFonts w:ascii="Times New Roman" w:eastAsia="標楷體"/>
          <w:spacing w:val="0"/>
          <w:sz w:val="24"/>
          <w:szCs w:val="24"/>
        </w:rPr>
        <w:t>global</w:t>
      </w:r>
      <w:r>
        <w:rPr>
          <w:rFonts w:ascii="Times New Roman" w:eastAsia="標楷體" w:hint="eastAsia"/>
          <w:spacing w:val="0"/>
          <w:sz w:val="24"/>
          <w:szCs w:val="24"/>
        </w:rPr>
        <w:t xml:space="preserve"> economic and trade activity </w:t>
      </w:r>
      <w:r>
        <w:rPr>
          <w:rFonts w:ascii="Times New Roman" w:eastAsia="標楷體"/>
          <w:spacing w:val="0"/>
          <w:sz w:val="24"/>
          <w:szCs w:val="24"/>
        </w:rPr>
        <w:t xml:space="preserve">severely impacted, </w:t>
      </w:r>
      <w:r w:rsidR="00F14F64">
        <w:rPr>
          <w:rFonts w:ascii="Times New Roman" w:eastAsia="標楷體"/>
          <w:spacing w:val="0"/>
          <w:sz w:val="24"/>
          <w:szCs w:val="24"/>
        </w:rPr>
        <w:t xml:space="preserve">most of </w:t>
      </w:r>
      <w:r>
        <w:rPr>
          <w:rFonts w:ascii="Times New Roman" w:eastAsia="標楷體"/>
          <w:spacing w:val="0"/>
          <w:sz w:val="24"/>
          <w:szCs w:val="24"/>
        </w:rPr>
        <w:t xml:space="preserve">major economies are likely to </w:t>
      </w:r>
      <w:r w:rsidR="00F14F64">
        <w:rPr>
          <w:rFonts w:ascii="Times New Roman" w:eastAsia="標楷體"/>
          <w:spacing w:val="0"/>
          <w:sz w:val="24"/>
          <w:szCs w:val="24"/>
        </w:rPr>
        <w:t xml:space="preserve">record negative GDP growth at levels considerably lower than the previous year’s. </w:t>
      </w:r>
      <w:r w:rsidR="0021646C">
        <w:rPr>
          <w:rFonts w:ascii="Times New Roman" w:eastAsia="標楷體"/>
          <w:spacing w:val="0"/>
          <w:sz w:val="24"/>
          <w:szCs w:val="24"/>
        </w:rPr>
        <w:t>They</w:t>
      </w:r>
      <w:r w:rsidR="00BC78AE">
        <w:rPr>
          <w:rFonts w:ascii="Times New Roman" w:eastAsia="標楷體"/>
          <w:spacing w:val="0"/>
          <w:sz w:val="24"/>
          <w:szCs w:val="24"/>
        </w:rPr>
        <w:t xml:space="preserve"> had </w:t>
      </w:r>
      <w:r w:rsidR="00013E70">
        <w:rPr>
          <w:rFonts w:ascii="Times New Roman" w:eastAsia="標楷體"/>
          <w:spacing w:val="0"/>
          <w:sz w:val="24"/>
          <w:szCs w:val="24"/>
        </w:rPr>
        <w:t>rolled out</w:t>
      </w:r>
      <w:r w:rsidR="00BC78AE">
        <w:rPr>
          <w:rFonts w:ascii="Times New Roman" w:eastAsia="標楷體"/>
          <w:spacing w:val="0"/>
          <w:sz w:val="24"/>
          <w:szCs w:val="24"/>
        </w:rPr>
        <w:t xml:space="preserve"> large fiscal stimulus </w:t>
      </w:r>
      <w:r w:rsidR="00013E70">
        <w:rPr>
          <w:rFonts w:ascii="Times New Roman" w:eastAsia="標楷體"/>
          <w:spacing w:val="0"/>
          <w:sz w:val="24"/>
          <w:szCs w:val="24"/>
        </w:rPr>
        <w:t>programs</w:t>
      </w:r>
      <w:r w:rsidR="00BC78AE">
        <w:rPr>
          <w:rFonts w:ascii="Times New Roman" w:eastAsia="標楷體"/>
          <w:spacing w:val="0"/>
          <w:sz w:val="24"/>
          <w:szCs w:val="24"/>
        </w:rPr>
        <w:t xml:space="preserve"> and further eased monetary policy stances in order to </w:t>
      </w:r>
      <w:r w:rsidR="0007439A">
        <w:rPr>
          <w:rFonts w:ascii="Times New Roman" w:eastAsia="標楷體"/>
          <w:spacing w:val="0"/>
          <w:sz w:val="24"/>
          <w:szCs w:val="24"/>
        </w:rPr>
        <w:t>mitigate</w:t>
      </w:r>
      <w:r w:rsidR="00BC78AE">
        <w:rPr>
          <w:rFonts w:ascii="Times New Roman" w:eastAsia="標楷體"/>
          <w:spacing w:val="0"/>
          <w:sz w:val="24"/>
          <w:szCs w:val="24"/>
        </w:rPr>
        <w:t xml:space="preserve"> the pandemic’</w:t>
      </w:r>
      <w:r w:rsidR="0007439A">
        <w:rPr>
          <w:rFonts w:ascii="Times New Roman" w:eastAsia="標楷體"/>
          <w:spacing w:val="0"/>
          <w:sz w:val="24"/>
          <w:szCs w:val="24"/>
        </w:rPr>
        <w:t>s economic and financial damage</w:t>
      </w:r>
      <w:r w:rsidR="00BC78AE">
        <w:rPr>
          <w:rFonts w:ascii="Times New Roman" w:eastAsia="標楷體"/>
          <w:spacing w:val="0"/>
          <w:sz w:val="24"/>
          <w:szCs w:val="24"/>
        </w:rPr>
        <w:t xml:space="preserve">. </w:t>
      </w:r>
    </w:p>
    <w:p w:rsidR="00013E70" w:rsidRDefault="00013E70" w:rsidP="00F14F64">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spacing w:val="0"/>
          <w:sz w:val="24"/>
          <w:szCs w:val="24"/>
        </w:rPr>
        <w:t xml:space="preserve">As a result of these stimulus measures and a gradual reopening of the economy as the pandemic somewhat eased, major foreign stock indices rebounded from the </w:t>
      </w:r>
      <w:r w:rsidR="002577BB">
        <w:rPr>
          <w:rFonts w:ascii="Times New Roman" w:eastAsia="標楷體"/>
          <w:spacing w:val="0"/>
          <w:sz w:val="24"/>
          <w:szCs w:val="24"/>
        </w:rPr>
        <w:t xml:space="preserve">end-of-March </w:t>
      </w:r>
      <w:r>
        <w:rPr>
          <w:rFonts w:ascii="Times New Roman" w:eastAsia="標楷體"/>
          <w:spacing w:val="0"/>
          <w:sz w:val="24"/>
          <w:szCs w:val="24"/>
        </w:rPr>
        <w:t>trough</w:t>
      </w:r>
      <w:r w:rsidR="002577BB">
        <w:rPr>
          <w:rFonts w:ascii="Times New Roman" w:eastAsia="標楷體"/>
          <w:spacing w:val="0"/>
          <w:sz w:val="24"/>
          <w:szCs w:val="24"/>
        </w:rPr>
        <w:t xml:space="preserve"> </w:t>
      </w:r>
      <w:r>
        <w:rPr>
          <w:rFonts w:ascii="Times New Roman" w:eastAsia="標楷體"/>
          <w:spacing w:val="0"/>
          <w:sz w:val="24"/>
          <w:szCs w:val="24"/>
        </w:rPr>
        <w:t xml:space="preserve">and the </w:t>
      </w:r>
      <w:r>
        <w:rPr>
          <w:rFonts w:ascii="Times New Roman" w:eastAsia="標楷體" w:hint="eastAsia"/>
          <w:spacing w:val="0"/>
          <w:sz w:val="24"/>
          <w:szCs w:val="24"/>
        </w:rPr>
        <w:t xml:space="preserve">VIX </w:t>
      </w:r>
      <w:r>
        <w:rPr>
          <w:rFonts w:ascii="Times New Roman" w:eastAsia="標楷體"/>
          <w:spacing w:val="0"/>
          <w:sz w:val="24"/>
          <w:szCs w:val="24"/>
        </w:rPr>
        <w:t>“</w:t>
      </w:r>
      <w:r>
        <w:rPr>
          <w:rFonts w:ascii="Times New Roman" w:eastAsia="標楷體" w:hint="eastAsia"/>
          <w:spacing w:val="0"/>
          <w:sz w:val="24"/>
          <w:szCs w:val="24"/>
        </w:rPr>
        <w:t>fear index</w:t>
      </w:r>
      <w:r>
        <w:rPr>
          <w:rFonts w:ascii="Times New Roman" w:eastAsia="標楷體"/>
          <w:spacing w:val="0"/>
          <w:sz w:val="24"/>
          <w:szCs w:val="24"/>
        </w:rPr>
        <w:t xml:space="preserve">” </w:t>
      </w:r>
      <w:r w:rsidR="00805C60">
        <w:rPr>
          <w:rFonts w:ascii="Times New Roman" w:eastAsia="標楷體"/>
          <w:spacing w:val="0"/>
          <w:sz w:val="24"/>
          <w:szCs w:val="24"/>
        </w:rPr>
        <w:t xml:space="preserve">also </w:t>
      </w:r>
      <w:r>
        <w:rPr>
          <w:rFonts w:ascii="Times New Roman" w:eastAsia="標楷體"/>
          <w:spacing w:val="0"/>
          <w:sz w:val="24"/>
          <w:szCs w:val="24"/>
        </w:rPr>
        <w:t xml:space="preserve">moved down. </w:t>
      </w:r>
      <w:r w:rsidR="005D3D74">
        <w:rPr>
          <w:rFonts w:ascii="Times New Roman" w:eastAsia="標楷體"/>
          <w:spacing w:val="0"/>
          <w:sz w:val="24"/>
          <w:szCs w:val="24"/>
        </w:rPr>
        <w:t xml:space="preserve">Meanwhile, </w:t>
      </w:r>
      <w:r w:rsidR="000B0EA3">
        <w:rPr>
          <w:rFonts w:ascii="Times New Roman" w:eastAsia="標楷體"/>
          <w:spacing w:val="0"/>
          <w:sz w:val="24"/>
          <w:szCs w:val="24"/>
        </w:rPr>
        <w:t>as US dollar hedging demand softened, c</w:t>
      </w:r>
      <w:r>
        <w:rPr>
          <w:rFonts w:ascii="Times New Roman" w:eastAsia="標楷體"/>
          <w:spacing w:val="0"/>
          <w:sz w:val="24"/>
          <w:szCs w:val="24"/>
        </w:rPr>
        <w:t xml:space="preserve">urrencies of major economies </w:t>
      </w:r>
      <w:r w:rsidR="005D3D74">
        <w:rPr>
          <w:rFonts w:ascii="Times New Roman" w:eastAsia="標楷體"/>
          <w:spacing w:val="0"/>
          <w:sz w:val="24"/>
          <w:szCs w:val="24"/>
        </w:rPr>
        <w:t>broadly ap</w:t>
      </w:r>
      <w:r w:rsidR="000B0EA3">
        <w:rPr>
          <w:rFonts w:ascii="Times New Roman" w:eastAsia="標楷體"/>
          <w:spacing w:val="0"/>
          <w:sz w:val="24"/>
          <w:szCs w:val="24"/>
        </w:rPr>
        <w:t xml:space="preserve">preciated against the US dollar. </w:t>
      </w:r>
      <w:r w:rsidR="00231913">
        <w:rPr>
          <w:rFonts w:ascii="Times New Roman" w:eastAsia="標楷體"/>
          <w:spacing w:val="0"/>
          <w:sz w:val="24"/>
          <w:szCs w:val="24"/>
        </w:rPr>
        <w:t xml:space="preserve">Long-term government bond yields generally ticked up from previous lows after May before edging </w:t>
      </w:r>
      <w:r w:rsidR="00A172DC">
        <w:rPr>
          <w:rFonts w:ascii="Times New Roman" w:eastAsia="標楷體"/>
          <w:spacing w:val="0"/>
          <w:sz w:val="24"/>
          <w:szCs w:val="24"/>
        </w:rPr>
        <w:t xml:space="preserve">back </w:t>
      </w:r>
      <w:r w:rsidR="00231913">
        <w:rPr>
          <w:rFonts w:ascii="Times New Roman" w:eastAsia="標楷體"/>
          <w:spacing w:val="0"/>
          <w:sz w:val="24"/>
          <w:szCs w:val="24"/>
        </w:rPr>
        <w:t xml:space="preserve">down more recently on concerns </w:t>
      </w:r>
      <w:r w:rsidR="00A172DC">
        <w:rPr>
          <w:rFonts w:ascii="Times New Roman" w:eastAsia="標楷體"/>
          <w:spacing w:val="0"/>
          <w:sz w:val="24"/>
          <w:szCs w:val="24"/>
        </w:rPr>
        <w:t>over a renewed increase in</w:t>
      </w:r>
      <w:r w:rsidR="00231913">
        <w:rPr>
          <w:rFonts w:ascii="Times New Roman" w:eastAsia="標楷體"/>
          <w:spacing w:val="0"/>
          <w:sz w:val="24"/>
          <w:szCs w:val="24"/>
        </w:rPr>
        <w:t xml:space="preserve"> coronavirus infections. </w:t>
      </w:r>
    </w:p>
    <w:p w:rsidR="00CC6C78" w:rsidRDefault="00142797" w:rsidP="00E741E8">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spacing w:val="0"/>
          <w:sz w:val="24"/>
          <w:szCs w:val="24"/>
        </w:rPr>
        <w:t>C</w:t>
      </w:r>
      <w:r w:rsidR="00C575C6">
        <w:rPr>
          <w:rFonts w:ascii="Times New Roman" w:eastAsia="標楷體"/>
          <w:spacing w:val="0"/>
          <w:sz w:val="24"/>
          <w:szCs w:val="24"/>
        </w:rPr>
        <w:t>rude oil prices</w:t>
      </w:r>
      <w:r w:rsidR="00BF33DE">
        <w:rPr>
          <w:rFonts w:ascii="Times New Roman" w:eastAsia="標楷體"/>
          <w:spacing w:val="0"/>
          <w:sz w:val="24"/>
          <w:szCs w:val="24"/>
        </w:rPr>
        <w:t xml:space="preserve"> rebounded</w:t>
      </w:r>
      <w:r w:rsidR="002534BF">
        <w:rPr>
          <w:rFonts w:ascii="Times New Roman" w:eastAsia="標楷體"/>
          <w:spacing w:val="0"/>
          <w:sz w:val="24"/>
          <w:szCs w:val="24"/>
        </w:rPr>
        <w:t xml:space="preserve"> after hitting a low </w:t>
      </w:r>
      <w:r w:rsidR="00BF33DE">
        <w:rPr>
          <w:rFonts w:ascii="Times New Roman" w:eastAsia="標楷體"/>
          <w:spacing w:val="0"/>
          <w:sz w:val="24"/>
          <w:szCs w:val="24"/>
        </w:rPr>
        <w:t xml:space="preserve">in late April, </w:t>
      </w:r>
      <w:r w:rsidR="00650715">
        <w:rPr>
          <w:rFonts w:ascii="Times New Roman" w:eastAsia="標楷體"/>
          <w:spacing w:val="0"/>
          <w:sz w:val="24"/>
          <w:szCs w:val="24"/>
        </w:rPr>
        <w:t xml:space="preserve">boosted by economic reopening across the world and plans of more massive output cuts by </w:t>
      </w:r>
      <w:r w:rsidR="002577BB">
        <w:rPr>
          <w:rFonts w:ascii="Times New Roman" w:eastAsia="標楷體"/>
          <w:spacing w:val="0"/>
          <w:sz w:val="24"/>
          <w:szCs w:val="24"/>
        </w:rPr>
        <w:t xml:space="preserve">the </w:t>
      </w:r>
      <w:r w:rsidR="00650715">
        <w:rPr>
          <w:rFonts w:ascii="Times New Roman" w:eastAsia="標楷體"/>
          <w:spacing w:val="0"/>
          <w:sz w:val="24"/>
          <w:szCs w:val="24"/>
        </w:rPr>
        <w:t>OPEC+</w:t>
      </w:r>
      <w:r w:rsidR="002577BB">
        <w:rPr>
          <w:rFonts w:ascii="Times New Roman" w:eastAsia="標楷體"/>
          <w:spacing w:val="0"/>
          <w:sz w:val="24"/>
          <w:szCs w:val="24"/>
        </w:rPr>
        <w:t xml:space="preserve"> economies</w:t>
      </w:r>
      <w:r w:rsidR="00650715">
        <w:rPr>
          <w:rFonts w:ascii="Times New Roman" w:eastAsia="標楷體"/>
          <w:spacing w:val="0"/>
          <w:sz w:val="24"/>
          <w:szCs w:val="24"/>
        </w:rPr>
        <w:t xml:space="preserve">, but the average </w:t>
      </w:r>
      <w:r>
        <w:rPr>
          <w:rFonts w:ascii="Times New Roman" w:eastAsia="標楷體"/>
          <w:spacing w:val="0"/>
          <w:sz w:val="24"/>
          <w:szCs w:val="24"/>
        </w:rPr>
        <w:t xml:space="preserve">price projections for this year would still be far lower than last year. Meanwhile, grain prices fluctuated at a low level. Global inflation faced downside pressures, mainly </w:t>
      </w:r>
      <w:r w:rsidR="00E741E8">
        <w:rPr>
          <w:rFonts w:ascii="Times New Roman" w:eastAsia="標楷體"/>
          <w:spacing w:val="0"/>
          <w:sz w:val="24"/>
          <w:szCs w:val="24"/>
        </w:rPr>
        <w:t xml:space="preserve">owing to weakened consumer demand amidst the pandemic and commodity price declines. International forecasters expected that major economies would all experience lower inflation this year than last year. </w:t>
      </w:r>
    </w:p>
    <w:p w:rsidR="006D0B2F" w:rsidRDefault="002577BB" w:rsidP="009410AB">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spacing w:val="0"/>
          <w:sz w:val="24"/>
          <w:szCs w:val="24"/>
        </w:rPr>
        <w:t>In light</w:t>
      </w:r>
      <w:r w:rsidR="00A4565F">
        <w:rPr>
          <w:rFonts w:ascii="Times New Roman" w:eastAsia="標楷體"/>
          <w:spacing w:val="0"/>
          <w:sz w:val="24"/>
          <w:szCs w:val="24"/>
        </w:rPr>
        <w:t xml:space="preserve"> of current economic and </w:t>
      </w:r>
      <w:r>
        <w:rPr>
          <w:rFonts w:ascii="Times New Roman" w:eastAsia="標楷體"/>
          <w:spacing w:val="0"/>
          <w:sz w:val="24"/>
          <w:szCs w:val="24"/>
        </w:rPr>
        <w:t>politic</w:t>
      </w:r>
      <w:r w:rsidR="00A4565F">
        <w:rPr>
          <w:rFonts w:ascii="Times New Roman" w:eastAsia="標楷體"/>
          <w:spacing w:val="0"/>
          <w:sz w:val="24"/>
          <w:szCs w:val="24"/>
        </w:rPr>
        <w:t>al conditions in the world,</w:t>
      </w:r>
      <w:r w:rsidR="009629F5">
        <w:rPr>
          <w:rFonts w:ascii="Times New Roman" w:eastAsia="標楷體"/>
          <w:spacing w:val="0"/>
          <w:sz w:val="24"/>
          <w:szCs w:val="24"/>
        </w:rPr>
        <w:t xml:space="preserve"> </w:t>
      </w:r>
      <w:r w:rsidR="00A4565F">
        <w:rPr>
          <w:rFonts w:ascii="Times New Roman" w:eastAsia="標楷體"/>
          <w:spacing w:val="0"/>
          <w:sz w:val="24"/>
          <w:szCs w:val="24"/>
        </w:rPr>
        <w:t xml:space="preserve">the global economy is </w:t>
      </w:r>
      <w:r w:rsidR="00A4565F">
        <w:rPr>
          <w:rFonts w:ascii="Times New Roman" w:eastAsia="標楷體"/>
          <w:spacing w:val="0"/>
          <w:sz w:val="24"/>
          <w:szCs w:val="24"/>
        </w:rPr>
        <w:lastRenderedPageBreak/>
        <w:t>confronted by rising downside risks, including (1) high uncertaint</w:t>
      </w:r>
      <w:r w:rsidR="00BB1C44">
        <w:rPr>
          <w:rFonts w:ascii="Times New Roman" w:eastAsia="標楷體"/>
          <w:spacing w:val="0"/>
          <w:sz w:val="24"/>
          <w:szCs w:val="24"/>
        </w:rPr>
        <w:t>y</w:t>
      </w:r>
      <w:r w:rsidR="00A4565F">
        <w:rPr>
          <w:rFonts w:ascii="Times New Roman" w:eastAsia="標楷體"/>
          <w:spacing w:val="0"/>
          <w:sz w:val="24"/>
          <w:szCs w:val="24"/>
        </w:rPr>
        <w:t xml:space="preserve"> over the pandemic’s economic impact</w:t>
      </w:r>
      <w:r w:rsidR="00B0779C">
        <w:rPr>
          <w:rFonts w:ascii="Times New Roman" w:eastAsia="標楷體"/>
          <w:spacing w:val="0"/>
          <w:sz w:val="24"/>
          <w:szCs w:val="24"/>
        </w:rPr>
        <w:t>;</w:t>
      </w:r>
      <w:r w:rsidR="00A4565F">
        <w:rPr>
          <w:rFonts w:ascii="Times New Roman" w:eastAsia="標楷體"/>
          <w:spacing w:val="0"/>
          <w:sz w:val="24"/>
          <w:szCs w:val="24"/>
        </w:rPr>
        <w:t xml:space="preserve"> (2) the pandemic aggravating protectionism and accelerating de-globalization, </w:t>
      </w:r>
      <w:r w:rsidR="009410AB">
        <w:rPr>
          <w:rFonts w:ascii="Times New Roman" w:eastAsia="標楷體"/>
          <w:spacing w:val="0"/>
          <w:sz w:val="24"/>
          <w:szCs w:val="24"/>
        </w:rPr>
        <w:t>putting</w:t>
      </w:r>
      <w:r w:rsidR="00605814">
        <w:rPr>
          <w:rFonts w:ascii="Times New Roman" w:eastAsia="標楷體"/>
          <w:spacing w:val="0"/>
          <w:sz w:val="24"/>
          <w:szCs w:val="24"/>
        </w:rPr>
        <w:t xml:space="preserve"> </w:t>
      </w:r>
      <w:r w:rsidR="00A4565F">
        <w:rPr>
          <w:rFonts w:ascii="Times New Roman" w:eastAsia="標楷體"/>
          <w:spacing w:val="0"/>
          <w:sz w:val="24"/>
          <w:szCs w:val="24"/>
        </w:rPr>
        <w:t xml:space="preserve">US-China </w:t>
      </w:r>
      <w:r w:rsidR="00605814">
        <w:rPr>
          <w:rFonts w:ascii="Times New Roman" w:eastAsia="標楷體"/>
          <w:spacing w:val="0"/>
          <w:sz w:val="24"/>
          <w:szCs w:val="24"/>
        </w:rPr>
        <w:t>relation</w:t>
      </w:r>
      <w:r w:rsidR="009410AB">
        <w:rPr>
          <w:rFonts w:ascii="Times New Roman" w:eastAsia="標楷體"/>
          <w:spacing w:val="0"/>
          <w:sz w:val="24"/>
          <w:szCs w:val="24"/>
        </w:rPr>
        <w:t>s</w:t>
      </w:r>
      <w:r w:rsidR="00605814">
        <w:rPr>
          <w:rFonts w:ascii="Times New Roman" w:eastAsia="標楷體"/>
          <w:spacing w:val="0"/>
          <w:sz w:val="24"/>
          <w:szCs w:val="24"/>
        </w:rPr>
        <w:t xml:space="preserve"> </w:t>
      </w:r>
      <w:r w:rsidR="009410AB">
        <w:rPr>
          <w:rFonts w:ascii="Times New Roman" w:eastAsia="標楷體"/>
          <w:spacing w:val="0"/>
          <w:sz w:val="24"/>
          <w:szCs w:val="24"/>
        </w:rPr>
        <w:t>under greater strains</w:t>
      </w:r>
      <w:r w:rsidR="00B0779C">
        <w:rPr>
          <w:rFonts w:ascii="Times New Roman" w:eastAsia="標楷體"/>
          <w:spacing w:val="0"/>
          <w:sz w:val="24"/>
          <w:szCs w:val="24"/>
        </w:rPr>
        <w:t>;</w:t>
      </w:r>
      <w:r w:rsidR="00A4565F">
        <w:rPr>
          <w:rFonts w:ascii="Times New Roman" w:eastAsia="標楷體"/>
          <w:spacing w:val="0"/>
          <w:sz w:val="24"/>
          <w:szCs w:val="24"/>
        </w:rPr>
        <w:t xml:space="preserve"> </w:t>
      </w:r>
      <w:r w:rsidR="00B0779C">
        <w:rPr>
          <w:rFonts w:ascii="Times New Roman" w:eastAsia="標楷體"/>
          <w:spacing w:val="0"/>
          <w:sz w:val="24"/>
          <w:szCs w:val="24"/>
        </w:rPr>
        <w:t>(3) a jump in corporate and government deb</w:t>
      </w:r>
      <w:r w:rsidR="00445DBE">
        <w:rPr>
          <w:rFonts w:ascii="Times New Roman" w:eastAsia="標楷體"/>
          <w:spacing w:val="0"/>
          <w:sz w:val="24"/>
          <w:szCs w:val="24"/>
        </w:rPr>
        <w:t xml:space="preserve">t and a challenging environment for banks to </w:t>
      </w:r>
      <w:r w:rsidR="00BB1C44">
        <w:rPr>
          <w:rFonts w:ascii="Times New Roman" w:eastAsia="標楷體"/>
          <w:spacing w:val="0"/>
          <w:sz w:val="24"/>
          <w:szCs w:val="24"/>
        </w:rPr>
        <w:t>maintain</w:t>
      </w:r>
      <w:r w:rsidR="00445DBE">
        <w:rPr>
          <w:rFonts w:ascii="Times New Roman" w:eastAsia="標楷體"/>
          <w:spacing w:val="0"/>
          <w:sz w:val="24"/>
          <w:szCs w:val="24"/>
        </w:rPr>
        <w:t xml:space="preserve"> profitability, adding to financial fragilities; (4) </w:t>
      </w:r>
      <w:r w:rsidR="008348FA">
        <w:rPr>
          <w:rFonts w:ascii="Times New Roman" w:eastAsia="標楷體"/>
          <w:spacing w:val="0"/>
          <w:sz w:val="24"/>
          <w:szCs w:val="24"/>
        </w:rPr>
        <w:t xml:space="preserve">threats arising from geopolitical conflicts, such as domestic unrest in the US, China-India border issues, regional tensions and climate change. </w:t>
      </w:r>
      <w:r w:rsidR="009410AB">
        <w:rPr>
          <w:rFonts w:ascii="Times New Roman" w:eastAsia="標楷體"/>
          <w:spacing w:val="0"/>
          <w:sz w:val="24"/>
          <w:szCs w:val="24"/>
        </w:rPr>
        <w:t xml:space="preserve">All these would affect the </w:t>
      </w:r>
      <w:r w:rsidR="00995CA6">
        <w:rPr>
          <w:rFonts w:ascii="Times New Roman" w:eastAsia="標楷體"/>
          <w:spacing w:val="0"/>
          <w:sz w:val="24"/>
          <w:szCs w:val="24"/>
        </w:rPr>
        <w:t xml:space="preserve">global economic and trade </w:t>
      </w:r>
      <w:r w:rsidR="009410AB">
        <w:rPr>
          <w:rFonts w:ascii="Times New Roman" w:eastAsia="標楷體"/>
          <w:spacing w:val="0"/>
          <w:sz w:val="24"/>
          <w:szCs w:val="24"/>
        </w:rPr>
        <w:t xml:space="preserve">outlook </w:t>
      </w:r>
      <w:r w:rsidR="00D57AE4">
        <w:rPr>
          <w:rFonts w:ascii="Times New Roman" w:eastAsia="標楷體"/>
          <w:spacing w:val="0"/>
          <w:sz w:val="24"/>
          <w:szCs w:val="24"/>
        </w:rPr>
        <w:t xml:space="preserve">and financial market stability. </w:t>
      </w:r>
    </w:p>
    <w:p w:rsidR="00D46F1E" w:rsidRPr="00583901" w:rsidRDefault="00D46F1E" w:rsidP="00B04114">
      <w:pPr>
        <w:numPr>
          <w:ilvl w:val="0"/>
          <w:numId w:val="9"/>
        </w:numPr>
        <w:overflowPunct w:val="0"/>
        <w:autoSpaceDE w:val="0"/>
        <w:autoSpaceDN w:val="0"/>
        <w:snapToGrid w:val="0"/>
        <w:spacing w:before="120" w:line="440" w:lineRule="exact"/>
        <w:ind w:left="426" w:hanging="426"/>
        <w:rPr>
          <w:rFonts w:eastAsia="標楷體"/>
          <w:b/>
          <w:spacing w:val="-2"/>
          <w:sz w:val="24"/>
          <w:szCs w:val="28"/>
        </w:rPr>
      </w:pPr>
      <w:r w:rsidRPr="00583901">
        <w:rPr>
          <w:rFonts w:eastAsia="標楷體" w:hint="eastAsia"/>
          <w:b/>
          <w:spacing w:val="-2"/>
          <w:sz w:val="24"/>
          <w:szCs w:val="28"/>
        </w:rPr>
        <w:t>Domestic</w:t>
      </w:r>
      <w:r w:rsidRPr="00583901">
        <w:rPr>
          <w:rFonts w:eastAsia="標楷體"/>
          <w:b/>
          <w:spacing w:val="-2"/>
          <w:sz w:val="24"/>
          <w:szCs w:val="28"/>
        </w:rPr>
        <w:t xml:space="preserve"> Economic </w:t>
      </w:r>
      <w:r w:rsidRPr="00583901">
        <w:rPr>
          <w:rFonts w:eastAsia="標楷體" w:hint="eastAsia"/>
          <w:b/>
          <w:spacing w:val="-2"/>
          <w:sz w:val="24"/>
          <w:szCs w:val="28"/>
        </w:rPr>
        <w:t>a</w:t>
      </w:r>
      <w:r w:rsidRPr="00583901">
        <w:rPr>
          <w:rFonts w:eastAsia="標楷體"/>
          <w:b/>
          <w:spacing w:val="-2"/>
          <w:sz w:val="24"/>
          <w:szCs w:val="28"/>
        </w:rPr>
        <w:t>nd Financial Conditions</w:t>
      </w:r>
    </w:p>
    <w:p w:rsidR="00D46F1E" w:rsidRPr="007F6F77" w:rsidRDefault="00D46F1E" w:rsidP="00FA173A">
      <w:pPr>
        <w:adjustRightInd/>
        <w:spacing w:before="120" w:line="440" w:lineRule="exact"/>
        <w:textAlignment w:val="auto"/>
        <w:rPr>
          <w:rFonts w:eastAsia="標楷體"/>
          <w:spacing w:val="-2"/>
          <w:kern w:val="2"/>
          <w:sz w:val="24"/>
          <w:szCs w:val="28"/>
        </w:rPr>
      </w:pPr>
      <w:r w:rsidRPr="00583901">
        <w:rPr>
          <w:rFonts w:eastAsia="標楷體"/>
          <w:spacing w:val="-2"/>
          <w:kern w:val="2"/>
          <w:sz w:val="24"/>
          <w:szCs w:val="28"/>
        </w:rPr>
        <w:t>(</w:t>
      </w:r>
      <w:r w:rsidRPr="00583901">
        <w:rPr>
          <w:rFonts w:eastAsia="標楷體" w:hint="eastAsia"/>
          <w:spacing w:val="-2"/>
          <w:kern w:val="2"/>
          <w:sz w:val="24"/>
          <w:szCs w:val="28"/>
        </w:rPr>
        <w:t>1</w:t>
      </w:r>
      <w:r w:rsidRPr="00583901">
        <w:rPr>
          <w:rFonts w:eastAsia="標楷體"/>
          <w:spacing w:val="-2"/>
          <w:kern w:val="2"/>
          <w:sz w:val="24"/>
          <w:szCs w:val="28"/>
        </w:rPr>
        <w:t>)</w:t>
      </w:r>
      <w:r w:rsidR="00583901">
        <w:rPr>
          <w:rFonts w:eastAsia="標楷體" w:hint="eastAsia"/>
          <w:spacing w:val="-2"/>
          <w:kern w:val="2"/>
          <w:sz w:val="24"/>
          <w:szCs w:val="28"/>
        </w:rPr>
        <w:t xml:space="preserve"> Economic situation</w:t>
      </w:r>
    </w:p>
    <w:p w:rsidR="002A4C00" w:rsidRDefault="00947848" w:rsidP="00947848">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spacing w:val="0"/>
          <w:sz w:val="24"/>
          <w:szCs w:val="24"/>
        </w:rPr>
        <w:t xml:space="preserve">In the year to date, the coronavirus outbreak </w:t>
      </w:r>
      <w:r w:rsidR="002577BB">
        <w:rPr>
          <w:rFonts w:ascii="Times New Roman" w:eastAsia="標楷體"/>
          <w:spacing w:val="0"/>
          <w:sz w:val="24"/>
          <w:szCs w:val="24"/>
        </w:rPr>
        <w:t xml:space="preserve">had </w:t>
      </w:r>
      <w:r>
        <w:rPr>
          <w:rFonts w:ascii="Times New Roman" w:eastAsia="標楷體"/>
          <w:spacing w:val="0"/>
          <w:sz w:val="24"/>
          <w:szCs w:val="24"/>
        </w:rPr>
        <w:t xml:space="preserve">led to soft internal and external demand, dampening domestic growth momentum. The Bank now projected Taiwan’s annual GDP growth rate to register 1.52% this year, down by 0.40 percentage points from the projection it made in March. Nevertheless, </w:t>
      </w:r>
      <w:r w:rsidR="00464266">
        <w:rPr>
          <w:rFonts w:ascii="Times New Roman" w:eastAsia="標楷體"/>
          <w:spacing w:val="0"/>
          <w:sz w:val="24"/>
          <w:szCs w:val="24"/>
        </w:rPr>
        <w:t xml:space="preserve">as the outbreak appeared to be waning, </w:t>
      </w:r>
      <w:r w:rsidR="00077188">
        <w:rPr>
          <w:rFonts w:ascii="Times New Roman" w:eastAsia="標楷體"/>
          <w:spacing w:val="0"/>
          <w:sz w:val="24"/>
          <w:szCs w:val="24"/>
        </w:rPr>
        <w:t xml:space="preserve">the </w:t>
      </w:r>
      <w:r w:rsidR="00077188" w:rsidRPr="00077188">
        <w:rPr>
          <w:rFonts w:ascii="Times New Roman" w:eastAsia="標楷體"/>
          <w:spacing w:val="0"/>
          <w:sz w:val="24"/>
          <w:szCs w:val="24"/>
        </w:rPr>
        <w:t>indices for “future outlooks” (in the following six months) under Taiwan’s Manufacturing PMI (Purchasing Managers’ Index) and NMI (Non-Manufactu</w:t>
      </w:r>
      <w:r w:rsidR="00077188">
        <w:rPr>
          <w:rFonts w:ascii="Times New Roman" w:eastAsia="標楷體"/>
          <w:spacing w:val="0"/>
          <w:sz w:val="24"/>
          <w:szCs w:val="24"/>
        </w:rPr>
        <w:t>ring Index) both climbed back up</w:t>
      </w:r>
      <w:r w:rsidR="00077188" w:rsidRPr="00077188">
        <w:rPr>
          <w:rFonts w:ascii="Times New Roman" w:eastAsia="標楷體"/>
          <w:spacing w:val="0"/>
          <w:sz w:val="24"/>
          <w:szCs w:val="24"/>
        </w:rPr>
        <w:t>, indicating that businesses</w:t>
      </w:r>
      <w:r w:rsidR="00077188">
        <w:rPr>
          <w:rFonts w:ascii="Times New Roman" w:eastAsia="標楷體"/>
          <w:spacing w:val="0"/>
          <w:sz w:val="24"/>
          <w:szCs w:val="24"/>
        </w:rPr>
        <w:t xml:space="preserve"> now anticipated more stable prospects for the economy</w:t>
      </w:r>
      <w:r w:rsidR="00077188" w:rsidRPr="00077188">
        <w:rPr>
          <w:rFonts w:ascii="Times New Roman" w:eastAsia="標楷體"/>
          <w:spacing w:val="0"/>
          <w:sz w:val="24"/>
          <w:szCs w:val="24"/>
        </w:rPr>
        <w:t>.</w:t>
      </w:r>
    </w:p>
    <w:p w:rsidR="00895FAD" w:rsidRDefault="002577BB" w:rsidP="00947848">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spacing w:val="0"/>
          <w:sz w:val="24"/>
          <w:szCs w:val="24"/>
        </w:rPr>
        <w:t>Regarding external demand and exports</w:t>
      </w:r>
      <w:r w:rsidR="00DD03C8">
        <w:rPr>
          <w:rFonts w:ascii="Times New Roman" w:eastAsia="標楷體"/>
          <w:spacing w:val="0"/>
          <w:sz w:val="24"/>
          <w:szCs w:val="24"/>
        </w:rPr>
        <w:t>, the pandemic’s effects on global consumption, investment, and production had caused a broad-based year-on-year decline in exports by major Asian economie</w:t>
      </w:r>
      <w:r w:rsidR="009629F5">
        <w:rPr>
          <w:rFonts w:ascii="Times New Roman" w:eastAsia="標楷體"/>
          <w:spacing w:val="0"/>
          <w:sz w:val="24"/>
          <w:szCs w:val="24"/>
        </w:rPr>
        <w:t>s</w:t>
      </w:r>
      <w:r w:rsidR="00DD03C8">
        <w:rPr>
          <w:rFonts w:ascii="Times New Roman" w:eastAsia="標楷體"/>
          <w:spacing w:val="0"/>
          <w:sz w:val="24"/>
          <w:szCs w:val="24"/>
        </w:rPr>
        <w:t xml:space="preserve">. </w:t>
      </w:r>
      <w:r w:rsidR="00895FAD">
        <w:rPr>
          <w:rFonts w:ascii="Times New Roman" w:eastAsia="標楷體"/>
          <w:spacing w:val="0"/>
          <w:sz w:val="24"/>
          <w:szCs w:val="24"/>
        </w:rPr>
        <w:t>As for Taiwan’s export</w:t>
      </w:r>
      <w:r>
        <w:rPr>
          <w:rFonts w:ascii="Times New Roman" w:eastAsia="標楷體"/>
          <w:spacing w:val="0"/>
          <w:sz w:val="24"/>
          <w:szCs w:val="24"/>
        </w:rPr>
        <w:t>s</w:t>
      </w:r>
      <w:r w:rsidR="00895FAD">
        <w:rPr>
          <w:rFonts w:ascii="Times New Roman" w:eastAsia="標楷體"/>
          <w:spacing w:val="0"/>
          <w:sz w:val="24"/>
          <w:szCs w:val="24"/>
        </w:rPr>
        <w:t xml:space="preserve">, despite posting consecutive monthly contractions, </w:t>
      </w:r>
      <w:r w:rsidR="00BB1C44">
        <w:rPr>
          <w:rFonts w:ascii="Times New Roman" w:eastAsia="標楷體"/>
          <w:spacing w:val="0"/>
          <w:sz w:val="24"/>
          <w:szCs w:val="24"/>
        </w:rPr>
        <w:t>during</w:t>
      </w:r>
      <w:r w:rsidR="00B727AC">
        <w:rPr>
          <w:rFonts w:ascii="Times New Roman" w:eastAsia="標楷體"/>
          <w:spacing w:val="0"/>
          <w:sz w:val="24"/>
          <w:szCs w:val="24"/>
        </w:rPr>
        <w:t xml:space="preserve"> the first</w:t>
      </w:r>
      <w:r w:rsidR="0021646C">
        <w:rPr>
          <w:rFonts w:ascii="Times New Roman" w:eastAsia="標楷體"/>
          <w:spacing w:val="0"/>
          <w:sz w:val="24"/>
          <w:szCs w:val="24"/>
        </w:rPr>
        <w:t xml:space="preserve"> five</w:t>
      </w:r>
      <w:r w:rsidR="00B727AC">
        <w:rPr>
          <w:rFonts w:ascii="Times New Roman" w:eastAsia="標楷體"/>
          <w:spacing w:val="0"/>
          <w:sz w:val="24"/>
          <w:szCs w:val="24"/>
        </w:rPr>
        <w:t xml:space="preserve"> months this year </w:t>
      </w:r>
      <w:r>
        <w:rPr>
          <w:rFonts w:ascii="Times New Roman" w:eastAsia="標楷體"/>
          <w:spacing w:val="0"/>
          <w:sz w:val="24"/>
          <w:szCs w:val="24"/>
        </w:rPr>
        <w:t>exports grew by</w:t>
      </w:r>
      <w:r w:rsidR="00B727AC">
        <w:rPr>
          <w:rFonts w:ascii="Times New Roman" w:eastAsia="標楷體"/>
          <w:spacing w:val="0"/>
          <w:sz w:val="24"/>
          <w:szCs w:val="24"/>
        </w:rPr>
        <w:t xml:space="preserve"> 1.5% over the same period of last year</w:t>
      </w:r>
      <w:r w:rsidR="00B727AC">
        <w:rPr>
          <w:rFonts w:ascii="Times New Roman" w:eastAsia="標楷體" w:hint="eastAsia"/>
          <w:spacing w:val="0"/>
          <w:sz w:val="24"/>
          <w:szCs w:val="24"/>
        </w:rPr>
        <w:t xml:space="preserve">, with export prices dropping 4.2% and export </w:t>
      </w:r>
      <w:r w:rsidR="00DD23C3">
        <w:rPr>
          <w:rFonts w:ascii="Times New Roman" w:eastAsia="標楷體" w:hint="eastAsia"/>
          <w:spacing w:val="0"/>
          <w:sz w:val="24"/>
          <w:szCs w:val="24"/>
        </w:rPr>
        <w:t>quantity increasing 6.0%. For the second half of the year, it was expected that</w:t>
      </w:r>
      <w:r w:rsidR="00DD23C3">
        <w:rPr>
          <w:rFonts w:ascii="Times New Roman" w:eastAsia="標楷體"/>
          <w:spacing w:val="0"/>
          <w:sz w:val="24"/>
          <w:szCs w:val="24"/>
        </w:rPr>
        <w:t>, with</w:t>
      </w:r>
      <w:r w:rsidR="00DD23C3" w:rsidRPr="009629F5">
        <w:rPr>
          <w:rFonts w:ascii="Times New Roman" w:eastAsia="標楷體"/>
          <w:spacing w:val="0"/>
          <w:sz w:val="24"/>
          <w:szCs w:val="24"/>
        </w:rPr>
        <w:t xml:space="preserve"> </w:t>
      </w:r>
      <w:r w:rsidR="00212830" w:rsidRPr="009629F5">
        <w:rPr>
          <w:rFonts w:ascii="Times New Roman" w:eastAsia="標楷體"/>
          <w:spacing w:val="0"/>
          <w:sz w:val="24"/>
          <w:szCs w:val="24"/>
        </w:rPr>
        <w:t>the coronavirus still impinging on the global economic and trade activit</w:t>
      </w:r>
      <w:r w:rsidR="009629F5">
        <w:rPr>
          <w:rFonts w:ascii="Times New Roman" w:eastAsia="標楷體" w:hint="eastAsia"/>
          <w:spacing w:val="0"/>
          <w:sz w:val="24"/>
          <w:szCs w:val="24"/>
        </w:rPr>
        <w:t>y</w:t>
      </w:r>
      <w:r w:rsidR="00DD23C3">
        <w:rPr>
          <w:rFonts w:ascii="Times New Roman" w:eastAsia="標楷體"/>
          <w:spacing w:val="0"/>
          <w:sz w:val="24"/>
          <w:szCs w:val="24"/>
        </w:rPr>
        <w:t xml:space="preserve"> and border controls </w:t>
      </w:r>
      <w:r w:rsidR="00A73434">
        <w:rPr>
          <w:rFonts w:ascii="Times New Roman" w:eastAsia="標楷體"/>
          <w:spacing w:val="0"/>
          <w:sz w:val="24"/>
          <w:szCs w:val="24"/>
        </w:rPr>
        <w:t xml:space="preserve">only partially lifted, </w:t>
      </w:r>
      <w:r w:rsidR="00DD23C3">
        <w:rPr>
          <w:rFonts w:ascii="Times New Roman" w:eastAsia="標楷體" w:hint="eastAsia"/>
          <w:spacing w:val="0"/>
          <w:sz w:val="24"/>
          <w:szCs w:val="24"/>
        </w:rPr>
        <w:t>Taiwan</w:t>
      </w:r>
      <w:r w:rsidR="00DD23C3">
        <w:rPr>
          <w:rFonts w:ascii="Times New Roman" w:eastAsia="標楷體"/>
          <w:spacing w:val="0"/>
          <w:sz w:val="24"/>
          <w:szCs w:val="24"/>
        </w:rPr>
        <w:t xml:space="preserve">’s export growth would continue to </w:t>
      </w:r>
      <w:r w:rsidR="004E0C3A" w:rsidRPr="00EF7BE4">
        <w:rPr>
          <w:rFonts w:ascii="Times New Roman" w:eastAsia="標楷體"/>
          <w:spacing w:val="0"/>
          <w:sz w:val="24"/>
          <w:szCs w:val="24"/>
        </w:rPr>
        <w:t>contract</w:t>
      </w:r>
      <w:r w:rsidR="00EF7BE4">
        <w:rPr>
          <w:rFonts w:ascii="Times New Roman" w:eastAsia="標楷體"/>
          <w:spacing w:val="0"/>
          <w:sz w:val="24"/>
          <w:szCs w:val="24"/>
        </w:rPr>
        <w:t>,</w:t>
      </w:r>
      <w:r w:rsidR="004E0C3A" w:rsidRPr="00EF7BE4">
        <w:rPr>
          <w:rFonts w:ascii="Times New Roman" w:eastAsia="標楷體"/>
          <w:spacing w:val="0"/>
          <w:sz w:val="24"/>
          <w:szCs w:val="24"/>
        </w:rPr>
        <w:t xml:space="preserve"> but with less steep declines</w:t>
      </w:r>
      <w:r w:rsidR="004E0C3A">
        <w:rPr>
          <w:rFonts w:ascii="Times New Roman" w:eastAsia="標楷體"/>
          <w:spacing w:val="0"/>
          <w:sz w:val="24"/>
          <w:szCs w:val="24"/>
        </w:rPr>
        <w:t xml:space="preserve">. </w:t>
      </w:r>
      <w:r w:rsidR="00EF7BE4">
        <w:rPr>
          <w:rFonts w:ascii="Times New Roman" w:eastAsia="標楷體" w:hint="eastAsia"/>
          <w:spacing w:val="0"/>
          <w:sz w:val="24"/>
          <w:szCs w:val="24"/>
        </w:rPr>
        <w:t xml:space="preserve">The Bank </w:t>
      </w:r>
      <w:r w:rsidR="00EF7BE4">
        <w:rPr>
          <w:rFonts w:ascii="Times New Roman" w:eastAsia="標楷體"/>
          <w:spacing w:val="0"/>
          <w:sz w:val="24"/>
          <w:szCs w:val="24"/>
        </w:rPr>
        <w:t xml:space="preserve">expected that Taiwan would record negative real export growth for this year. </w:t>
      </w:r>
      <w:r w:rsidR="00895FAD">
        <w:rPr>
          <w:rFonts w:ascii="Times New Roman" w:eastAsia="標楷體"/>
          <w:spacing w:val="0"/>
          <w:sz w:val="24"/>
          <w:szCs w:val="24"/>
        </w:rPr>
        <w:t xml:space="preserve"> </w:t>
      </w:r>
    </w:p>
    <w:p w:rsidR="007E781C" w:rsidRDefault="004C1701" w:rsidP="00AB3F0A">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Regarding priv</w:t>
      </w:r>
      <w:r w:rsidR="00AB3F0A">
        <w:rPr>
          <w:rFonts w:ascii="Times New Roman" w:eastAsia="標楷體" w:hint="eastAsia"/>
          <w:spacing w:val="0"/>
          <w:sz w:val="24"/>
          <w:szCs w:val="24"/>
        </w:rPr>
        <w:t>ate investment, continued increases</w:t>
      </w:r>
      <w:r>
        <w:rPr>
          <w:rFonts w:ascii="Times New Roman" w:eastAsia="標楷體" w:hint="eastAsia"/>
          <w:spacing w:val="0"/>
          <w:sz w:val="24"/>
          <w:szCs w:val="24"/>
        </w:rPr>
        <w:t xml:space="preserve"> in capital equipment imports and </w:t>
      </w:r>
      <w:r>
        <w:rPr>
          <w:rFonts w:ascii="Times New Roman" w:eastAsia="標楷體"/>
          <w:spacing w:val="0"/>
          <w:sz w:val="24"/>
          <w:szCs w:val="24"/>
        </w:rPr>
        <w:t>the government’s</w:t>
      </w:r>
      <w:r w:rsidR="00AB3F0A">
        <w:rPr>
          <w:rFonts w:ascii="Times New Roman" w:eastAsia="標楷體" w:hint="eastAsia"/>
          <w:spacing w:val="0"/>
          <w:sz w:val="24"/>
          <w:szCs w:val="24"/>
        </w:rPr>
        <w:t xml:space="preserve"> </w:t>
      </w:r>
      <w:r w:rsidR="00AB3F0A">
        <w:rPr>
          <w:rFonts w:ascii="Times New Roman" w:eastAsia="標楷體"/>
          <w:spacing w:val="0"/>
          <w:sz w:val="24"/>
          <w:szCs w:val="24"/>
        </w:rPr>
        <w:t>“</w:t>
      </w:r>
      <w:r w:rsidR="00AB3F0A" w:rsidRPr="00AB3F0A">
        <w:rPr>
          <w:rFonts w:ascii="Times New Roman" w:eastAsia="標楷體"/>
          <w:spacing w:val="0"/>
          <w:sz w:val="24"/>
          <w:szCs w:val="24"/>
        </w:rPr>
        <w:t>Three Major Programs for Investing in Taiwan”</w:t>
      </w:r>
      <w:r w:rsidR="00AB3F0A">
        <w:rPr>
          <w:rFonts w:ascii="Times New Roman" w:eastAsia="標楷體" w:hint="eastAsia"/>
          <w:spacing w:val="0"/>
          <w:sz w:val="24"/>
          <w:szCs w:val="24"/>
        </w:rPr>
        <w:t xml:space="preserve"> </w:t>
      </w:r>
      <w:r w:rsidR="00AB3F0A">
        <w:rPr>
          <w:rFonts w:ascii="Times New Roman" w:eastAsia="標楷體"/>
          <w:spacing w:val="0"/>
          <w:sz w:val="24"/>
          <w:szCs w:val="24"/>
        </w:rPr>
        <w:t>would provide support to this part of the economy with steady growth expected in the second half of the year. For the year as a whole, the Bank forecasted mild real growth in private investment, taking into account the pandemic’s</w:t>
      </w:r>
      <w:r w:rsidR="00C929D2">
        <w:rPr>
          <w:rFonts w:ascii="Times New Roman" w:eastAsia="標楷體"/>
          <w:spacing w:val="0"/>
          <w:sz w:val="24"/>
          <w:szCs w:val="24"/>
        </w:rPr>
        <w:t xml:space="preserve"> implications for</w:t>
      </w:r>
      <w:r w:rsidR="00AB3F0A">
        <w:rPr>
          <w:rFonts w:ascii="Times New Roman" w:eastAsia="標楷體"/>
          <w:spacing w:val="0"/>
          <w:sz w:val="24"/>
          <w:szCs w:val="24"/>
        </w:rPr>
        <w:t xml:space="preserve"> firms’ production and investment plans as well as a higher base </w:t>
      </w:r>
      <w:r w:rsidR="00AB3F0A">
        <w:rPr>
          <w:rFonts w:ascii="Times New Roman" w:eastAsia="標楷體"/>
          <w:spacing w:val="0"/>
          <w:sz w:val="24"/>
          <w:szCs w:val="24"/>
        </w:rPr>
        <w:lastRenderedPageBreak/>
        <w:t xml:space="preserve">effect. </w:t>
      </w:r>
    </w:p>
    <w:p w:rsidR="002A4C00" w:rsidRPr="009629F5" w:rsidRDefault="00C929D2" w:rsidP="00933951">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Private consumption contracted in the first half of the year because of the </w:t>
      </w:r>
      <w:r w:rsidR="008A3B12">
        <w:rPr>
          <w:rFonts w:ascii="Times New Roman" w:eastAsia="標楷體"/>
          <w:spacing w:val="0"/>
          <w:sz w:val="24"/>
          <w:szCs w:val="24"/>
        </w:rPr>
        <w:t>pandemic</w:t>
      </w:r>
      <w:r>
        <w:rPr>
          <w:rFonts w:ascii="Times New Roman" w:eastAsia="標楷體"/>
          <w:spacing w:val="0"/>
          <w:sz w:val="24"/>
          <w:szCs w:val="24"/>
        </w:rPr>
        <w:t>,</w:t>
      </w:r>
      <w:r>
        <w:rPr>
          <w:rFonts w:ascii="Times New Roman" w:eastAsia="標楷體" w:hint="eastAsia"/>
          <w:spacing w:val="0"/>
          <w:sz w:val="24"/>
          <w:szCs w:val="24"/>
        </w:rPr>
        <w:t xml:space="preserve"> but </w:t>
      </w:r>
      <w:r w:rsidR="00F13975">
        <w:rPr>
          <w:rFonts w:ascii="Times New Roman" w:eastAsia="標楷體"/>
          <w:spacing w:val="0"/>
          <w:sz w:val="24"/>
          <w:szCs w:val="24"/>
        </w:rPr>
        <w:t>wa</w:t>
      </w:r>
      <w:r>
        <w:rPr>
          <w:rFonts w:ascii="Times New Roman" w:eastAsia="標楷體" w:hint="eastAsia"/>
          <w:spacing w:val="0"/>
          <w:sz w:val="24"/>
          <w:szCs w:val="24"/>
        </w:rPr>
        <w:t xml:space="preserve">s expected to resume </w:t>
      </w:r>
      <w:r>
        <w:rPr>
          <w:rFonts w:ascii="Times New Roman" w:eastAsia="標楷體"/>
          <w:spacing w:val="0"/>
          <w:sz w:val="24"/>
          <w:szCs w:val="24"/>
        </w:rPr>
        <w:t>positive</w:t>
      </w:r>
      <w:r>
        <w:rPr>
          <w:rFonts w:ascii="Times New Roman" w:eastAsia="標楷體" w:hint="eastAsia"/>
          <w:spacing w:val="0"/>
          <w:sz w:val="24"/>
          <w:szCs w:val="24"/>
        </w:rPr>
        <w:t xml:space="preserve"> </w:t>
      </w:r>
      <w:r>
        <w:rPr>
          <w:rFonts w:ascii="Times New Roman" w:eastAsia="標楷體"/>
          <w:spacing w:val="0"/>
          <w:sz w:val="24"/>
          <w:szCs w:val="24"/>
        </w:rPr>
        <w:t xml:space="preserve">growth in the second half year with the pandemic under </w:t>
      </w:r>
      <w:r w:rsidR="00BB1C44">
        <w:rPr>
          <w:rFonts w:ascii="Times New Roman" w:eastAsia="標楷體"/>
          <w:spacing w:val="0"/>
          <w:sz w:val="24"/>
          <w:szCs w:val="24"/>
        </w:rPr>
        <w:t>sound</w:t>
      </w:r>
      <w:r w:rsidR="00A2471F">
        <w:rPr>
          <w:rFonts w:ascii="Times New Roman" w:eastAsia="標楷體"/>
          <w:spacing w:val="0"/>
          <w:sz w:val="24"/>
          <w:szCs w:val="24"/>
        </w:rPr>
        <w:t xml:space="preserve"> </w:t>
      </w:r>
      <w:r w:rsidR="00A40259">
        <w:rPr>
          <w:rFonts w:ascii="Times New Roman" w:eastAsia="標楷體"/>
          <w:spacing w:val="0"/>
          <w:sz w:val="24"/>
          <w:szCs w:val="24"/>
        </w:rPr>
        <w:t xml:space="preserve">control and government stimulus programs under way. </w:t>
      </w:r>
      <w:r w:rsidR="00A2471F">
        <w:rPr>
          <w:rFonts w:ascii="Times New Roman" w:eastAsia="標楷體"/>
          <w:spacing w:val="0"/>
          <w:sz w:val="24"/>
          <w:szCs w:val="24"/>
        </w:rPr>
        <w:t>The Bank projected</w:t>
      </w:r>
      <w:r w:rsidR="00A2471F" w:rsidRPr="009629F5">
        <w:rPr>
          <w:rFonts w:ascii="Times New Roman" w:eastAsia="標楷體"/>
          <w:spacing w:val="0"/>
          <w:sz w:val="24"/>
          <w:szCs w:val="24"/>
        </w:rPr>
        <w:t xml:space="preserve"> that, given the slump in the first half year, real private consumption growth for the year as a whole would remain in negative territory, albeit to a lesser degree</w:t>
      </w:r>
      <w:r w:rsidR="009629F5">
        <w:rPr>
          <w:rFonts w:ascii="Times New Roman" w:eastAsia="標楷體" w:hint="eastAsia"/>
          <w:spacing w:val="0"/>
          <w:sz w:val="24"/>
          <w:szCs w:val="24"/>
        </w:rPr>
        <w:t>.</w:t>
      </w:r>
      <w:r w:rsidR="00A2471F" w:rsidRPr="009629F5">
        <w:rPr>
          <w:rFonts w:ascii="Times New Roman" w:eastAsia="標楷體"/>
          <w:spacing w:val="0"/>
          <w:sz w:val="24"/>
          <w:szCs w:val="24"/>
        </w:rPr>
        <w:t xml:space="preserve"> </w:t>
      </w:r>
    </w:p>
    <w:p w:rsidR="00E252B1" w:rsidRDefault="008A3B12" w:rsidP="007E781C">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Meanwhi</w:t>
      </w:r>
      <w:r>
        <w:rPr>
          <w:rFonts w:ascii="Times New Roman" w:eastAsia="標楷體"/>
          <w:spacing w:val="0"/>
          <w:sz w:val="24"/>
          <w:szCs w:val="24"/>
        </w:rPr>
        <w:t>le, labor market conditions tightened amid the coronavirus outbreak. The unemployment rate rose, the number of employed persons decreased, and</w:t>
      </w:r>
      <w:r w:rsidR="0011233A">
        <w:rPr>
          <w:rFonts w:ascii="Times New Roman" w:eastAsia="標楷體"/>
          <w:spacing w:val="0"/>
          <w:sz w:val="24"/>
          <w:szCs w:val="24"/>
        </w:rPr>
        <w:t xml:space="preserve"> the number of</w:t>
      </w:r>
      <w:r>
        <w:rPr>
          <w:rFonts w:ascii="Times New Roman" w:eastAsia="標楷體"/>
          <w:spacing w:val="0"/>
          <w:sz w:val="24"/>
          <w:szCs w:val="24"/>
        </w:rPr>
        <w:t xml:space="preserve"> </w:t>
      </w:r>
      <w:r w:rsidR="0011233A">
        <w:rPr>
          <w:rFonts w:ascii="Times New Roman" w:eastAsia="標楷體"/>
          <w:spacing w:val="0"/>
          <w:sz w:val="24"/>
          <w:szCs w:val="24"/>
        </w:rPr>
        <w:t xml:space="preserve">furloughed employees increased.  </w:t>
      </w:r>
    </w:p>
    <w:p w:rsidR="0067249E" w:rsidRDefault="000300B0" w:rsidP="00933951">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As the coronavirus </w:t>
      </w:r>
      <w:r>
        <w:rPr>
          <w:rFonts w:ascii="Times New Roman" w:eastAsia="標楷體"/>
          <w:spacing w:val="0"/>
          <w:sz w:val="24"/>
          <w:szCs w:val="24"/>
        </w:rPr>
        <w:t xml:space="preserve">caused </w:t>
      </w:r>
      <w:r>
        <w:rPr>
          <w:rFonts w:ascii="Times New Roman" w:eastAsia="標楷體" w:hint="eastAsia"/>
          <w:spacing w:val="0"/>
          <w:sz w:val="24"/>
          <w:szCs w:val="24"/>
        </w:rPr>
        <w:t xml:space="preserve">uncertainties </w:t>
      </w:r>
      <w:r>
        <w:rPr>
          <w:rFonts w:ascii="Times New Roman" w:eastAsia="標楷體"/>
          <w:spacing w:val="0"/>
          <w:sz w:val="24"/>
          <w:szCs w:val="24"/>
        </w:rPr>
        <w:t xml:space="preserve">to </w:t>
      </w:r>
      <w:r w:rsidR="00BB1C44">
        <w:rPr>
          <w:rFonts w:ascii="Times New Roman" w:eastAsia="標楷體"/>
          <w:spacing w:val="0"/>
          <w:sz w:val="24"/>
          <w:szCs w:val="24"/>
        </w:rPr>
        <w:t>elevate</w:t>
      </w:r>
      <w:r>
        <w:rPr>
          <w:rFonts w:ascii="Times New Roman" w:eastAsia="標楷體"/>
          <w:spacing w:val="0"/>
          <w:sz w:val="24"/>
          <w:szCs w:val="24"/>
        </w:rPr>
        <w:t xml:space="preserve"> for the domestic economy, the government responded proactively by adopting expansionary fiscal policies and launching relief and stimulus measures. The Bank also eased its monetary policy stance with a rate cut and a special re-accommodation facility to help small and medium-sized enterprises obtain low-</w:t>
      </w:r>
      <w:r w:rsidR="00BB1C44">
        <w:rPr>
          <w:rFonts w:ascii="Times New Roman" w:eastAsia="標楷體"/>
          <w:spacing w:val="0"/>
          <w:sz w:val="24"/>
          <w:szCs w:val="24"/>
        </w:rPr>
        <w:t>cost</w:t>
      </w:r>
      <w:r>
        <w:rPr>
          <w:rFonts w:ascii="Times New Roman" w:eastAsia="標楷體"/>
          <w:spacing w:val="0"/>
          <w:sz w:val="24"/>
          <w:szCs w:val="24"/>
        </w:rPr>
        <w:t xml:space="preserve"> funding</w:t>
      </w:r>
      <w:r w:rsidR="00050C0E">
        <w:rPr>
          <w:rFonts w:ascii="Times New Roman" w:eastAsia="標楷體"/>
          <w:spacing w:val="0"/>
          <w:sz w:val="24"/>
          <w:szCs w:val="24"/>
        </w:rPr>
        <w:t xml:space="preserve"> </w:t>
      </w:r>
      <w:r w:rsidR="002B33A6">
        <w:rPr>
          <w:rFonts w:ascii="Times New Roman" w:eastAsia="標楷體"/>
          <w:spacing w:val="0"/>
          <w:sz w:val="24"/>
          <w:szCs w:val="24"/>
        </w:rPr>
        <w:t>so as to buttress</w:t>
      </w:r>
      <w:r w:rsidR="00050C0E">
        <w:rPr>
          <w:rFonts w:ascii="Times New Roman" w:eastAsia="標楷體"/>
          <w:spacing w:val="0"/>
          <w:sz w:val="24"/>
          <w:szCs w:val="24"/>
        </w:rPr>
        <w:t xml:space="preserve"> pandemic-hit econom</w:t>
      </w:r>
      <w:r w:rsidR="00F13975">
        <w:rPr>
          <w:rFonts w:ascii="Times New Roman" w:eastAsia="標楷體"/>
          <w:spacing w:val="0"/>
          <w:sz w:val="24"/>
          <w:szCs w:val="24"/>
        </w:rPr>
        <w:t>ic</w:t>
      </w:r>
      <w:r w:rsidR="00050C0E">
        <w:rPr>
          <w:rFonts w:ascii="Times New Roman" w:eastAsia="標楷體"/>
          <w:spacing w:val="0"/>
          <w:sz w:val="24"/>
          <w:szCs w:val="24"/>
        </w:rPr>
        <w:t xml:space="preserve"> activity. </w:t>
      </w:r>
      <w:r w:rsidR="002B33A6">
        <w:rPr>
          <w:rFonts w:ascii="Times New Roman" w:eastAsia="標楷體" w:hint="eastAsia"/>
          <w:spacing w:val="0"/>
          <w:sz w:val="24"/>
          <w:szCs w:val="24"/>
        </w:rPr>
        <w:t>G</w:t>
      </w:r>
      <w:r w:rsidR="003554A2">
        <w:rPr>
          <w:rFonts w:ascii="Times New Roman" w:eastAsia="標楷體"/>
          <w:spacing w:val="0"/>
          <w:sz w:val="24"/>
          <w:szCs w:val="24"/>
        </w:rPr>
        <w:t xml:space="preserve">iven the results of such policy responses and the receding coronavirus threat, the Bank expected that, in the second half of the year, domestic demand would grow moderately, contraction in exports would narrow, and Taiwan’s economic growth would gather pace quarter by quarter. </w:t>
      </w:r>
      <w:r w:rsidR="00EB3AD3">
        <w:rPr>
          <w:rFonts w:ascii="Times New Roman" w:eastAsia="標楷體"/>
          <w:spacing w:val="0"/>
          <w:sz w:val="24"/>
          <w:szCs w:val="24"/>
        </w:rPr>
        <w:t xml:space="preserve">GDP </w:t>
      </w:r>
      <w:r w:rsidR="00F8145E" w:rsidRPr="00F8145E">
        <w:rPr>
          <w:rFonts w:ascii="Times New Roman" w:eastAsia="標楷體"/>
          <w:spacing w:val="0"/>
          <w:sz w:val="24"/>
          <w:szCs w:val="24"/>
        </w:rPr>
        <w:t xml:space="preserve">growth projections made by major forecasting institutions for Taiwan this year ranged between </w:t>
      </w:r>
      <w:r w:rsidR="00EB3AD3">
        <w:rPr>
          <w:rFonts w:ascii="Times New Roman" w:eastAsia="標楷體"/>
          <w:spacing w:val="0"/>
          <w:sz w:val="24"/>
          <w:szCs w:val="24"/>
        </w:rPr>
        <w:t>-</w:t>
      </w:r>
      <w:r w:rsidR="00F8145E" w:rsidRPr="00F8145E">
        <w:rPr>
          <w:rFonts w:ascii="Times New Roman" w:eastAsia="標楷體"/>
          <w:spacing w:val="0"/>
          <w:sz w:val="24"/>
          <w:szCs w:val="24"/>
        </w:rPr>
        <w:t>1.</w:t>
      </w:r>
      <w:r w:rsidR="00EB3AD3">
        <w:rPr>
          <w:rFonts w:ascii="Times New Roman" w:eastAsia="標楷體"/>
          <w:spacing w:val="0"/>
          <w:sz w:val="24"/>
          <w:szCs w:val="24"/>
        </w:rPr>
        <w:t>40</w:t>
      </w:r>
      <w:r w:rsidR="00F8145E" w:rsidRPr="00F8145E">
        <w:rPr>
          <w:rFonts w:ascii="Times New Roman" w:eastAsia="標楷體"/>
          <w:spacing w:val="0"/>
          <w:sz w:val="24"/>
          <w:szCs w:val="24"/>
        </w:rPr>
        <w:t xml:space="preserve">% and </w:t>
      </w:r>
      <w:r w:rsidR="00EB3AD3">
        <w:rPr>
          <w:rFonts w:ascii="Times New Roman" w:eastAsia="標楷體"/>
          <w:spacing w:val="0"/>
          <w:sz w:val="24"/>
          <w:szCs w:val="24"/>
        </w:rPr>
        <w:t>1</w:t>
      </w:r>
      <w:r w:rsidR="00F8145E" w:rsidRPr="00F8145E">
        <w:rPr>
          <w:rFonts w:ascii="Times New Roman" w:eastAsia="標楷體"/>
          <w:spacing w:val="0"/>
          <w:sz w:val="24"/>
          <w:szCs w:val="24"/>
        </w:rPr>
        <w:t>.</w:t>
      </w:r>
      <w:r w:rsidR="00EB3AD3">
        <w:rPr>
          <w:rFonts w:ascii="Times New Roman" w:eastAsia="標楷體"/>
          <w:spacing w:val="0"/>
          <w:sz w:val="24"/>
          <w:szCs w:val="24"/>
        </w:rPr>
        <w:t>70</w:t>
      </w:r>
      <w:r w:rsidR="00F8145E" w:rsidRPr="00F8145E">
        <w:rPr>
          <w:rFonts w:ascii="Times New Roman" w:eastAsia="標楷體"/>
          <w:spacing w:val="0"/>
          <w:sz w:val="24"/>
          <w:szCs w:val="24"/>
        </w:rPr>
        <w:t>%</w:t>
      </w:r>
      <w:r w:rsidR="00EB3AD3">
        <w:rPr>
          <w:rFonts w:ascii="Times New Roman" w:eastAsia="標楷體"/>
          <w:spacing w:val="0"/>
          <w:sz w:val="24"/>
          <w:szCs w:val="24"/>
        </w:rPr>
        <w:t xml:space="preserve">, </w:t>
      </w:r>
      <w:r w:rsidR="00EB3AD3" w:rsidRPr="0067249E">
        <w:rPr>
          <w:rFonts w:ascii="Times New Roman" w:eastAsia="標楷體"/>
          <w:spacing w:val="0"/>
          <w:sz w:val="24"/>
          <w:szCs w:val="24"/>
        </w:rPr>
        <w:t>lower than the 2.71% expansion registered last year</w:t>
      </w:r>
      <w:r w:rsidR="0067249E">
        <w:rPr>
          <w:rFonts w:ascii="Times New Roman" w:eastAsia="標楷體"/>
          <w:spacing w:val="0"/>
          <w:sz w:val="24"/>
          <w:szCs w:val="24"/>
        </w:rPr>
        <w:t xml:space="preserve">. </w:t>
      </w:r>
      <w:r w:rsidR="0067249E">
        <w:rPr>
          <w:rFonts w:ascii="Times New Roman" w:eastAsia="標楷體" w:hint="eastAsia"/>
          <w:spacing w:val="0"/>
          <w:sz w:val="24"/>
          <w:szCs w:val="24"/>
        </w:rPr>
        <w:t xml:space="preserve">In addition, </w:t>
      </w:r>
      <w:r w:rsidR="0067249E">
        <w:rPr>
          <w:rFonts w:ascii="Times New Roman" w:eastAsia="標楷體"/>
          <w:spacing w:val="0"/>
          <w:sz w:val="24"/>
          <w:szCs w:val="24"/>
        </w:rPr>
        <w:t xml:space="preserve">Taiwan was among the few economies projected to be able to register positive growth this year, </w:t>
      </w:r>
      <w:r w:rsidR="00882C51">
        <w:rPr>
          <w:rFonts w:ascii="Times New Roman" w:eastAsia="標楷體"/>
          <w:spacing w:val="0"/>
          <w:sz w:val="24"/>
          <w:szCs w:val="24"/>
        </w:rPr>
        <w:t xml:space="preserve">outperforming </w:t>
      </w:r>
      <w:r w:rsidR="0067249E">
        <w:rPr>
          <w:rFonts w:ascii="Times New Roman" w:eastAsia="標楷體"/>
          <w:spacing w:val="0"/>
          <w:sz w:val="24"/>
          <w:szCs w:val="24"/>
        </w:rPr>
        <w:t xml:space="preserve">many other economies </w:t>
      </w:r>
      <w:r w:rsidR="00882C51">
        <w:rPr>
          <w:rFonts w:ascii="Times New Roman" w:eastAsia="標楷體"/>
          <w:spacing w:val="0"/>
          <w:sz w:val="24"/>
          <w:szCs w:val="24"/>
        </w:rPr>
        <w:t>whose</w:t>
      </w:r>
      <w:r w:rsidR="0067249E">
        <w:rPr>
          <w:rFonts w:ascii="Times New Roman" w:eastAsia="標楷體"/>
          <w:spacing w:val="0"/>
          <w:sz w:val="24"/>
          <w:szCs w:val="24"/>
        </w:rPr>
        <w:t xml:space="preserve"> </w:t>
      </w:r>
      <w:r w:rsidR="00882C51">
        <w:rPr>
          <w:rFonts w:ascii="Times New Roman" w:eastAsia="標楷體"/>
          <w:spacing w:val="0"/>
          <w:sz w:val="24"/>
          <w:szCs w:val="24"/>
        </w:rPr>
        <w:t xml:space="preserve">respective </w:t>
      </w:r>
      <w:r w:rsidR="0067249E">
        <w:rPr>
          <w:rFonts w:ascii="Times New Roman" w:eastAsia="標楷體"/>
          <w:spacing w:val="0"/>
          <w:sz w:val="24"/>
          <w:szCs w:val="24"/>
        </w:rPr>
        <w:t>official forecasts point</w:t>
      </w:r>
      <w:r w:rsidR="006C38A8">
        <w:rPr>
          <w:rFonts w:ascii="Times New Roman" w:eastAsia="標楷體"/>
          <w:spacing w:val="0"/>
          <w:sz w:val="24"/>
          <w:szCs w:val="24"/>
        </w:rPr>
        <w:t>ed</w:t>
      </w:r>
      <w:r w:rsidR="0067249E">
        <w:rPr>
          <w:rFonts w:ascii="Times New Roman" w:eastAsia="標楷體"/>
          <w:spacing w:val="0"/>
          <w:sz w:val="24"/>
          <w:szCs w:val="24"/>
        </w:rPr>
        <w:t xml:space="preserve"> to economic contraction. </w:t>
      </w:r>
    </w:p>
    <w:p w:rsidR="00750B45" w:rsidRPr="007F6F77" w:rsidRDefault="00882C51" w:rsidP="00FA173A">
      <w:pPr>
        <w:adjustRightInd/>
        <w:spacing w:before="120" w:line="440" w:lineRule="exact"/>
        <w:textAlignment w:val="auto"/>
        <w:rPr>
          <w:rFonts w:eastAsia="標楷體"/>
          <w:spacing w:val="-2"/>
          <w:sz w:val="28"/>
          <w:szCs w:val="24"/>
        </w:rPr>
      </w:pPr>
      <w:r w:rsidRPr="007F6F77">
        <w:rPr>
          <w:rFonts w:eastAsia="標楷體" w:hint="eastAsia"/>
          <w:spacing w:val="-2"/>
          <w:sz w:val="24"/>
          <w:szCs w:val="28"/>
        </w:rPr>
        <w:t xml:space="preserve"> </w:t>
      </w:r>
      <w:r w:rsidR="00D46F1E" w:rsidRPr="007F6F77">
        <w:rPr>
          <w:rFonts w:eastAsia="標楷體" w:hint="eastAsia"/>
          <w:spacing w:val="-2"/>
          <w:sz w:val="24"/>
          <w:szCs w:val="28"/>
        </w:rPr>
        <w:t>(2) Financial conditions</w:t>
      </w:r>
      <w:r w:rsidR="00590406" w:rsidRPr="007F6F77">
        <w:rPr>
          <w:rFonts w:eastAsia="標楷體"/>
          <w:spacing w:val="-2"/>
          <w:sz w:val="28"/>
          <w:szCs w:val="24"/>
        </w:rPr>
        <w:t xml:space="preserve"> </w:t>
      </w:r>
    </w:p>
    <w:p w:rsidR="00A842EE" w:rsidRDefault="00A842EE" w:rsidP="00882C51">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Domestic</w:t>
      </w:r>
      <w:r w:rsidR="00882C51">
        <w:rPr>
          <w:rFonts w:ascii="Times New Roman" w:eastAsia="標楷體" w:hint="eastAsia"/>
          <w:spacing w:val="0"/>
          <w:sz w:val="24"/>
          <w:szCs w:val="24"/>
        </w:rPr>
        <w:t xml:space="preserve"> short-term interest rates moved down</w:t>
      </w:r>
      <w:r w:rsidR="00882C51">
        <w:rPr>
          <w:rFonts w:ascii="Times New Roman" w:eastAsia="標楷體"/>
          <w:spacing w:val="0"/>
          <w:sz w:val="24"/>
          <w:szCs w:val="24"/>
        </w:rPr>
        <w:t>wards</w:t>
      </w:r>
      <w:r w:rsidR="00882C51">
        <w:rPr>
          <w:rFonts w:ascii="Times New Roman" w:eastAsia="標楷體" w:hint="eastAsia"/>
          <w:spacing w:val="0"/>
          <w:sz w:val="24"/>
          <w:szCs w:val="24"/>
        </w:rPr>
        <w:t xml:space="preserve"> following the </w:t>
      </w:r>
      <w:r w:rsidR="00882C51">
        <w:rPr>
          <w:rFonts w:ascii="Times New Roman" w:eastAsia="標楷體"/>
          <w:spacing w:val="0"/>
          <w:sz w:val="24"/>
          <w:szCs w:val="24"/>
        </w:rPr>
        <w:t xml:space="preserve">Bank’s </w:t>
      </w:r>
      <w:r w:rsidR="006C38A8">
        <w:rPr>
          <w:rFonts w:ascii="Times New Roman" w:eastAsia="標楷體"/>
          <w:spacing w:val="0"/>
          <w:sz w:val="24"/>
          <w:szCs w:val="24"/>
        </w:rPr>
        <w:t>25-basis-point</w:t>
      </w:r>
      <w:r w:rsidR="00882C51">
        <w:rPr>
          <w:rFonts w:ascii="Times New Roman" w:eastAsia="標楷體"/>
          <w:spacing w:val="0"/>
          <w:sz w:val="24"/>
          <w:szCs w:val="24"/>
        </w:rPr>
        <w:t xml:space="preserve"> rate cut </w:t>
      </w:r>
      <w:r w:rsidR="006C38A8">
        <w:rPr>
          <w:rFonts w:ascii="Times New Roman" w:eastAsia="標楷體"/>
          <w:spacing w:val="0"/>
          <w:sz w:val="24"/>
          <w:szCs w:val="24"/>
        </w:rPr>
        <w:t>in March</w:t>
      </w:r>
      <w:r w:rsidR="00882C51">
        <w:rPr>
          <w:rFonts w:ascii="Times New Roman" w:eastAsia="標楷體"/>
          <w:spacing w:val="0"/>
          <w:sz w:val="24"/>
          <w:szCs w:val="24"/>
        </w:rPr>
        <w:t xml:space="preserve">. Recent data showed market liquidity was ample and </w:t>
      </w:r>
      <w:r w:rsidRPr="00A842EE">
        <w:rPr>
          <w:rFonts w:ascii="Times New Roman" w:eastAsia="標楷體"/>
          <w:spacing w:val="0"/>
          <w:sz w:val="24"/>
          <w:szCs w:val="24"/>
        </w:rPr>
        <w:t xml:space="preserve">the </w:t>
      </w:r>
      <w:r w:rsidR="00882C51">
        <w:rPr>
          <w:rFonts w:ascii="Times New Roman" w:eastAsia="標楷體"/>
          <w:spacing w:val="0"/>
          <w:sz w:val="24"/>
          <w:szCs w:val="24"/>
        </w:rPr>
        <w:t xml:space="preserve">average </w:t>
      </w:r>
      <w:r w:rsidRPr="00A842EE">
        <w:rPr>
          <w:rFonts w:ascii="Times New Roman" w:eastAsia="標楷體"/>
          <w:spacing w:val="0"/>
          <w:sz w:val="24"/>
          <w:szCs w:val="24"/>
        </w:rPr>
        <w:t>level of bank excess reserves stayed around NT$</w:t>
      </w:r>
      <w:r w:rsidR="00882C51">
        <w:rPr>
          <w:rFonts w:ascii="Times New Roman" w:eastAsia="標楷體"/>
          <w:spacing w:val="0"/>
          <w:sz w:val="24"/>
          <w:szCs w:val="24"/>
        </w:rPr>
        <w:t>60</w:t>
      </w:r>
      <w:r w:rsidRPr="00A842EE">
        <w:rPr>
          <w:rFonts w:ascii="Times New Roman" w:eastAsia="標楷體"/>
          <w:spacing w:val="0"/>
          <w:sz w:val="24"/>
          <w:szCs w:val="24"/>
        </w:rPr>
        <w:t xml:space="preserve"> billion</w:t>
      </w:r>
      <w:r>
        <w:rPr>
          <w:rFonts w:ascii="Times New Roman" w:eastAsia="標楷體" w:hint="eastAsia"/>
          <w:spacing w:val="0"/>
          <w:sz w:val="24"/>
          <w:szCs w:val="24"/>
        </w:rPr>
        <w:t>.</w:t>
      </w:r>
    </w:p>
    <w:p w:rsidR="00882C51" w:rsidRDefault="00A96112" w:rsidP="00882C51">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In terms of money supply, the monetary aggregate M2 increased by 4.39% </w:t>
      </w:r>
      <w:r>
        <w:rPr>
          <w:rFonts w:ascii="Times New Roman" w:eastAsia="標楷體"/>
          <w:spacing w:val="0"/>
          <w:sz w:val="24"/>
          <w:szCs w:val="24"/>
        </w:rPr>
        <w:t xml:space="preserve">on average </w:t>
      </w:r>
      <w:r>
        <w:rPr>
          <w:rFonts w:ascii="Times New Roman" w:eastAsia="標楷體" w:hint="eastAsia"/>
          <w:spacing w:val="0"/>
          <w:sz w:val="24"/>
          <w:szCs w:val="24"/>
        </w:rPr>
        <w:t>for the first four months of the year</w:t>
      </w:r>
      <w:r>
        <w:rPr>
          <w:rFonts w:ascii="Times New Roman" w:eastAsia="標楷體"/>
          <w:spacing w:val="0"/>
          <w:sz w:val="24"/>
          <w:szCs w:val="24"/>
        </w:rPr>
        <w:t xml:space="preserve">, a pace in line with the Bank’s M2 reference range, mainly on account of a smaller net resident capital outflow and faster growth in bank loans and investment. Meanwhile, bank credit had gained momentum since the beginning of the year </w:t>
      </w:r>
      <w:r w:rsidR="00F22C61">
        <w:rPr>
          <w:rFonts w:ascii="Times New Roman" w:eastAsia="標楷體"/>
          <w:spacing w:val="0"/>
          <w:sz w:val="24"/>
          <w:szCs w:val="24"/>
        </w:rPr>
        <w:t xml:space="preserve">from </w:t>
      </w:r>
      <w:r w:rsidR="00B136CC">
        <w:rPr>
          <w:rFonts w:ascii="Times New Roman" w:eastAsia="標楷體"/>
          <w:spacing w:val="0"/>
          <w:sz w:val="24"/>
          <w:szCs w:val="24"/>
        </w:rPr>
        <w:t xml:space="preserve">booming business opportunities in </w:t>
      </w:r>
      <w:r w:rsidR="00B136CC" w:rsidRPr="00B136CC">
        <w:rPr>
          <w:rFonts w:ascii="Times New Roman" w:eastAsia="標楷體"/>
          <w:spacing w:val="0"/>
          <w:sz w:val="24"/>
          <w:szCs w:val="24"/>
        </w:rPr>
        <w:t>5G</w:t>
      </w:r>
      <w:r w:rsidR="00B136CC">
        <w:rPr>
          <w:rFonts w:ascii="Times New Roman" w:eastAsia="標楷體"/>
          <w:spacing w:val="0"/>
          <w:sz w:val="24"/>
          <w:szCs w:val="24"/>
        </w:rPr>
        <w:t xml:space="preserve"> and remote work technologies, the government’s investment </w:t>
      </w:r>
      <w:r w:rsidR="00B136CC">
        <w:rPr>
          <w:rFonts w:ascii="Times New Roman" w:eastAsia="標楷體"/>
          <w:spacing w:val="0"/>
          <w:sz w:val="24"/>
          <w:szCs w:val="24"/>
        </w:rPr>
        <w:lastRenderedPageBreak/>
        <w:t xml:space="preserve">promotion </w:t>
      </w:r>
      <w:r w:rsidR="00112ECF">
        <w:rPr>
          <w:rFonts w:ascii="Times New Roman" w:eastAsia="標楷體"/>
          <w:spacing w:val="0"/>
          <w:sz w:val="24"/>
          <w:szCs w:val="24"/>
        </w:rPr>
        <w:t>schemes, and banks’</w:t>
      </w:r>
      <w:r w:rsidR="00B51856">
        <w:rPr>
          <w:rFonts w:ascii="Times New Roman" w:eastAsia="標楷體"/>
          <w:spacing w:val="0"/>
          <w:sz w:val="24"/>
          <w:szCs w:val="24"/>
        </w:rPr>
        <w:t xml:space="preserve"> efforts to </w:t>
      </w:r>
      <w:r w:rsidR="008107D9">
        <w:rPr>
          <w:rFonts w:ascii="Times New Roman" w:eastAsia="標楷體"/>
          <w:spacing w:val="0"/>
          <w:sz w:val="24"/>
          <w:szCs w:val="24"/>
        </w:rPr>
        <w:t>ensure</w:t>
      </w:r>
      <w:r w:rsidR="00B51856">
        <w:rPr>
          <w:rFonts w:ascii="Times New Roman" w:eastAsia="標楷體"/>
          <w:spacing w:val="0"/>
          <w:sz w:val="24"/>
          <w:szCs w:val="24"/>
        </w:rPr>
        <w:t xml:space="preserve"> credit flows</w:t>
      </w:r>
      <w:r w:rsidR="00112ECF">
        <w:rPr>
          <w:rFonts w:ascii="Times New Roman" w:eastAsia="標楷體"/>
          <w:spacing w:val="0"/>
          <w:sz w:val="24"/>
          <w:szCs w:val="24"/>
        </w:rPr>
        <w:t xml:space="preserve"> alongside </w:t>
      </w:r>
      <w:r w:rsidR="008107D9">
        <w:rPr>
          <w:rFonts w:ascii="Times New Roman" w:eastAsia="標楷體"/>
          <w:spacing w:val="0"/>
          <w:sz w:val="24"/>
          <w:szCs w:val="24"/>
        </w:rPr>
        <w:t xml:space="preserve">the </w:t>
      </w:r>
      <w:r w:rsidR="00112ECF">
        <w:rPr>
          <w:rFonts w:ascii="Times New Roman" w:eastAsia="標楷體"/>
          <w:spacing w:val="0"/>
          <w:sz w:val="24"/>
          <w:szCs w:val="24"/>
        </w:rPr>
        <w:t>government</w:t>
      </w:r>
      <w:r w:rsidR="008107D9">
        <w:rPr>
          <w:rFonts w:ascii="Times New Roman" w:eastAsia="標楷體"/>
          <w:spacing w:val="0"/>
          <w:sz w:val="24"/>
          <w:szCs w:val="24"/>
        </w:rPr>
        <w:t>’s relief measures</w:t>
      </w:r>
      <w:r w:rsidR="00112ECF">
        <w:rPr>
          <w:rFonts w:ascii="Times New Roman" w:eastAsia="標楷體"/>
          <w:spacing w:val="0"/>
          <w:sz w:val="24"/>
          <w:szCs w:val="24"/>
        </w:rPr>
        <w:t xml:space="preserve">. </w:t>
      </w:r>
      <w:r w:rsidR="008107D9">
        <w:rPr>
          <w:rFonts w:ascii="Times New Roman" w:eastAsia="標楷體"/>
          <w:spacing w:val="0"/>
          <w:sz w:val="24"/>
          <w:szCs w:val="24"/>
        </w:rPr>
        <w:t>Therefore, l</w:t>
      </w:r>
      <w:r>
        <w:rPr>
          <w:rFonts w:ascii="Times New Roman" w:eastAsia="標楷體"/>
          <w:spacing w:val="0"/>
          <w:sz w:val="24"/>
          <w:szCs w:val="24"/>
        </w:rPr>
        <w:t xml:space="preserve">oans extended by the banking sector increased </w:t>
      </w:r>
      <w:r w:rsidR="00BB1C44">
        <w:rPr>
          <w:rFonts w:ascii="Times New Roman" w:eastAsia="標楷體"/>
          <w:spacing w:val="0"/>
          <w:sz w:val="24"/>
          <w:szCs w:val="24"/>
        </w:rPr>
        <w:t xml:space="preserve">at a </w:t>
      </w:r>
      <w:r>
        <w:rPr>
          <w:rFonts w:ascii="Times New Roman" w:eastAsia="標楷體"/>
          <w:spacing w:val="0"/>
          <w:sz w:val="24"/>
          <w:szCs w:val="24"/>
        </w:rPr>
        <w:t>more rapid</w:t>
      </w:r>
      <w:r w:rsidR="00BB1C44">
        <w:rPr>
          <w:rFonts w:ascii="Times New Roman" w:eastAsia="標楷體"/>
          <w:spacing w:val="0"/>
          <w:sz w:val="24"/>
          <w:szCs w:val="24"/>
        </w:rPr>
        <w:t xml:space="preserve"> rate of</w:t>
      </w:r>
      <w:r>
        <w:rPr>
          <w:rFonts w:ascii="Times New Roman" w:eastAsia="標楷體"/>
          <w:spacing w:val="0"/>
          <w:sz w:val="24"/>
          <w:szCs w:val="24"/>
        </w:rPr>
        <w:t xml:space="preserve"> over 6% at the end of May</w:t>
      </w:r>
      <w:r w:rsidR="008107D9">
        <w:rPr>
          <w:rFonts w:ascii="Times New Roman" w:eastAsia="標楷體"/>
          <w:spacing w:val="0"/>
          <w:sz w:val="24"/>
          <w:szCs w:val="24"/>
        </w:rPr>
        <w:t xml:space="preserve">. These developments indicated ample credit market liquidity to sufficiently support real economic activity. </w:t>
      </w:r>
      <w:r>
        <w:rPr>
          <w:rFonts w:ascii="Times New Roman" w:eastAsia="標楷體"/>
          <w:spacing w:val="0"/>
          <w:sz w:val="24"/>
          <w:szCs w:val="24"/>
        </w:rPr>
        <w:t xml:space="preserve"> </w:t>
      </w:r>
    </w:p>
    <w:p w:rsidR="00882C51" w:rsidRDefault="00422632" w:rsidP="00D569AE">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spacing w:val="0"/>
          <w:sz w:val="24"/>
          <w:szCs w:val="24"/>
        </w:rPr>
        <w:t xml:space="preserve">Turning to the </w:t>
      </w:r>
      <w:r>
        <w:rPr>
          <w:rFonts w:ascii="Times New Roman" w:eastAsia="標楷體" w:hint="eastAsia"/>
          <w:spacing w:val="0"/>
          <w:sz w:val="24"/>
          <w:szCs w:val="24"/>
        </w:rPr>
        <w:t xml:space="preserve">domestic </w:t>
      </w:r>
      <w:r>
        <w:rPr>
          <w:rFonts w:ascii="Times New Roman" w:eastAsia="標楷體"/>
          <w:spacing w:val="0"/>
          <w:sz w:val="24"/>
          <w:szCs w:val="24"/>
        </w:rPr>
        <w:t xml:space="preserve">housing market, prices climbed gradually and transactions increased further during the first quarter of the year. </w:t>
      </w:r>
      <w:r w:rsidR="005B4861">
        <w:rPr>
          <w:rFonts w:ascii="Times New Roman" w:eastAsia="標楷體"/>
          <w:spacing w:val="0"/>
          <w:sz w:val="24"/>
          <w:szCs w:val="24"/>
        </w:rPr>
        <w:t>In</w:t>
      </w:r>
      <w:r>
        <w:rPr>
          <w:rFonts w:ascii="Times New Roman" w:eastAsia="標楷體"/>
          <w:spacing w:val="0"/>
          <w:sz w:val="24"/>
          <w:szCs w:val="24"/>
        </w:rPr>
        <w:t xml:space="preserve"> April and May, however, </w:t>
      </w:r>
      <w:r w:rsidR="00FC6DD1">
        <w:rPr>
          <w:rFonts w:ascii="Times New Roman" w:eastAsia="標楷體"/>
          <w:spacing w:val="0"/>
          <w:sz w:val="24"/>
          <w:szCs w:val="24"/>
        </w:rPr>
        <w:t xml:space="preserve">as </w:t>
      </w:r>
      <w:r>
        <w:rPr>
          <w:rFonts w:ascii="Times New Roman" w:eastAsia="標楷體"/>
          <w:spacing w:val="0"/>
          <w:sz w:val="24"/>
          <w:szCs w:val="24"/>
        </w:rPr>
        <w:t xml:space="preserve">the coronavirus </w:t>
      </w:r>
      <w:r w:rsidR="00FC6DD1">
        <w:rPr>
          <w:rFonts w:ascii="Times New Roman" w:eastAsia="標楷體"/>
          <w:spacing w:val="0"/>
          <w:sz w:val="24"/>
          <w:szCs w:val="24"/>
        </w:rPr>
        <w:t xml:space="preserve">escalated into a global pandemic, housing transactions in the six special municipalities </w:t>
      </w:r>
      <w:r w:rsidR="005B4861">
        <w:rPr>
          <w:rFonts w:ascii="Times New Roman" w:eastAsia="標楷體"/>
          <w:spacing w:val="0"/>
          <w:sz w:val="24"/>
          <w:szCs w:val="24"/>
        </w:rPr>
        <w:t xml:space="preserve">shrank markedly, decreasing by 3.2% year on year during the Jan.-May period. </w:t>
      </w:r>
    </w:p>
    <w:p w:rsidR="005B4861" w:rsidRDefault="005B4861" w:rsidP="005D294B">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Real estate loans </w:t>
      </w:r>
      <w:r w:rsidR="00AC192C">
        <w:rPr>
          <w:rFonts w:ascii="Times New Roman" w:eastAsia="標楷體"/>
          <w:spacing w:val="0"/>
          <w:sz w:val="24"/>
          <w:szCs w:val="24"/>
        </w:rPr>
        <w:t>grew</w:t>
      </w:r>
      <w:r>
        <w:rPr>
          <w:rFonts w:ascii="Times New Roman" w:eastAsia="標楷體" w:hint="eastAsia"/>
          <w:spacing w:val="0"/>
          <w:sz w:val="24"/>
          <w:szCs w:val="24"/>
        </w:rPr>
        <w:t xml:space="preserve"> faster year on year in April and May</w:t>
      </w:r>
      <w:r>
        <w:rPr>
          <w:rFonts w:ascii="Times New Roman" w:eastAsia="標楷體"/>
          <w:spacing w:val="0"/>
          <w:sz w:val="24"/>
          <w:szCs w:val="24"/>
        </w:rPr>
        <w:t xml:space="preserve"> and</w:t>
      </w:r>
      <w:r w:rsidR="00AC192C">
        <w:rPr>
          <w:rFonts w:ascii="Times New Roman" w:eastAsia="標楷體"/>
          <w:spacing w:val="0"/>
          <w:sz w:val="24"/>
          <w:szCs w:val="24"/>
        </w:rPr>
        <w:t xml:space="preserve"> made</w:t>
      </w:r>
      <w:r>
        <w:rPr>
          <w:rFonts w:ascii="Times New Roman" w:eastAsia="標楷體"/>
          <w:spacing w:val="0"/>
          <w:sz w:val="24"/>
          <w:szCs w:val="24"/>
        </w:rPr>
        <w:t xml:space="preserve"> up a share of 35.5% in total bank loans as of the end of April. Lending standards remained relaxed, the average interest rate on newly-extended mortgage loans </w:t>
      </w:r>
      <w:r w:rsidR="00AC192C">
        <w:rPr>
          <w:rFonts w:ascii="Times New Roman" w:eastAsia="標楷體"/>
          <w:spacing w:val="0"/>
          <w:sz w:val="24"/>
          <w:szCs w:val="24"/>
        </w:rPr>
        <w:t xml:space="preserve">dropped in April and the loan-to-value ratio rose. However, asset quality for mortgage loans remained stable. </w:t>
      </w:r>
    </w:p>
    <w:p w:rsidR="00AC192C" w:rsidRDefault="00963BF6" w:rsidP="009629F5">
      <w:pPr>
        <w:adjustRightInd/>
        <w:spacing w:before="120" w:line="440" w:lineRule="exact"/>
        <w:ind w:firstLine="360"/>
        <w:textAlignment w:val="auto"/>
        <w:rPr>
          <w:rFonts w:eastAsia="標楷體"/>
          <w:sz w:val="24"/>
          <w:szCs w:val="24"/>
        </w:rPr>
      </w:pPr>
      <w:r>
        <w:rPr>
          <w:rFonts w:eastAsia="標楷體" w:hint="eastAsia"/>
          <w:sz w:val="24"/>
          <w:szCs w:val="24"/>
        </w:rPr>
        <w:t>With pandemic risks subsiding</w:t>
      </w:r>
      <w:r>
        <w:rPr>
          <w:rFonts w:eastAsia="標楷體"/>
          <w:sz w:val="24"/>
          <w:szCs w:val="24"/>
        </w:rPr>
        <w:t>, homebuilders stepped up new project launches and</w:t>
      </w:r>
      <w:r w:rsidR="00AA29FA">
        <w:rPr>
          <w:rFonts w:eastAsia="標楷體"/>
          <w:sz w:val="24"/>
          <w:szCs w:val="24"/>
        </w:rPr>
        <w:t xml:space="preserve"> </w:t>
      </w:r>
      <w:r w:rsidR="00091D66">
        <w:rPr>
          <w:rFonts w:eastAsia="標楷體"/>
          <w:sz w:val="24"/>
          <w:szCs w:val="24"/>
        </w:rPr>
        <w:t>promotion</w:t>
      </w:r>
      <w:r w:rsidR="00AA29FA">
        <w:rPr>
          <w:rFonts w:eastAsia="標楷體"/>
          <w:sz w:val="24"/>
          <w:szCs w:val="24"/>
        </w:rPr>
        <w:t xml:space="preserve"> campaign</w:t>
      </w:r>
      <w:r>
        <w:rPr>
          <w:rFonts w:eastAsia="標楷體"/>
          <w:sz w:val="24"/>
          <w:szCs w:val="24"/>
        </w:rPr>
        <w:t>s</w:t>
      </w:r>
      <w:r w:rsidR="00AA29FA">
        <w:rPr>
          <w:rFonts w:eastAsia="標楷體"/>
          <w:sz w:val="24"/>
          <w:szCs w:val="24"/>
        </w:rPr>
        <w:t xml:space="preserve">, attracting more prospective homebuyers. </w:t>
      </w:r>
      <w:r w:rsidR="00D34005">
        <w:rPr>
          <w:rFonts w:eastAsia="標楷體"/>
          <w:sz w:val="24"/>
          <w:szCs w:val="24"/>
        </w:rPr>
        <w:t xml:space="preserve">Since banks were beginning to take a more favorable, albeit still cautious, view about the housing market outlook the rebound in property trading could cause bank lending to concentrate increasingly more on real estate loans. </w:t>
      </w:r>
    </w:p>
    <w:p w:rsidR="00750B45" w:rsidRPr="007F6F77" w:rsidRDefault="009629F5" w:rsidP="005D294B">
      <w:pPr>
        <w:adjustRightInd/>
        <w:spacing w:before="120" w:line="440" w:lineRule="exact"/>
        <w:textAlignment w:val="auto"/>
        <w:rPr>
          <w:rFonts w:eastAsia="標楷體"/>
          <w:spacing w:val="-2"/>
          <w:sz w:val="24"/>
          <w:szCs w:val="28"/>
        </w:rPr>
      </w:pPr>
      <w:r w:rsidRPr="007F6F77">
        <w:rPr>
          <w:rFonts w:eastAsia="標楷體" w:hint="eastAsia"/>
          <w:spacing w:val="-2"/>
          <w:sz w:val="24"/>
          <w:szCs w:val="28"/>
        </w:rPr>
        <w:t xml:space="preserve"> </w:t>
      </w:r>
      <w:r w:rsidR="001320BE" w:rsidRPr="007F6F77">
        <w:rPr>
          <w:rFonts w:eastAsia="標楷體" w:hint="eastAsia"/>
          <w:spacing w:val="-2"/>
          <w:sz w:val="24"/>
          <w:szCs w:val="28"/>
        </w:rPr>
        <w:t>(3) Price t</w:t>
      </w:r>
      <w:r w:rsidR="00D46F1E" w:rsidRPr="007F6F77">
        <w:rPr>
          <w:rFonts w:eastAsia="標楷體" w:hint="eastAsia"/>
          <w:spacing w:val="-2"/>
          <w:sz w:val="24"/>
          <w:szCs w:val="28"/>
        </w:rPr>
        <w:t xml:space="preserve">rends </w:t>
      </w:r>
    </w:p>
    <w:p w:rsidR="00016170" w:rsidRDefault="00016170" w:rsidP="008342FB">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The pandemic-</w:t>
      </w:r>
      <w:r>
        <w:rPr>
          <w:rFonts w:ascii="Times New Roman" w:eastAsia="標楷體"/>
          <w:spacing w:val="0"/>
          <w:sz w:val="24"/>
          <w:szCs w:val="24"/>
        </w:rPr>
        <w:t>induced</w:t>
      </w:r>
      <w:r>
        <w:rPr>
          <w:rFonts w:ascii="Times New Roman" w:eastAsia="標楷體" w:hint="eastAsia"/>
          <w:spacing w:val="0"/>
          <w:sz w:val="24"/>
          <w:szCs w:val="24"/>
        </w:rPr>
        <w:t xml:space="preserve"> plunge in international crude oil prices </w:t>
      </w:r>
      <w:r>
        <w:rPr>
          <w:rFonts w:ascii="Times New Roman" w:eastAsia="標楷體"/>
          <w:spacing w:val="0"/>
          <w:sz w:val="24"/>
          <w:szCs w:val="24"/>
        </w:rPr>
        <w:t>drove down domestic energy (e.g., fuel and gas) prices</w:t>
      </w:r>
      <w:r w:rsidR="00091D66">
        <w:rPr>
          <w:rFonts w:ascii="Times New Roman" w:eastAsia="標楷體"/>
          <w:spacing w:val="0"/>
          <w:sz w:val="24"/>
          <w:szCs w:val="24"/>
        </w:rPr>
        <w:t>, and the hospitality industry also used discount offers to appeal to customers</w:t>
      </w:r>
      <w:r>
        <w:rPr>
          <w:rFonts w:ascii="Times New Roman" w:eastAsia="標楷體"/>
          <w:spacing w:val="0"/>
          <w:sz w:val="24"/>
          <w:szCs w:val="24"/>
        </w:rPr>
        <w:t xml:space="preserve">. </w:t>
      </w:r>
      <w:r w:rsidR="00091D66">
        <w:rPr>
          <w:rFonts w:ascii="Times New Roman" w:eastAsia="標楷體"/>
          <w:spacing w:val="0"/>
          <w:sz w:val="24"/>
          <w:szCs w:val="24"/>
        </w:rPr>
        <w:t>As a result,</w:t>
      </w:r>
      <w:r w:rsidR="00012BA7">
        <w:rPr>
          <w:rFonts w:ascii="Times New Roman" w:eastAsia="標楷體"/>
          <w:spacing w:val="0"/>
          <w:sz w:val="24"/>
          <w:szCs w:val="24"/>
        </w:rPr>
        <w:t xml:space="preserve"> the</w:t>
      </w:r>
      <w:r w:rsidR="00012BA7">
        <w:rPr>
          <w:rFonts w:ascii="Times New Roman" w:eastAsia="標楷體" w:hint="eastAsia"/>
          <w:spacing w:val="0"/>
          <w:sz w:val="24"/>
          <w:szCs w:val="24"/>
        </w:rPr>
        <w:t xml:space="preserve"> consumer price index (CPI)</w:t>
      </w:r>
      <w:r w:rsidR="00012BA7">
        <w:rPr>
          <w:rFonts w:ascii="Times New Roman" w:eastAsia="標楷體"/>
          <w:spacing w:val="0"/>
          <w:sz w:val="24"/>
          <w:szCs w:val="24"/>
        </w:rPr>
        <w:t xml:space="preserve"> registered negative year-on-year growth for four months in a row with the May figure dropping to -1.19%. For the first five months of the year, the average CPI annual growth rate was -0.11% mainly owing to low energy prices; the decline was partially offset by rising prices for fruit, rent, and food away-from-home. </w:t>
      </w:r>
      <w:r w:rsidR="001B7054">
        <w:rPr>
          <w:rFonts w:ascii="Times New Roman" w:eastAsia="標楷體" w:hint="eastAsia"/>
          <w:spacing w:val="0"/>
          <w:sz w:val="24"/>
          <w:szCs w:val="24"/>
        </w:rPr>
        <w:t xml:space="preserve">Alongside </w:t>
      </w:r>
      <w:r w:rsidR="001B7054">
        <w:rPr>
          <w:rFonts w:ascii="Times New Roman" w:eastAsia="標楷體"/>
          <w:spacing w:val="0"/>
          <w:sz w:val="24"/>
          <w:szCs w:val="24"/>
        </w:rPr>
        <w:t xml:space="preserve">weak CPI annual growth, indicators for inflation expectations all continued trending down. </w:t>
      </w:r>
    </w:p>
    <w:p w:rsidR="00016170" w:rsidRDefault="00F11D52" w:rsidP="008342FB">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Despite consecutive negative </w:t>
      </w:r>
      <w:r>
        <w:rPr>
          <w:rFonts w:ascii="Times New Roman" w:eastAsia="標楷體"/>
          <w:spacing w:val="0"/>
          <w:sz w:val="24"/>
          <w:szCs w:val="24"/>
        </w:rPr>
        <w:t xml:space="preserve">CPI annual </w:t>
      </w:r>
      <w:r>
        <w:rPr>
          <w:rFonts w:ascii="Times New Roman" w:eastAsia="標楷體" w:hint="eastAsia"/>
          <w:spacing w:val="0"/>
          <w:sz w:val="24"/>
          <w:szCs w:val="24"/>
        </w:rPr>
        <w:t xml:space="preserve">growth </w:t>
      </w:r>
      <w:r>
        <w:rPr>
          <w:rFonts w:ascii="Times New Roman" w:eastAsia="標楷體"/>
          <w:spacing w:val="0"/>
          <w:sz w:val="24"/>
          <w:szCs w:val="24"/>
        </w:rPr>
        <w:t xml:space="preserve">rates in recent months, </w:t>
      </w:r>
      <w:r w:rsidRPr="00F11D52">
        <w:rPr>
          <w:rFonts w:ascii="Times New Roman" w:eastAsia="標楷體"/>
          <w:spacing w:val="0"/>
          <w:sz w:val="24"/>
          <w:szCs w:val="24"/>
        </w:rPr>
        <w:t xml:space="preserve">among the basket of goods and services used in calculating </w:t>
      </w:r>
      <w:r>
        <w:rPr>
          <w:rFonts w:ascii="Times New Roman" w:eastAsia="標楷體"/>
          <w:spacing w:val="0"/>
          <w:sz w:val="24"/>
          <w:szCs w:val="24"/>
        </w:rPr>
        <w:t xml:space="preserve">consumer price changes far more items showed price rises than price falls, indicating </w:t>
      </w:r>
      <w:r w:rsidR="00CB03D4">
        <w:rPr>
          <w:rFonts w:ascii="Times New Roman" w:eastAsia="標楷體"/>
          <w:spacing w:val="0"/>
          <w:sz w:val="24"/>
          <w:szCs w:val="24"/>
        </w:rPr>
        <w:t>that there was barely</w:t>
      </w:r>
      <w:r>
        <w:rPr>
          <w:rFonts w:ascii="Times New Roman" w:eastAsia="標楷體"/>
          <w:spacing w:val="0"/>
          <w:sz w:val="24"/>
          <w:szCs w:val="24"/>
        </w:rPr>
        <w:t xml:space="preserve"> a broad-based price downtrend</w:t>
      </w:r>
      <w:r w:rsidR="00CB03D4">
        <w:rPr>
          <w:rFonts w:ascii="Times New Roman" w:eastAsia="標楷體"/>
          <w:spacing w:val="0"/>
          <w:sz w:val="24"/>
          <w:szCs w:val="24"/>
        </w:rPr>
        <w:t>,</w:t>
      </w:r>
      <w:r>
        <w:rPr>
          <w:rFonts w:ascii="Times New Roman" w:eastAsia="標楷體"/>
          <w:spacing w:val="0"/>
          <w:sz w:val="24"/>
          <w:szCs w:val="24"/>
        </w:rPr>
        <w:t xml:space="preserve"> hence no sign of deflation</w:t>
      </w:r>
      <w:r w:rsidR="002D274C">
        <w:rPr>
          <w:rFonts w:ascii="Times New Roman" w:eastAsia="標楷體"/>
          <w:spacing w:val="0"/>
          <w:sz w:val="24"/>
          <w:szCs w:val="24"/>
        </w:rPr>
        <w:t xml:space="preserve"> here at home</w:t>
      </w:r>
      <w:r>
        <w:rPr>
          <w:rFonts w:ascii="Times New Roman" w:eastAsia="標楷體"/>
          <w:spacing w:val="0"/>
          <w:sz w:val="24"/>
          <w:szCs w:val="24"/>
        </w:rPr>
        <w:t xml:space="preserve">. </w:t>
      </w:r>
    </w:p>
    <w:p w:rsidR="004D27F1" w:rsidRDefault="002D274C" w:rsidP="0021646C">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lastRenderedPageBreak/>
        <w:t xml:space="preserve">As for the inflation outlook, </w:t>
      </w:r>
      <w:r>
        <w:rPr>
          <w:rFonts w:ascii="Times New Roman" w:eastAsia="標楷體"/>
          <w:spacing w:val="0"/>
          <w:sz w:val="24"/>
          <w:szCs w:val="24"/>
        </w:rPr>
        <w:t xml:space="preserve">the Bank forecasted that </w:t>
      </w:r>
      <w:r w:rsidR="0021646C">
        <w:rPr>
          <w:rFonts w:ascii="Times New Roman" w:eastAsia="標楷體"/>
          <w:spacing w:val="0"/>
          <w:sz w:val="24"/>
          <w:szCs w:val="24"/>
        </w:rPr>
        <w:t xml:space="preserve">the CPI annual growth rates would keep trending up </w:t>
      </w:r>
      <w:r>
        <w:rPr>
          <w:rFonts w:ascii="Times New Roman" w:eastAsia="標楷體"/>
          <w:spacing w:val="0"/>
          <w:sz w:val="24"/>
          <w:szCs w:val="24"/>
        </w:rPr>
        <w:t xml:space="preserve">in the remaining two quarters of the year, considering that ebbing pandemic threats </w:t>
      </w:r>
      <w:r w:rsidR="00FE4356">
        <w:rPr>
          <w:rFonts w:ascii="Times New Roman" w:eastAsia="標楷體"/>
          <w:spacing w:val="0"/>
          <w:sz w:val="24"/>
          <w:szCs w:val="24"/>
        </w:rPr>
        <w:t xml:space="preserve">boosted market expectations for a gradual </w:t>
      </w:r>
      <w:r w:rsidR="007D5363">
        <w:rPr>
          <w:rFonts w:ascii="Times New Roman" w:eastAsia="標楷體"/>
          <w:spacing w:val="0"/>
          <w:sz w:val="24"/>
          <w:szCs w:val="24"/>
        </w:rPr>
        <w:t>rebound</w:t>
      </w:r>
      <w:r w:rsidR="00FE4356">
        <w:rPr>
          <w:rFonts w:ascii="Times New Roman" w:eastAsia="標楷體"/>
          <w:spacing w:val="0"/>
          <w:sz w:val="24"/>
          <w:szCs w:val="24"/>
        </w:rPr>
        <w:t xml:space="preserve"> in international oil prices and that domestic consumer spending would likely resume positive growth. </w:t>
      </w:r>
      <w:r w:rsidR="004D27F1">
        <w:rPr>
          <w:rFonts w:ascii="Times New Roman" w:eastAsia="標楷體"/>
          <w:spacing w:val="0"/>
          <w:sz w:val="24"/>
          <w:szCs w:val="24"/>
        </w:rPr>
        <w:t>Regarding inflationary pressures in general, domestic demand was significantly weak</w:t>
      </w:r>
      <w:r w:rsidR="00BB1C44">
        <w:rPr>
          <w:rFonts w:ascii="Times New Roman" w:eastAsia="標楷體"/>
          <w:spacing w:val="0"/>
          <w:sz w:val="24"/>
          <w:szCs w:val="24"/>
        </w:rPr>
        <w:t>ened</w:t>
      </w:r>
      <w:r w:rsidR="004D27F1">
        <w:rPr>
          <w:rFonts w:ascii="Times New Roman" w:eastAsia="標楷體"/>
          <w:spacing w:val="0"/>
          <w:sz w:val="24"/>
          <w:szCs w:val="24"/>
        </w:rPr>
        <w:t xml:space="preserve"> and the negative output gap widened, leading to a subdued inflation outlook. Forecasts for the CPI and core CPI annual growth rates this year were 0.01% a</w:t>
      </w:r>
      <w:r w:rsidR="0014537E">
        <w:rPr>
          <w:rFonts w:ascii="Times New Roman" w:eastAsia="標楷體"/>
          <w:spacing w:val="0"/>
          <w:sz w:val="24"/>
          <w:szCs w:val="24"/>
        </w:rPr>
        <w:t xml:space="preserve">nd 0.36% according to the Bank; the projections made by major domestic forecasters averaged above zero, whereas those by major foreign forecasters showed a negative average. </w:t>
      </w:r>
    </w:p>
    <w:p w:rsidR="00AA19F6" w:rsidRDefault="004D441B" w:rsidP="00546D86">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spacing w:val="0"/>
          <w:sz w:val="24"/>
          <w:szCs w:val="24"/>
        </w:rPr>
        <w:t xml:space="preserve">In respect of </w:t>
      </w:r>
      <w:r w:rsidRPr="007F6F77">
        <w:rPr>
          <w:rFonts w:ascii="Times New Roman" w:eastAsia="標楷體" w:hint="eastAsia"/>
          <w:spacing w:val="0"/>
          <w:sz w:val="24"/>
          <w:szCs w:val="24"/>
        </w:rPr>
        <w:t>future price trends,</w:t>
      </w:r>
      <w:r>
        <w:rPr>
          <w:rFonts w:ascii="Times New Roman" w:eastAsia="標楷體"/>
          <w:spacing w:val="0"/>
          <w:sz w:val="24"/>
          <w:szCs w:val="24"/>
        </w:rPr>
        <w:t xml:space="preserve"> the following factors could exert upside pressures: (1) a near-term rebound in international crude oil prices, as the global economy gradually reopens and major oil producing countries</w:t>
      </w:r>
      <w:r w:rsidR="000A4B10">
        <w:rPr>
          <w:rFonts w:ascii="Times New Roman" w:eastAsia="標楷體"/>
          <w:spacing w:val="0"/>
          <w:sz w:val="24"/>
          <w:szCs w:val="24"/>
        </w:rPr>
        <w:t xml:space="preserve"> honor their output reduction promises; (2) domestic food price rises driven by vegetables and frui</w:t>
      </w:r>
      <w:r w:rsidR="000A4B10" w:rsidRPr="009629F5">
        <w:rPr>
          <w:rFonts w:ascii="Times New Roman" w:eastAsia="標楷體"/>
          <w:spacing w:val="0"/>
          <w:sz w:val="24"/>
          <w:szCs w:val="24"/>
        </w:rPr>
        <w:t>t owing to impaired harvests by torrential rain and price strains typical of the coming typhoon season</w:t>
      </w:r>
      <w:r w:rsidR="008709FB" w:rsidRPr="009629F5">
        <w:rPr>
          <w:rFonts w:ascii="Times New Roman" w:eastAsia="標楷體" w:hint="eastAsia"/>
          <w:spacing w:val="0"/>
          <w:sz w:val="24"/>
          <w:szCs w:val="24"/>
        </w:rPr>
        <w:t>;</w:t>
      </w:r>
      <w:r w:rsidR="000A4B10" w:rsidRPr="009629F5">
        <w:rPr>
          <w:rFonts w:ascii="Times New Roman" w:eastAsia="標楷體"/>
          <w:spacing w:val="0"/>
          <w:sz w:val="24"/>
          <w:szCs w:val="24"/>
        </w:rPr>
        <w:t xml:space="preserve"> </w:t>
      </w:r>
      <w:r w:rsidR="000C6A4C" w:rsidRPr="009629F5">
        <w:rPr>
          <w:rFonts w:ascii="Times New Roman" w:eastAsia="標楷體"/>
          <w:spacing w:val="0"/>
          <w:sz w:val="24"/>
          <w:szCs w:val="24"/>
        </w:rPr>
        <w:t xml:space="preserve">(3) </w:t>
      </w:r>
      <w:r w:rsidR="007C367A" w:rsidRPr="009629F5">
        <w:rPr>
          <w:rFonts w:ascii="Times New Roman" w:eastAsia="標楷體"/>
          <w:spacing w:val="0"/>
          <w:sz w:val="24"/>
          <w:szCs w:val="24"/>
        </w:rPr>
        <w:t xml:space="preserve">a possible uptrend in </w:t>
      </w:r>
      <w:r w:rsidR="000C6A4C" w:rsidRPr="009629F5">
        <w:rPr>
          <w:rFonts w:ascii="Times New Roman" w:eastAsia="標楷體"/>
          <w:spacing w:val="0"/>
          <w:sz w:val="24"/>
          <w:szCs w:val="24"/>
        </w:rPr>
        <w:t xml:space="preserve">domestic prices for hospitality </w:t>
      </w:r>
      <w:r w:rsidR="007C367A" w:rsidRPr="009629F5">
        <w:rPr>
          <w:rFonts w:ascii="Times New Roman" w:eastAsia="標楷體"/>
          <w:spacing w:val="0"/>
          <w:sz w:val="24"/>
          <w:szCs w:val="24"/>
        </w:rPr>
        <w:t>services and food and beverages, dri</w:t>
      </w:r>
      <w:r w:rsidR="007C367A">
        <w:rPr>
          <w:rFonts w:ascii="Times New Roman" w:eastAsia="標楷體"/>
          <w:spacing w:val="0"/>
          <w:sz w:val="24"/>
          <w:szCs w:val="24"/>
        </w:rPr>
        <w:t xml:space="preserve">ven by improved pandemic conditions. </w:t>
      </w:r>
      <w:r w:rsidR="007C367A">
        <w:rPr>
          <w:rFonts w:ascii="Times New Roman" w:eastAsia="標楷體" w:hint="eastAsia"/>
          <w:spacing w:val="0"/>
          <w:sz w:val="24"/>
          <w:szCs w:val="24"/>
        </w:rPr>
        <w:t xml:space="preserve">Sources of downside pressures include (1) </w:t>
      </w:r>
      <w:r w:rsidR="00AA19F6">
        <w:rPr>
          <w:rFonts w:ascii="Times New Roman" w:eastAsia="標楷體" w:hint="eastAsia"/>
          <w:spacing w:val="0"/>
          <w:sz w:val="24"/>
          <w:szCs w:val="24"/>
        </w:rPr>
        <w:t>domestic communication</w:t>
      </w:r>
      <w:r w:rsidR="00AA19F6">
        <w:rPr>
          <w:rFonts w:ascii="Times New Roman" w:eastAsia="標楷體"/>
          <w:spacing w:val="0"/>
          <w:sz w:val="24"/>
          <w:szCs w:val="24"/>
        </w:rPr>
        <w:t xml:space="preserve"> fees staying low; (2) border control and air travel restrictions remaining largely in place, </w:t>
      </w:r>
      <w:r w:rsidR="00546D86">
        <w:rPr>
          <w:rFonts w:ascii="Times New Roman" w:eastAsia="標楷體"/>
          <w:spacing w:val="0"/>
          <w:sz w:val="24"/>
          <w:szCs w:val="24"/>
        </w:rPr>
        <w:t xml:space="preserve">continuing to depress outbound travel group fees; (3) a widening in the already negative domestic output gap. </w:t>
      </w:r>
    </w:p>
    <w:p w:rsidR="00D46F1E" w:rsidRPr="007F6F77" w:rsidRDefault="00D46F1E" w:rsidP="00B04114">
      <w:pPr>
        <w:numPr>
          <w:ilvl w:val="0"/>
          <w:numId w:val="9"/>
        </w:numPr>
        <w:overflowPunct w:val="0"/>
        <w:autoSpaceDE w:val="0"/>
        <w:autoSpaceDN w:val="0"/>
        <w:snapToGrid w:val="0"/>
        <w:spacing w:before="120" w:line="440" w:lineRule="exact"/>
        <w:ind w:left="426" w:hanging="426"/>
        <w:rPr>
          <w:rFonts w:eastAsia="標楷體"/>
          <w:b/>
          <w:spacing w:val="-2"/>
          <w:sz w:val="24"/>
          <w:szCs w:val="28"/>
        </w:rPr>
      </w:pPr>
      <w:r w:rsidRPr="007F6F77">
        <w:rPr>
          <w:rFonts w:eastAsia="標楷體" w:hint="eastAsia"/>
          <w:b/>
          <w:spacing w:val="-2"/>
          <w:sz w:val="24"/>
          <w:szCs w:val="28"/>
        </w:rPr>
        <w:t>Considerations for Monetary Policy</w:t>
      </w:r>
    </w:p>
    <w:p w:rsidR="00111645" w:rsidRPr="009629F5" w:rsidRDefault="00CF3A47" w:rsidP="00111645">
      <w:pPr>
        <w:adjustRightInd/>
        <w:spacing w:before="120" w:line="440" w:lineRule="exact"/>
        <w:ind w:left="363" w:hangingChars="154" w:hanging="363"/>
        <w:jc w:val="both"/>
        <w:textAlignment w:val="auto"/>
        <w:rPr>
          <w:rFonts w:eastAsia="標楷體"/>
          <w:spacing w:val="-2"/>
          <w:kern w:val="2"/>
          <w:sz w:val="24"/>
          <w:szCs w:val="28"/>
        </w:rPr>
      </w:pPr>
      <w:r w:rsidRPr="007F6F77">
        <w:rPr>
          <w:rFonts w:eastAsia="標楷體" w:hint="eastAsia"/>
          <w:spacing w:val="-2"/>
          <w:kern w:val="2"/>
          <w:sz w:val="24"/>
          <w:szCs w:val="28"/>
        </w:rPr>
        <w:t xml:space="preserve">(1) </w:t>
      </w:r>
      <w:r w:rsidR="00F54C30">
        <w:rPr>
          <w:rFonts w:eastAsia="標楷體"/>
          <w:spacing w:val="-2"/>
          <w:kern w:val="2"/>
          <w:sz w:val="24"/>
          <w:szCs w:val="28"/>
        </w:rPr>
        <w:t>Taiwan’s success in containing the coronavirus outbreak and the effective implementation of fiscal expansion and the Bank’s monetary easing had helped the econom</w:t>
      </w:r>
      <w:r w:rsidR="00F54C30" w:rsidRPr="009629F5">
        <w:rPr>
          <w:rFonts w:eastAsia="標楷體"/>
          <w:spacing w:val="-2"/>
          <w:kern w:val="2"/>
          <w:sz w:val="24"/>
          <w:szCs w:val="28"/>
        </w:rPr>
        <w:t xml:space="preserve">y to function relatively well. </w:t>
      </w:r>
    </w:p>
    <w:p w:rsidR="00111645" w:rsidRDefault="00CF3A47" w:rsidP="00DC60B5">
      <w:pPr>
        <w:adjustRightInd/>
        <w:spacing w:before="120" w:line="440" w:lineRule="exact"/>
        <w:ind w:left="363" w:hangingChars="154" w:hanging="363"/>
        <w:jc w:val="both"/>
        <w:textAlignment w:val="auto"/>
        <w:rPr>
          <w:rFonts w:eastAsia="標楷體"/>
          <w:spacing w:val="-2"/>
          <w:kern w:val="2"/>
          <w:sz w:val="24"/>
          <w:szCs w:val="28"/>
        </w:rPr>
      </w:pPr>
      <w:r w:rsidRPr="007F6F77">
        <w:rPr>
          <w:rFonts w:eastAsia="標楷體" w:hint="eastAsia"/>
          <w:spacing w:val="-2"/>
          <w:kern w:val="2"/>
          <w:sz w:val="24"/>
          <w:szCs w:val="28"/>
        </w:rPr>
        <w:t xml:space="preserve">(2) </w:t>
      </w:r>
      <w:r w:rsidR="00DC60B5">
        <w:rPr>
          <w:rFonts w:eastAsia="標楷體"/>
          <w:spacing w:val="-2"/>
          <w:kern w:val="2"/>
          <w:sz w:val="24"/>
          <w:szCs w:val="28"/>
        </w:rPr>
        <w:t>Despite a myriad of uncertainties over the global economic outlook, the domestic economic growth would likely pick up mildly, underpinned by domestic demand</w:t>
      </w:r>
      <w:r w:rsidR="003411C4">
        <w:rPr>
          <w:rFonts w:eastAsia="標楷體" w:hint="eastAsia"/>
          <w:spacing w:val="-2"/>
          <w:kern w:val="2"/>
          <w:sz w:val="24"/>
          <w:szCs w:val="28"/>
        </w:rPr>
        <w:t xml:space="preserve">. </w:t>
      </w:r>
      <w:r w:rsidR="00DC60B5">
        <w:rPr>
          <w:rFonts w:eastAsia="標楷體"/>
          <w:spacing w:val="-2"/>
          <w:kern w:val="2"/>
          <w:sz w:val="24"/>
          <w:szCs w:val="28"/>
        </w:rPr>
        <w:t xml:space="preserve">The Bank forecasted the economy to expand </w:t>
      </w:r>
      <w:r w:rsidR="00691432">
        <w:rPr>
          <w:rFonts w:eastAsia="標楷體"/>
          <w:spacing w:val="-2"/>
          <w:kern w:val="2"/>
          <w:sz w:val="24"/>
          <w:szCs w:val="28"/>
        </w:rPr>
        <w:t xml:space="preserve">by </w:t>
      </w:r>
      <w:r w:rsidR="00DC60B5">
        <w:rPr>
          <w:rFonts w:eastAsia="標楷體"/>
          <w:spacing w:val="-2"/>
          <w:kern w:val="2"/>
          <w:sz w:val="24"/>
          <w:szCs w:val="28"/>
        </w:rPr>
        <w:t>2.0% in the second half of the year</w:t>
      </w:r>
      <w:r w:rsidR="00691432">
        <w:rPr>
          <w:rFonts w:eastAsia="標楷體"/>
          <w:spacing w:val="-2"/>
          <w:kern w:val="2"/>
          <w:sz w:val="24"/>
          <w:szCs w:val="28"/>
        </w:rPr>
        <w:t xml:space="preserve"> – which would</w:t>
      </w:r>
      <w:r w:rsidR="00DC60B5">
        <w:rPr>
          <w:rFonts w:eastAsia="標楷體"/>
          <w:spacing w:val="-2"/>
          <w:kern w:val="2"/>
          <w:sz w:val="24"/>
          <w:szCs w:val="28"/>
        </w:rPr>
        <w:t xml:space="preserve"> outrun the 1.0% growth in the first half year</w:t>
      </w:r>
      <w:r w:rsidR="00691432">
        <w:rPr>
          <w:rFonts w:eastAsia="標楷體"/>
          <w:spacing w:val="-2"/>
          <w:kern w:val="2"/>
          <w:sz w:val="24"/>
          <w:szCs w:val="28"/>
        </w:rPr>
        <w:t xml:space="preserve"> – and by 1.52% for the year as a whole. </w:t>
      </w:r>
    </w:p>
    <w:p w:rsidR="00691432" w:rsidRDefault="00DC60B5" w:rsidP="00691432">
      <w:pPr>
        <w:adjustRightInd/>
        <w:spacing w:before="120" w:line="440" w:lineRule="exact"/>
        <w:ind w:left="363" w:hangingChars="154" w:hanging="363"/>
        <w:jc w:val="both"/>
        <w:textAlignment w:val="auto"/>
        <w:rPr>
          <w:rFonts w:eastAsia="標楷體"/>
          <w:spacing w:val="-2"/>
          <w:kern w:val="2"/>
          <w:sz w:val="24"/>
          <w:szCs w:val="28"/>
        </w:rPr>
      </w:pPr>
      <w:r w:rsidRPr="007F6F77">
        <w:rPr>
          <w:rFonts w:eastAsia="標楷體" w:hint="eastAsia"/>
          <w:spacing w:val="-2"/>
          <w:kern w:val="2"/>
          <w:sz w:val="24"/>
          <w:szCs w:val="28"/>
        </w:rPr>
        <w:t>(</w:t>
      </w:r>
      <w:r>
        <w:rPr>
          <w:rFonts w:eastAsia="標楷體"/>
          <w:spacing w:val="-2"/>
          <w:kern w:val="2"/>
          <w:sz w:val="24"/>
          <w:szCs w:val="28"/>
        </w:rPr>
        <w:t>3</w:t>
      </w:r>
      <w:r w:rsidRPr="007F6F77">
        <w:rPr>
          <w:rFonts w:eastAsia="標楷體" w:hint="eastAsia"/>
          <w:spacing w:val="-2"/>
          <w:kern w:val="2"/>
          <w:sz w:val="24"/>
          <w:szCs w:val="28"/>
        </w:rPr>
        <w:t>)</w:t>
      </w:r>
      <w:r w:rsidR="00691432">
        <w:rPr>
          <w:rFonts w:eastAsia="標楷體"/>
          <w:spacing w:val="-2"/>
          <w:kern w:val="2"/>
          <w:sz w:val="24"/>
          <w:szCs w:val="28"/>
        </w:rPr>
        <w:t xml:space="preserve"> Muted domestic inflation and softening inflation expectations</w:t>
      </w:r>
      <w:r w:rsidR="00424A8C">
        <w:rPr>
          <w:rFonts w:eastAsia="標楷體"/>
          <w:spacing w:val="-2"/>
          <w:kern w:val="2"/>
          <w:sz w:val="24"/>
          <w:szCs w:val="28"/>
        </w:rPr>
        <w:t xml:space="preserve"> were judged to be </w:t>
      </w:r>
      <w:r w:rsidR="00691432">
        <w:rPr>
          <w:rFonts w:eastAsia="標楷體"/>
          <w:spacing w:val="-2"/>
          <w:kern w:val="2"/>
          <w:sz w:val="24"/>
          <w:szCs w:val="28"/>
        </w:rPr>
        <w:t xml:space="preserve">transitory as prices are projected to stabilize in the second half of the year. Based on the Bank’s forecasts, the annual CPI growth rates would rise from the -0.23% of the first half year to 0.25% in the second half year. For 2020 as a whole, CPI and core CPI were forecasted to increase 0.01% </w:t>
      </w:r>
      <w:r w:rsidR="00691432">
        <w:rPr>
          <w:rFonts w:eastAsia="標楷體"/>
          <w:spacing w:val="-2"/>
          <w:kern w:val="2"/>
          <w:sz w:val="24"/>
          <w:szCs w:val="28"/>
        </w:rPr>
        <w:lastRenderedPageBreak/>
        <w:t xml:space="preserve">and 0.36% year on year, respectively. </w:t>
      </w:r>
    </w:p>
    <w:p w:rsidR="00D46F1E" w:rsidRPr="009605CF" w:rsidRDefault="00D46F1E" w:rsidP="009605CF">
      <w:pPr>
        <w:pStyle w:val="afff6"/>
        <w:numPr>
          <w:ilvl w:val="2"/>
          <w:numId w:val="26"/>
        </w:numPr>
        <w:adjustRightInd/>
        <w:snapToGrid w:val="0"/>
        <w:spacing w:before="120" w:line="440" w:lineRule="exact"/>
        <w:ind w:leftChars="0" w:left="426" w:hanging="426"/>
        <w:textDirection w:val="lrTbV"/>
        <w:rPr>
          <w:rFonts w:ascii="Times New Roman" w:eastAsia="標楷體"/>
          <w:b/>
          <w:sz w:val="28"/>
          <w:szCs w:val="28"/>
        </w:rPr>
      </w:pPr>
      <w:r w:rsidRPr="009605CF">
        <w:rPr>
          <w:rFonts w:ascii="Times New Roman" w:eastAsia="標楷體" w:hint="eastAsia"/>
          <w:b/>
          <w:sz w:val="28"/>
          <w:szCs w:val="28"/>
        </w:rPr>
        <w:t xml:space="preserve">Proposition and Decision about Monetary Policy </w:t>
      </w:r>
    </w:p>
    <w:p w:rsidR="00664293" w:rsidRPr="0009648F" w:rsidRDefault="00664293" w:rsidP="0009648F">
      <w:pPr>
        <w:numPr>
          <w:ilvl w:val="0"/>
          <w:numId w:val="12"/>
        </w:numPr>
        <w:overflowPunct w:val="0"/>
        <w:autoSpaceDE w:val="0"/>
        <w:autoSpaceDN w:val="0"/>
        <w:snapToGrid w:val="0"/>
        <w:spacing w:before="120" w:line="440" w:lineRule="exact"/>
        <w:ind w:left="426" w:hanging="426"/>
        <w:textDirection w:val="lrTbV"/>
        <w:rPr>
          <w:rFonts w:eastAsia="標楷體"/>
          <w:b/>
          <w:spacing w:val="-2"/>
          <w:sz w:val="24"/>
          <w:szCs w:val="28"/>
        </w:rPr>
      </w:pPr>
      <w:r w:rsidRPr="0009648F">
        <w:rPr>
          <w:rFonts w:eastAsia="標楷體" w:hint="eastAsia"/>
          <w:b/>
          <w:spacing w:val="-2"/>
          <w:sz w:val="24"/>
          <w:szCs w:val="28"/>
        </w:rPr>
        <w:t xml:space="preserve">Policy Proposition: To keep </w:t>
      </w:r>
      <w:r w:rsidR="0009648F" w:rsidRPr="0009648F">
        <w:rPr>
          <w:rFonts w:eastAsia="標楷體"/>
          <w:b/>
          <w:spacing w:val="-2"/>
          <w:sz w:val="24"/>
          <w:szCs w:val="28"/>
        </w:rPr>
        <w:t>the discount rate, the rate on refinancing of secured loans, and the rate on temporary accommodations</w:t>
      </w:r>
      <w:r w:rsidR="0009648F">
        <w:rPr>
          <w:rStyle w:val="afe"/>
          <w:rFonts w:eastAsia="標楷體"/>
          <w:b/>
          <w:spacing w:val="-2"/>
          <w:sz w:val="24"/>
          <w:szCs w:val="28"/>
        </w:rPr>
        <w:footnoteReference w:id="2"/>
      </w:r>
      <w:r w:rsidRPr="0009648F">
        <w:rPr>
          <w:rFonts w:eastAsia="標楷體"/>
          <w:b/>
          <w:spacing w:val="-2"/>
          <w:sz w:val="24"/>
          <w:szCs w:val="28"/>
        </w:rPr>
        <w:t xml:space="preserve"> unchanged at 1.125%, 1.5%, and 3.375%, respectively. </w:t>
      </w:r>
    </w:p>
    <w:p w:rsidR="00664293" w:rsidRPr="007F6F77" w:rsidRDefault="00664293" w:rsidP="00664293">
      <w:pPr>
        <w:numPr>
          <w:ilvl w:val="0"/>
          <w:numId w:val="12"/>
        </w:numPr>
        <w:overflowPunct w:val="0"/>
        <w:autoSpaceDE w:val="0"/>
        <w:autoSpaceDN w:val="0"/>
        <w:snapToGrid w:val="0"/>
        <w:spacing w:before="120" w:line="440" w:lineRule="exact"/>
        <w:ind w:left="426" w:hanging="426"/>
        <w:textDirection w:val="lrTbV"/>
        <w:rPr>
          <w:rFonts w:eastAsia="標楷體"/>
          <w:spacing w:val="-2"/>
          <w:sz w:val="24"/>
          <w:szCs w:val="28"/>
        </w:rPr>
      </w:pPr>
      <w:r w:rsidRPr="007F6F77">
        <w:rPr>
          <w:rFonts w:eastAsia="標楷體" w:hint="eastAsia"/>
          <w:spacing w:val="-2"/>
          <w:sz w:val="24"/>
          <w:szCs w:val="28"/>
        </w:rPr>
        <w:t xml:space="preserve">Board members reached a unanimous vote </w:t>
      </w:r>
      <w:r>
        <w:rPr>
          <w:rFonts w:eastAsia="標楷體" w:hint="eastAsia"/>
          <w:spacing w:val="-2"/>
          <w:sz w:val="24"/>
          <w:szCs w:val="28"/>
        </w:rPr>
        <w:t xml:space="preserve">to keep the </w:t>
      </w:r>
      <w:r w:rsidRPr="007F6F77">
        <w:rPr>
          <w:rFonts w:eastAsia="標楷體" w:hint="eastAsia"/>
          <w:spacing w:val="-2"/>
          <w:sz w:val="24"/>
          <w:szCs w:val="28"/>
        </w:rPr>
        <w:t>policy rates unchanged. The discussions are summarized as follows.</w:t>
      </w:r>
    </w:p>
    <w:p w:rsidR="000571DE" w:rsidRPr="007F6F77" w:rsidRDefault="000571DE" w:rsidP="000571DE">
      <w:pPr>
        <w:adjustRightInd/>
        <w:spacing w:before="120" w:line="440" w:lineRule="exact"/>
        <w:ind w:left="363" w:hangingChars="154" w:hanging="363"/>
        <w:textAlignment w:val="auto"/>
        <w:rPr>
          <w:rFonts w:eastAsia="標楷體"/>
          <w:spacing w:val="-2"/>
          <w:kern w:val="2"/>
          <w:sz w:val="24"/>
          <w:szCs w:val="28"/>
        </w:rPr>
      </w:pPr>
      <w:r w:rsidRPr="007F6F77">
        <w:rPr>
          <w:rFonts w:eastAsia="標楷體" w:hint="eastAsia"/>
          <w:spacing w:val="-2"/>
          <w:kern w:val="2"/>
          <w:sz w:val="24"/>
          <w:szCs w:val="28"/>
        </w:rPr>
        <w:t>(1) Discussion on domestic and international economic and financial conditions</w:t>
      </w:r>
    </w:p>
    <w:p w:rsidR="00664293" w:rsidRDefault="00C06360" w:rsidP="00F13206">
      <w:pPr>
        <w:pStyle w:val="6"/>
        <w:overflowPunct w:val="0"/>
        <w:snapToGrid w:val="0"/>
        <w:spacing w:after="0" w:line="440" w:lineRule="exact"/>
        <w:ind w:left="0" w:firstLineChars="200" w:firstLine="472"/>
        <w:textDirection w:val="lrTbV"/>
        <w:rPr>
          <w:rFonts w:ascii="Times New Roman" w:eastAsia="標楷體"/>
          <w:spacing w:val="-2"/>
          <w:sz w:val="24"/>
          <w:szCs w:val="28"/>
        </w:rPr>
      </w:pPr>
      <w:r w:rsidRPr="00C06360">
        <w:rPr>
          <w:rFonts w:ascii="Times New Roman" w:eastAsia="標楷體"/>
          <w:spacing w:val="-2"/>
          <w:sz w:val="24"/>
          <w:szCs w:val="28"/>
        </w:rPr>
        <w:t>Several board directors gave views on</w:t>
      </w:r>
      <w:r>
        <w:rPr>
          <w:rFonts w:ascii="Times New Roman" w:eastAsia="標楷體" w:hint="eastAsia"/>
          <w:spacing w:val="-2"/>
          <w:sz w:val="24"/>
          <w:szCs w:val="28"/>
        </w:rPr>
        <w:t xml:space="preserve"> d</w:t>
      </w:r>
      <w:r>
        <w:rPr>
          <w:rFonts w:ascii="Times New Roman" w:eastAsia="標楷體"/>
          <w:spacing w:val="-2"/>
          <w:sz w:val="24"/>
          <w:szCs w:val="28"/>
        </w:rPr>
        <w:t xml:space="preserve">omestic economic conditions. One board director stated that the pandemic-related effects could cause the economic growth rate to hit a low in the second quarter of 2020 before bouncing back quarter by quarter in the latter half of the year. Taiwan’s economy therefore would </w:t>
      </w:r>
      <w:r w:rsidR="006C7048">
        <w:rPr>
          <w:rFonts w:ascii="Times New Roman" w:eastAsia="標楷體"/>
          <w:spacing w:val="-2"/>
          <w:sz w:val="24"/>
          <w:szCs w:val="28"/>
        </w:rPr>
        <w:t xml:space="preserve">sustain better growth </w:t>
      </w:r>
      <w:r>
        <w:rPr>
          <w:rFonts w:ascii="Times New Roman" w:eastAsia="標楷體"/>
          <w:spacing w:val="-2"/>
          <w:sz w:val="24"/>
          <w:szCs w:val="28"/>
        </w:rPr>
        <w:t>than many other economies, buoyed by effe</w:t>
      </w:r>
      <w:r w:rsidR="006C7048">
        <w:rPr>
          <w:rFonts w:ascii="Times New Roman" w:eastAsia="標楷體"/>
          <w:spacing w:val="-2"/>
          <w:sz w:val="24"/>
          <w:szCs w:val="28"/>
        </w:rPr>
        <w:t>ctive government relief measure</w:t>
      </w:r>
      <w:r w:rsidR="00F03D33">
        <w:rPr>
          <w:rFonts w:ascii="Times New Roman" w:eastAsia="標楷體"/>
          <w:spacing w:val="-2"/>
          <w:sz w:val="24"/>
          <w:szCs w:val="28"/>
        </w:rPr>
        <w:t>s</w:t>
      </w:r>
      <w:r w:rsidR="006C7048">
        <w:rPr>
          <w:rFonts w:ascii="Times New Roman" w:eastAsia="標楷體"/>
          <w:spacing w:val="-2"/>
          <w:sz w:val="24"/>
          <w:szCs w:val="28"/>
        </w:rPr>
        <w:t xml:space="preserve">, including </w:t>
      </w:r>
      <w:r w:rsidR="006C7048">
        <w:rPr>
          <w:rFonts w:ascii="Times New Roman" w:eastAsia="標楷體" w:hint="eastAsia"/>
          <w:spacing w:val="-2"/>
          <w:sz w:val="24"/>
          <w:szCs w:val="28"/>
        </w:rPr>
        <w:t xml:space="preserve">subsidized loan programs for businesses. </w:t>
      </w:r>
      <w:r w:rsidR="006C7048">
        <w:rPr>
          <w:rFonts w:ascii="Times New Roman" w:eastAsia="標楷體"/>
          <w:spacing w:val="-2"/>
          <w:sz w:val="24"/>
          <w:szCs w:val="28"/>
        </w:rPr>
        <w:t xml:space="preserve">Recent declines were mainly due to weak consumer spending, while fixed capital formation and government spending actually continued expanding. Moreover, private consumption would likely regain strength in the second half year as the government </w:t>
      </w:r>
      <w:r w:rsidR="00F03D33">
        <w:rPr>
          <w:rFonts w:ascii="Times New Roman" w:eastAsia="標楷體"/>
          <w:spacing w:val="-2"/>
          <w:sz w:val="24"/>
          <w:szCs w:val="28"/>
        </w:rPr>
        <w:t xml:space="preserve">gives out </w:t>
      </w:r>
      <w:r w:rsidR="006C7048">
        <w:rPr>
          <w:rFonts w:ascii="Times New Roman" w:eastAsia="標楷體"/>
          <w:spacing w:val="-2"/>
          <w:sz w:val="24"/>
          <w:szCs w:val="28"/>
        </w:rPr>
        <w:t>the</w:t>
      </w:r>
      <w:r w:rsidR="00FC6DDB">
        <w:rPr>
          <w:rFonts w:ascii="Times New Roman" w:eastAsia="標楷體"/>
          <w:spacing w:val="-2"/>
          <w:sz w:val="24"/>
          <w:szCs w:val="28"/>
        </w:rPr>
        <w:t xml:space="preserve"> T</w:t>
      </w:r>
      <w:r w:rsidR="006C7048">
        <w:rPr>
          <w:rFonts w:ascii="Times New Roman" w:eastAsia="標楷體"/>
          <w:spacing w:val="-2"/>
          <w:sz w:val="24"/>
          <w:szCs w:val="28"/>
        </w:rPr>
        <w:t xml:space="preserve">riple </w:t>
      </w:r>
      <w:r w:rsidR="00FC6DDB">
        <w:rPr>
          <w:rFonts w:ascii="Times New Roman" w:eastAsia="標楷體"/>
          <w:spacing w:val="-2"/>
          <w:sz w:val="24"/>
          <w:szCs w:val="28"/>
        </w:rPr>
        <w:t>S</w:t>
      </w:r>
      <w:r w:rsidR="006C7048">
        <w:rPr>
          <w:rFonts w:ascii="Times New Roman" w:eastAsia="標楷體"/>
          <w:spacing w:val="-2"/>
          <w:sz w:val="24"/>
          <w:szCs w:val="28"/>
        </w:rPr>
        <w:t xml:space="preserve">timulus </w:t>
      </w:r>
      <w:r w:rsidR="00FC6DDB">
        <w:rPr>
          <w:rFonts w:ascii="Times New Roman" w:eastAsia="標楷體"/>
          <w:spacing w:val="-2"/>
          <w:sz w:val="24"/>
          <w:szCs w:val="28"/>
        </w:rPr>
        <w:t>V</w:t>
      </w:r>
      <w:r w:rsidR="006C7048">
        <w:rPr>
          <w:rFonts w:ascii="Times New Roman" w:eastAsia="標楷體"/>
          <w:spacing w:val="-2"/>
          <w:sz w:val="24"/>
          <w:szCs w:val="28"/>
        </w:rPr>
        <w:t xml:space="preserve">ouchers to </w:t>
      </w:r>
      <w:r w:rsidR="00E352BE">
        <w:rPr>
          <w:rFonts w:ascii="Times New Roman" w:eastAsia="標楷體"/>
          <w:spacing w:val="-2"/>
          <w:sz w:val="24"/>
          <w:szCs w:val="28"/>
        </w:rPr>
        <w:t xml:space="preserve">encourage spending. </w:t>
      </w:r>
      <w:r w:rsidR="006C7048">
        <w:rPr>
          <w:rFonts w:ascii="Times New Roman" w:eastAsia="標楷體"/>
          <w:spacing w:val="-2"/>
          <w:sz w:val="24"/>
          <w:szCs w:val="28"/>
        </w:rPr>
        <w:t xml:space="preserve"> </w:t>
      </w:r>
    </w:p>
    <w:p w:rsidR="00664293" w:rsidRPr="00664293" w:rsidRDefault="002C4621" w:rsidP="00664293">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On</w:t>
      </w:r>
      <w:r>
        <w:rPr>
          <w:rFonts w:ascii="Times New Roman" w:eastAsia="標楷體"/>
          <w:spacing w:val="-2"/>
          <w:sz w:val="24"/>
          <w:szCs w:val="28"/>
        </w:rPr>
        <w:t xml:space="preserve">e supervisor pointed to plunging travel service receipts and weak private consumption as the culprit of the domestic economic slowdown. Taiwan used to enjoy about one million inbound visits per month; now the number dwindled to only several thousands, taking around 1-1.5 percentage points off from the GDP growth rate. </w:t>
      </w:r>
      <w:r w:rsidR="00C30910">
        <w:rPr>
          <w:rFonts w:ascii="Times New Roman" w:eastAsia="標楷體"/>
          <w:spacing w:val="-2"/>
          <w:sz w:val="24"/>
          <w:szCs w:val="28"/>
        </w:rPr>
        <w:t>On the other hand,</w:t>
      </w:r>
      <w:r>
        <w:rPr>
          <w:rFonts w:ascii="Times New Roman" w:eastAsia="標楷體"/>
          <w:spacing w:val="-2"/>
          <w:sz w:val="24"/>
          <w:szCs w:val="28"/>
        </w:rPr>
        <w:t xml:space="preserve"> the supervisor noted that while the Triple Stimulus Vouchers</w:t>
      </w:r>
      <w:r w:rsidR="00C30910">
        <w:rPr>
          <w:rFonts w:ascii="Times New Roman" w:eastAsia="標楷體"/>
          <w:spacing w:val="-2"/>
          <w:sz w:val="24"/>
          <w:szCs w:val="28"/>
        </w:rPr>
        <w:t xml:space="preserve"> </w:t>
      </w:r>
      <w:r>
        <w:rPr>
          <w:rFonts w:ascii="Times New Roman" w:eastAsia="標楷體"/>
          <w:spacing w:val="-2"/>
          <w:sz w:val="24"/>
          <w:szCs w:val="28"/>
        </w:rPr>
        <w:t xml:space="preserve">amounted to a small share of private consumption, </w:t>
      </w:r>
      <w:r w:rsidR="00C30910">
        <w:rPr>
          <w:rFonts w:ascii="Times New Roman" w:eastAsia="標楷體"/>
          <w:spacing w:val="-2"/>
          <w:sz w:val="24"/>
          <w:szCs w:val="28"/>
        </w:rPr>
        <w:t xml:space="preserve">the scheme could serve as a catalyst for consumption growth. Indeed, </w:t>
      </w:r>
      <w:r w:rsidR="009342D7">
        <w:rPr>
          <w:rFonts w:ascii="Times New Roman" w:eastAsia="標楷體"/>
          <w:spacing w:val="-2"/>
          <w:sz w:val="24"/>
          <w:szCs w:val="28"/>
        </w:rPr>
        <w:t>restaurants were</w:t>
      </w:r>
      <w:r w:rsidR="00C30910">
        <w:rPr>
          <w:rFonts w:ascii="Times New Roman" w:eastAsia="標楷體"/>
          <w:spacing w:val="-2"/>
          <w:sz w:val="24"/>
          <w:szCs w:val="28"/>
        </w:rPr>
        <w:t xml:space="preserve"> starting to see a resurgence in business; further efforts to prod up domestic consumption, coupled with the lifting of </w:t>
      </w:r>
      <w:r w:rsidR="009342D7">
        <w:rPr>
          <w:rFonts w:ascii="Times New Roman" w:eastAsia="標楷體"/>
          <w:spacing w:val="-2"/>
          <w:sz w:val="24"/>
          <w:szCs w:val="28"/>
        </w:rPr>
        <w:t>inbound travel restrictions, would help the retail and food/beverage sectors back on track</w:t>
      </w:r>
      <w:r w:rsidR="0067031A">
        <w:rPr>
          <w:rFonts w:ascii="Times New Roman" w:eastAsia="標楷體"/>
          <w:spacing w:val="-2"/>
          <w:sz w:val="24"/>
          <w:szCs w:val="28"/>
        </w:rPr>
        <w:t xml:space="preserve"> and </w:t>
      </w:r>
      <w:r w:rsidR="009342D7">
        <w:rPr>
          <w:rFonts w:ascii="Times New Roman" w:eastAsia="標楷體"/>
          <w:spacing w:val="-2"/>
          <w:sz w:val="24"/>
          <w:szCs w:val="28"/>
        </w:rPr>
        <w:t>contribut</w:t>
      </w:r>
      <w:r w:rsidR="0067031A">
        <w:rPr>
          <w:rFonts w:ascii="Times New Roman" w:eastAsia="標楷體"/>
          <w:spacing w:val="-2"/>
          <w:sz w:val="24"/>
          <w:szCs w:val="28"/>
        </w:rPr>
        <w:t>e</w:t>
      </w:r>
      <w:r w:rsidR="009342D7">
        <w:rPr>
          <w:rFonts w:ascii="Times New Roman" w:eastAsia="標楷體"/>
          <w:spacing w:val="-2"/>
          <w:sz w:val="24"/>
          <w:szCs w:val="28"/>
        </w:rPr>
        <w:t xml:space="preserve"> to faster economic growth. </w:t>
      </w:r>
    </w:p>
    <w:p w:rsidR="00664293" w:rsidRPr="00664293" w:rsidRDefault="004538E9" w:rsidP="00664293">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One board director, who used a forecasting model to </w:t>
      </w:r>
      <w:r>
        <w:rPr>
          <w:rFonts w:ascii="Times New Roman" w:eastAsia="標楷體"/>
          <w:spacing w:val="-2"/>
          <w:sz w:val="24"/>
          <w:szCs w:val="28"/>
        </w:rPr>
        <w:t>discern</w:t>
      </w:r>
      <w:r w:rsidR="005D4F00">
        <w:rPr>
          <w:rFonts w:ascii="Times New Roman" w:eastAsia="標楷體"/>
          <w:spacing w:val="-2"/>
          <w:sz w:val="24"/>
          <w:szCs w:val="28"/>
        </w:rPr>
        <w:t xml:space="preserve"> the probability of</w:t>
      </w:r>
      <w:r>
        <w:rPr>
          <w:rFonts w:ascii="Times New Roman" w:eastAsia="標楷體"/>
          <w:spacing w:val="-2"/>
          <w:sz w:val="24"/>
          <w:szCs w:val="28"/>
        </w:rPr>
        <w:t xml:space="preserve"> </w:t>
      </w:r>
      <w:r w:rsidR="005D4F00">
        <w:rPr>
          <w:rFonts w:ascii="Times New Roman" w:eastAsia="標楷體"/>
          <w:spacing w:val="-2"/>
          <w:sz w:val="24"/>
          <w:szCs w:val="28"/>
        </w:rPr>
        <w:t xml:space="preserve">a </w:t>
      </w:r>
      <w:r>
        <w:rPr>
          <w:rFonts w:ascii="Times New Roman" w:eastAsia="標楷體"/>
          <w:spacing w:val="-2"/>
          <w:sz w:val="24"/>
          <w:szCs w:val="28"/>
        </w:rPr>
        <w:t>recession</w:t>
      </w:r>
      <w:r w:rsidR="005D4F00">
        <w:rPr>
          <w:rFonts w:ascii="Times New Roman" w:eastAsia="標楷體"/>
          <w:spacing w:val="-2"/>
          <w:sz w:val="24"/>
          <w:szCs w:val="28"/>
        </w:rPr>
        <w:t xml:space="preserve"> </w:t>
      </w:r>
      <w:r w:rsidR="005D4F00">
        <w:rPr>
          <w:rFonts w:ascii="Times New Roman" w:eastAsia="標楷體"/>
          <w:spacing w:val="-2"/>
          <w:sz w:val="24"/>
          <w:szCs w:val="28"/>
        </w:rPr>
        <w:lastRenderedPageBreak/>
        <w:t xml:space="preserve">in Taiwan, shared the findings that, using domestic economic conditions as variables, </w:t>
      </w:r>
      <w:r w:rsidR="000354B4">
        <w:rPr>
          <w:rFonts w:ascii="Times New Roman" w:eastAsia="標楷體"/>
          <w:spacing w:val="-2"/>
          <w:sz w:val="24"/>
          <w:szCs w:val="28"/>
        </w:rPr>
        <w:t>the recession probability was below</w:t>
      </w:r>
      <w:r w:rsidR="005D4F00">
        <w:rPr>
          <w:rFonts w:ascii="Times New Roman" w:eastAsia="標楷體"/>
          <w:spacing w:val="-2"/>
          <w:sz w:val="24"/>
          <w:szCs w:val="28"/>
        </w:rPr>
        <w:t xml:space="preserve"> 50%</w:t>
      </w:r>
      <w:r w:rsidR="000354B4">
        <w:rPr>
          <w:rFonts w:ascii="Times New Roman" w:eastAsia="標楷體"/>
          <w:spacing w:val="-2"/>
          <w:sz w:val="24"/>
          <w:szCs w:val="28"/>
        </w:rPr>
        <w:t>, while th</w:t>
      </w:r>
      <w:r w:rsidR="00F03D33">
        <w:rPr>
          <w:rFonts w:ascii="Times New Roman" w:eastAsia="標楷體"/>
          <w:spacing w:val="-2"/>
          <w:sz w:val="24"/>
          <w:szCs w:val="28"/>
        </w:rPr>
        <w:t>e probability</w:t>
      </w:r>
      <w:r w:rsidR="000354B4">
        <w:rPr>
          <w:rFonts w:ascii="Times New Roman" w:eastAsia="標楷體"/>
          <w:spacing w:val="-2"/>
          <w:sz w:val="24"/>
          <w:szCs w:val="28"/>
        </w:rPr>
        <w:t xml:space="preserve"> using foreign variables went above 50%. This differed from previous model runs where domestic and foreign variables produced approximately identical</w:t>
      </w:r>
      <w:r w:rsidR="0009648F">
        <w:rPr>
          <w:rFonts w:ascii="Times New Roman" w:eastAsia="標楷體"/>
          <w:spacing w:val="-2"/>
          <w:sz w:val="24"/>
          <w:szCs w:val="28"/>
        </w:rPr>
        <w:t xml:space="preserve"> </w:t>
      </w:r>
      <w:r w:rsidR="00732235">
        <w:rPr>
          <w:rFonts w:ascii="Times New Roman" w:eastAsia="標楷體"/>
          <w:spacing w:val="-2"/>
          <w:sz w:val="24"/>
          <w:szCs w:val="28"/>
        </w:rPr>
        <w:t>results, showing</w:t>
      </w:r>
      <w:r w:rsidR="00F03D33">
        <w:rPr>
          <w:rFonts w:ascii="Times New Roman" w:eastAsia="標楷體"/>
          <w:spacing w:val="-2"/>
          <w:sz w:val="24"/>
          <w:szCs w:val="28"/>
        </w:rPr>
        <w:t xml:space="preserve"> that</w:t>
      </w:r>
      <w:r w:rsidR="00732235">
        <w:rPr>
          <w:rFonts w:ascii="Times New Roman" w:eastAsia="標楷體"/>
          <w:spacing w:val="-2"/>
          <w:sz w:val="24"/>
          <w:szCs w:val="28"/>
        </w:rPr>
        <w:t xml:space="preserve"> the many uncertainties surrounding the global economy also clouded the domestic outlook. </w:t>
      </w:r>
    </w:p>
    <w:p w:rsidR="00664293" w:rsidRDefault="009C3AC0" w:rsidP="00526734">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Regarding domestic prices, one board director noted that</w:t>
      </w:r>
      <w:r>
        <w:rPr>
          <w:rFonts w:ascii="Times New Roman" w:eastAsia="標楷體"/>
          <w:spacing w:val="-2"/>
          <w:sz w:val="24"/>
          <w:szCs w:val="28"/>
        </w:rPr>
        <w:t xml:space="preserve"> despite the continued downtrend in communication fees, 5G network services, to be commenced in July, would charge higher </w:t>
      </w:r>
      <w:r w:rsidR="00E463BB">
        <w:rPr>
          <w:rFonts w:ascii="Times New Roman" w:eastAsia="標楷體"/>
          <w:spacing w:val="-2"/>
          <w:sz w:val="24"/>
          <w:szCs w:val="28"/>
        </w:rPr>
        <w:t xml:space="preserve">fees </w:t>
      </w:r>
      <w:r>
        <w:rPr>
          <w:rFonts w:ascii="Times New Roman" w:eastAsia="標楷體"/>
          <w:spacing w:val="-2"/>
          <w:sz w:val="24"/>
          <w:szCs w:val="28"/>
        </w:rPr>
        <w:t xml:space="preserve">than current networks. </w:t>
      </w:r>
      <w:r w:rsidR="00526734">
        <w:rPr>
          <w:rFonts w:ascii="Times New Roman" w:eastAsia="標楷體"/>
          <w:spacing w:val="-2"/>
          <w:sz w:val="24"/>
          <w:szCs w:val="28"/>
        </w:rPr>
        <w:t xml:space="preserve">Therefore, close attention would be warranted regarding </w:t>
      </w:r>
      <w:r>
        <w:rPr>
          <w:rFonts w:ascii="Times New Roman" w:eastAsia="標楷體"/>
          <w:spacing w:val="-2"/>
          <w:sz w:val="24"/>
          <w:szCs w:val="28"/>
        </w:rPr>
        <w:t xml:space="preserve">5G market penetration and its effects on price trends in the next half of 2020. </w:t>
      </w:r>
    </w:p>
    <w:p w:rsidR="00465A45" w:rsidRDefault="00526734" w:rsidP="002656F6">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spacing w:val="-2"/>
          <w:sz w:val="24"/>
          <w:szCs w:val="28"/>
        </w:rPr>
        <w:t>In terms of</w:t>
      </w:r>
      <w:r w:rsidR="00024348">
        <w:rPr>
          <w:rFonts w:ascii="Times New Roman" w:eastAsia="標楷體" w:hint="eastAsia"/>
          <w:spacing w:val="-2"/>
          <w:sz w:val="24"/>
          <w:szCs w:val="28"/>
        </w:rPr>
        <w:t xml:space="preserve"> domestic financial conditions, one board director </w:t>
      </w:r>
      <w:r w:rsidR="00024348">
        <w:rPr>
          <w:rFonts w:ascii="Times New Roman" w:eastAsia="標楷體"/>
          <w:spacing w:val="-2"/>
          <w:sz w:val="24"/>
          <w:szCs w:val="28"/>
        </w:rPr>
        <w:t xml:space="preserve">shared concerns </w:t>
      </w:r>
      <w:r w:rsidR="0039185A">
        <w:rPr>
          <w:rFonts w:ascii="Times New Roman" w:eastAsia="標楷體"/>
          <w:spacing w:val="-2"/>
          <w:sz w:val="24"/>
          <w:szCs w:val="28"/>
        </w:rPr>
        <w:t xml:space="preserve">about the real estate market and </w:t>
      </w:r>
      <w:r>
        <w:rPr>
          <w:rFonts w:ascii="Times New Roman" w:eastAsia="標楷體"/>
          <w:spacing w:val="-2"/>
          <w:sz w:val="24"/>
          <w:szCs w:val="28"/>
        </w:rPr>
        <w:t xml:space="preserve">related </w:t>
      </w:r>
      <w:r w:rsidR="0039185A">
        <w:rPr>
          <w:rFonts w:ascii="Times New Roman" w:eastAsia="標楷體"/>
          <w:spacing w:val="-2"/>
          <w:sz w:val="24"/>
          <w:szCs w:val="28"/>
        </w:rPr>
        <w:t>financ</w:t>
      </w:r>
      <w:r>
        <w:rPr>
          <w:rFonts w:ascii="Times New Roman" w:eastAsia="標楷體"/>
          <w:spacing w:val="-2"/>
          <w:sz w:val="24"/>
          <w:szCs w:val="28"/>
        </w:rPr>
        <w:t>ing</w:t>
      </w:r>
      <w:r w:rsidR="0039185A">
        <w:rPr>
          <w:rFonts w:ascii="Times New Roman" w:eastAsia="標楷體"/>
          <w:spacing w:val="-2"/>
          <w:sz w:val="24"/>
          <w:szCs w:val="28"/>
        </w:rPr>
        <w:t xml:space="preserve">, </w:t>
      </w:r>
      <w:r w:rsidR="002656F6" w:rsidRPr="002656F6">
        <w:rPr>
          <w:rFonts w:ascii="Times New Roman" w:eastAsia="標楷體"/>
          <w:spacing w:val="-2"/>
          <w:sz w:val="24"/>
          <w:szCs w:val="28"/>
        </w:rPr>
        <w:t>pointing out that in recent years homebuyers were weighed down by housing prices and both the loan burden ratio and home-price-to-income ratio were elevated, while the annual growth rates of banks’ residential and business construction lending rapidly rose within the past year</w:t>
      </w:r>
      <w:r w:rsidR="004A2F4E">
        <w:rPr>
          <w:rFonts w:ascii="Times New Roman" w:eastAsia="標楷體"/>
          <w:spacing w:val="-2"/>
          <w:sz w:val="24"/>
          <w:szCs w:val="28"/>
        </w:rPr>
        <w:t>. In light of such a phenomenon, this director</w:t>
      </w:r>
      <w:r w:rsidR="002656F6">
        <w:rPr>
          <w:rFonts w:ascii="Times New Roman" w:eastAsia="標楷體"/>
          <w:spacing w:val="-2"/>
          <w:sz w:val="24"/>
          <w:szCs w:val="28"/>
        </w:rPr>
        <w:t xml:space="preserve"> </w:t>
      </w:r>
      <w:r w:rsidR="002656F6" w:rsidRPr="002656F6">
        <w:rPr>
          <w:rFonts w:ascii="Times New Roman" w:eastAsia="標楷體"/>
          <w:spacing w:val="-2"/>
          <w:sz w:val="24"/>
          <w:szCs w:val="28"/>
        </w:rPr>
        <w:t xml:space="preserve">proposed that the Bank </w:t>
      </w:r>
      <w:r w:rsidR="00E4260F">
        <w:rPr>
          <w:rFonts w:ascii="Times New Roman" w:eastAsia="標楷體"/>
          <w:spacing w:val="-2"/>
          <w:sz w:val="24"/>
          <w:szCs w:val="28"/>
        </w:rPr>
        <w:t>assess the establishment of</w:t>
      </w:r>
      <w:r w:rsidR="002656F6">
        <w:rPr>
          <w:rFonts w:ascii="Times New Roman" w:eastAsia="標楷體"/>
          <w:spacing w:val="-2"/>
          <w:sz w:val="24"/>
          <w:szCs w:val="28"/>
        </w:rPr>
        <w:t xml:space="preserve"> </w:t>
      </w:r>
      <w:r w:rsidR="00E4260F">
        <w:rPr>
          <w:rFonts w:ascii="Times New Roman" w:eastAsia="標楷體"/>
          <w:spacing w:val="-2"/>
          <w:sz w:val="24"/>
          <w:szCs w:val="28"/>
        </w:rPr>
        <w:t xml:space="preserve">such </w:t>
      </w:r>
      <w:r w:rsidR="004A2F4E">
        <w:rPr>
          <w:rFonts w:ascii="Times New Roman" w:eastAsia="標楷體"/>
          <w:spacing w:val="-2"/>
          <w:sz w:val="24"/>
          <w:szCs w:val="28"/>
        </w:rPr>
        <w:t xml:space="preserve">policy tools </w:t>
      </w:r>
      <w:r w:rsidR="00E4260F">
        <w:rPr>
          <w:rFonts w:ascii="Times New Roman" w:eastAsia="標楷體"/>
          <w:spacing w:val="-2"/>
          <w:sz w:val="24"/>
          <w:szCs w:val="28"/>
        </w:rPr>
        <w:t xml:space="preserve">that could </w:t>
      </w:r>
      <w:r w:rsidR="004A2F4E">
        <w:rPr>
          <w:rFonts w:ascii="Times New Roman" w:eastAsia="標楷體"/>
          <w:spacing w:val="-2"/>
          <w:sz w:val="24"/>
          <w:szCs w:val="28"/>
        </w:rPr>
        <w:t>be deployed and adjusted in step with housing market developments</w:t>
      </w:r>
      <w:r w:rsidR="00786881">
        <w:rPr>
          <w:rFonts w:ascii="Times New Roman" w:eastAsia="標楷體"/>
          <w:spacing w:val="-2"/>
          <w:sz w:val="24"/>
          <w:szCs w:val="28"/>
        </w:rPr>
        <w:t xml:space="preserve"> in order to preempt overheating and home price bubbles and safeguard financial stability. Several board directors showed support for this proposition. Another </w:t>
      </w:r>
      <w:r w:rsidR="00465A45">
        <w:rPr>
          <w:rFonts w:ascii="Times New Roman" w:eastAsia="標楷體"/>
          <w:spacing w:val="-2"/>
          <w:sz w:val="24"/>
          <w:szCs w:val="28"/>
        </w:rPr>
        <w:t>board director noted that since banks have</w:t>
      </w:r>
      <w:r w:rsidR="00E4260F">
        <w:rPr>
          <w:rFonts w:ascii="Times New Roman" w:eastAsia="標楷體"/>
          <w:spacing w:val="-2"/>
          <w:sz w:val="24"/>
          <w:szCs w:val="28"/>
        </w:rPr>
        <w:t xml:space="preserve"> set up </w:t>
      </w:r>
      <w:r w:rsidR="00465A45">
        <w:rPr>
          <w:rFonts w:ascii="Times New Roman" w:eastAsia="標楷體"/>
          <w:spacing w:val="-2"/>
          <w:sz w:val="24"/>
          <w:szCs w:val="28"/>
        </w:rPr>
        <w:t xml:space="preserve">relevant mechanisms to manage home mortgage lending, it would be appropriate for the Bank’s </w:t>
      </w:r>
      <w:r w:rsidR="00E4260F">
        <w:rPr>
          <w:rFonts w:ascii="Times New Roman" w:eastAsia="標楷體"/>
          <w:spacing w:val="-2"/>
          <w:sz w:val="24"/>
          <w:szCs w:val="28"/>
        </w:rPr>
        <w:t>assessment</w:t>
      </w:r>
      <w:r w:rsidR="00465A45">
        <w:rPr>
          <w:rFonts w:ascii="Times New Roman" w:eastAsia="標楷體"/>
          <w:spacing w:val="-2"/>
          <w:sz w:val="24"/>
          <w:szCs w:val="28"/>
        </w:rPr>
        <w:t xml:space="preserve"> process to also account for the necessity of regulation and to include </w:t>
      </w:r>
      <w:r w:rsidR="00E4260F">
        <w:rPr>
          <w:rFonts w:ascii="Times New Roman" w:eastAsia="標楷體"/>
          <w:spacing w:val="-2"/>
          <w:sz w:val="24"/>
          <w:szCs w:val="28"/>
        </w:rPr>
        <w:t xml:space="preserve">frequent </w:t>
      </w:r>
      <w:r w:rsidR="00465A45">
        <w:rPr>
          <w:rFonts w:ascii="Times New Roman" w:eastAsia="標楷體"/>
          <w:spacing w:val="-2"/>
          <w:sz w:val="24"/>
          <w:szCs w:val="28"/>
        </w:rPr>
        <w:t xml:space="preserve">dialogues with the banking sector. </w:t>
      </w:r>
    </w:p>
    <w:p w:rsidR="003044E3" w:rsidRPr="007F6F77" w:rsidRDefault="003044E3" w:rsidP="003044E3">
      <w:pPr>
        <w:adjustRightInd/>
        <w:spacing w:before="120" w:line="440" w:lineRule="exact"/>
        <w:ind w:left="363" w:hangingChars="154" w:hanging="363"/>
        <w:textAlignment w:val="auto"/>
        <w:rPr>
          <w:rFonts w:eastAsia="標楷體"/>
          <w:spacing w:val="-2"/>
          <w:kern w:val="2"/>
          <w:sz w:val="24"/>
          <w:szCs w:val="28"/>
        </w:rPr>
      </w:pPr>
      <w:r w:rsidRPr="007F6F77">
        <w:rPr>
          <w:rFonts w:eastAsia="標楷體" w:hint="eastAsia"/>
          <w:spacing w:val="-2"/>
          <w:kern w:val="2"/>
          <w:sz w:val="24"/>
          <w:szCs w:val="28"/>
        </w:rPr>
        <w:t>(2) Discussion on</w:t>
      </w:r>
      <w:r w:rsidR="003B0495">
        <w:rPr>
          <w:rFonts w:eastAsia="標楷體" w:hint="eastAsia"/>
          <w:spacing w:val="-2"/>
          <w:kern w:val="2"/>
          <w:sz w:val="24"/>
          <w:szCs w:val="28"/>
        </w:rPr>
        <w:t xml:space="preserve"> the proposed policies</w:t>
      </w:r>
    </w:p>
    <w:p w:rsidR="00385F9A" w:rsidRDefault="00C63CCD" w:rsidP="00F07CBF">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All</w:t>
      </w:r>
      <w:r w:rsidR="00C41905" w:rsidRPr="008C5225">
        <w:rPr>
          <w:rFonts w:eastAsia="標楷體" w:hint="eastAsia"/>
          <w:sz w:val="24"/>
          <w:szCs w:val="32"/>
        </w:rPr>
        <w:t xml:space="preserve"> </w:t>
      </w:r>
      <w:r w:rsidR="00A6032A" w:rsidRPr="008C5225">
        <w:rPr>
          <w:rFonts w:eastAsia="標楷體" w:hint="eastAsia"/>
          <w:sz w:val="24"/>
          <w:szCs w:val="32"/>
        </w:rPr>
        <w:t xml:space="preserve">board directors </w:t>
      </w:r>
      <w:r w:rsidR="00B111FC" w:rsidRPr="008C5225">
        <w:rPr>
          <w:rFonts w:eastAsia="標楷體" w:hint="eastAsia"/>
          <w:sz w:val="24"/>
          <w:szCs w:val="32"/>
        </w:rPr>
        <w:t>expr</w:t>
      </w:r>
      <w:r w:rsidR="00B111FC" w:rsidRPr="007F6F77">
        <w:rPr>
          <w:rFonts w:eastAsia="標楷體" w:hint="eastAsia"/>
          <w:sz w:val="24"/>
          <w:szCs w:val="32"/>
        </w:rPr>
        <w:t xml:space="preserve">essed </w:t>
      </w:r>
      <w:r w:rsidR="00AB6995" w:rsidRPr="007F6F77">
        <w:rPr>
          <w:rFonts w:eastAsia="標楷體" w:hint="eastAsia"/>
          <w:sz w:val="24"/>
          <w:szCs w:val="32"/>
        </w:rPr>
        <w:t xml:space="preserve">support for </w:t>
      </w:r>
      <w:r w:rsidR="00F07CBF">
        <w:rPr>
          <w:rFonts w:eastAsia="標楷體"/>
          <w:sz w:val="24"/>
          <w:szCs w:val="32"/>
        </w:rPr>
        <w:t xml:space="preserve">keeping the policy rates unchanged </w:t>
      </w:r>
      <w:r w:rsidR="0067475A">
        <w:rPr>
          <w:rFonts w:eastAsia="標楷體"/>
          <w:sz w:val="24"/>
          <w:szCs w:val="32"/>
        </w:rPr>
        <w:t>against a backdrop</w:t>
      </w:r>
      <w:r w:rsidR="00F07CBF">
        <w:rPr>
          <w:rFonts w:eastAsia="標楷體"/>
          <w:sz w:val="24"/>
          <w:szCs w:val="32"/>
        </w:rPr>
        <w:t xml:space="preserve"> of elevated uncertainty over the global economic outlook, relative stable economic conditions at home, ample market liquidity, and already-low interest rates</w:t>
      </w:r>
      <w:r w:rsidR="00385F9A">
        <w:rPr>
          <w:rFonts w:eastAsia="標楷體" w:hint="eastAsia"/>
          <w:sz w:val="24"/>
          <w:szCs w:val="32"/>
        </w:rPr>
        <w:t>.</w:t>
      </w:r>
      <w:r w:rsidR="00F07CBF">
        <w:rPr>
          <w:rFonts w:eastAsia="標楷體"/>
          <w:sz w:val="24"/>
          <w:szCs w:val="32"/>
        </w:rPr>
        <w:t xml:space="preserve"> </w:t>
      </w:r>
    </w:p>
    <w:p w:rsidR="00F07CBF" w:rsidRDefault="00F07CBF" w:rsidP="00C037B1">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O</w:t>
      </w:r>
      <w:r w:rsidR="00873D2E">
        <w:rPr>
          <w:rFonts w:eastAsia="標楷體"/>
          <w:sz w:val="24"/>
          <w:szCs w:val="32"/>
        </w:rPr>
        <w:t xml:space="preserve">ne board director pointed out that although a rate cut would </w:t>
      </w:r>
      <w:r w:rsidR="004465BA">
        <w:rPr>
          <w:rFonts w:eastAsia="標楷體"/>
          <w:sz w:val="24"/>
          <w:szCs w:val="32"/>
        </w:rPr>
        <w:t xml:space="preserve">help </w:t>
      </w:r>
      <w:r w:rsidR="00873D2E">
        <w:rPr>
          <w:rFonts w:eastAsia="標楷體"/>
          <w:sz w:val="24"/>
          <w:szCs w:val="32"/>
        </w:rPr>
        <w:t xml:space="preserve">reduce </w:t>
      </w:r>
      <w:r w:rsidR="004465BA">
        <w:rPr>
          <w:rFonts w:eastAsia="標楷體"/>
          <w:sz w:val="24"/>
          <w:szCs w:val="32"/>
        </w:rPr>
        <w:t xml:space="preserve">interest burdens payable by the national treasury, a rate hold would be the appropriate decision given the current stable economic conditions, the lingering uncertainties, and the importance to consider future policy space. </w:t>
      </w:r>
      <w:r w:rsidR="00882FEC">
        <w:rPr>
          <w:rFonts w:eastAsia="標楷體"/>
          <w:sz w:val="24"/>
          <w:szCs w:val="32"/>
        </w:rPr>
        <w:t>Another board director also stated that it was</w:t>
      </w:r>
      <w:r w:rsidR="001A6597">
        <w:rPr>
          <w:rFonts w:eastAsia="標楷體"/>
          <w:sz w:val="24"/>
          <w:szCs w:val="32"/>
        </w:rPr>
        <w:t xml:space="preserve"> crucial</w:t>
      </w:r>
      <w:r w:rsidR="00882FEC">
        <w:rPr>
          <w:rFonts w:eastAsia="標楷體"/>
          <w:sz w:val="24"/>
          <w:szCs w:val="32"/>
        </w:rPr>
        <w:t xml:space="preserve"> to preserve room for policy maneuver </w:t>
      </w:r>
      <w:r w:rsidR="001A6597">
        <w:rPr>
          <w:rFonts w:eastAsia="標楷體"/>
          <w:sz w:val="24"/>
          <w:szCs w:val="32"/>
        </w:rPr>
        <w:t>in view of an uncertain</w:t>
      </w:r>
      <w:r w:rsidR="00882FEC">
        <w:rPr>
          <w:rFonts w:eastAsia="標楷體"/>
          <w:sz w:val="24"/>
          <w:szCs w:val="32"/>
        </w:rPr>
        <w:t xml:space="preserve"> economic outlook. In addition, protracted low </w:t>
      </w:r>
      <w:r w:rsidR="001D796C">
        <w:rPr>
          <w:rFonts w:eastAsia="標楷體"/>
          <w:sz w:val="24"/>
          <w:szCs w:val="32"/>
        </w:rPr>
        <w:t xml:space="preserve">rates at home might affect the housing market and financial stability. It would therefore be the better approach </w:t>
      </w:r>
      <w:r w:rsidR="001D796C">
        <w:rPr>
          <w:rFonts w:eastAsia="標楷體"/>
          <w:sz w:val="24"/>
          <w:szCs w:val="32"/>
        </w:rPr>
        <w:lastRenderedPageBreak/>
        <w:t xml:space="preserve">to maintain the current policy rate levels. </w:t>
      </w:r>
    </w:p>
    <w:p w:rsidR="001D796C" w:rsidRDefault="00C33F61" w:rsidP="00C037B1">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O</w:t>
      </w:r>
      <w:r>
        <w:rPr>
          <w:rFonts w:eastAsia="標楷體"/>
          <w:sz w:val="24"/>
          <w:szCs w:val="32"/>
        </w:rPr>
        <w:t xml:space="preserve">ne board director pointed out that Taiwan’s economy </w:t>
      </w:r>
      <w:r w:rsidR="00066E29">
        <w:rPr>
          <w:rFonts w:eastAsia="標楷體"/>
          <w:sz w:val="24"/>
          <w:szCs w:val="32"/>
        </w:rPr>
        <w:t xml:space="preserve">had </w:t>
      </w:r>
      <w:r>
        <w:rPr>
          <w:rFonts w:eastAsia="標楷體"/>
          <w:sz w:val="24"/>
          <w:szCs w:val="32"/>
        </w:rPr>
        <w:t>held relatively steady compared to situations abroad; against this b</w:t>
      </w:r>
      <w:r w:rsidR="00066E29">
        <w:rPr>
          <w:rFonts w:eastAsia="標楷體"/>
          <w:sz w:val="24"/>
          <w:szCs w:val="32"/>
        </w:rPr>
        <w:t>ackdrop</w:t>
      </w:r>
      <w:r w:rsidR="00397610">
        <w:rPr>
          <w:rFonts w:eastAsia="標楷體"/>
          <w:sz w:val="24"/>
          <w:szCs w:val="32"/>
        </w:rPr>
        <w:t xml:space="preserve"> and ample domestic liquidity</w:t>
      </w:r>
      <w:r w:rsidR="00066E29">
        <w:rPr>
          <w:rFonts w:eastAsia="標楷體"/>
          <w:sz w:val="24"/>
          <w:szCs w:val="32"/>
        </w:rPr>
        <w:t>, and with the Triple Stimulus Vouchers</w:t>
      </w:r>
      <w:r w:rsidR="00397610">
        <w:rPr>
          <w:rFonts w:eastAsia="標楷體"/>
          <w:sz w:val="24"/>
          <w:szCs w:val="32"/>
        </w:rPr>
        <w:t xml:space="preserve"> to help boost economic growth, there would be no need for a rate cut decision in this meeting. Another board director also favored a rate hold, based mainly on the expectation of </w:t>
      </w:r>
      <w:r w:rsidR="00FC6DDB">
        <w:rPr>
          <w:rFonts w:eastAsia="標楷體"/>
          <w:sz w:val="24"/>
          <w:szCs w:val="32"/>
        </w:rPr>
        <w:t xml:space="preserve">a </w:t>
      </w:r>
      <w:r w:rsidR="00397610">
        <w:rPr>
          <w:rFonts w:eastAsia="標楷體"/>
          <w:sz w:val="24"/>
          <w:szCs w:val="32"/>
        </w:rPr>
        <w:t xml:space="preserve">gradual economic pickup in the second half of the year, and added that a further rate cut following the March one would put more strains on the financial industry and that policy maneuver would need some space given the high uncertainties over a possible second wave of the coronavirus. </w:t>
      </w:r>
    </w:p>
    <w:p w:rsidR="00066E29" w:rsidRDefault="009412C0" w:rsidP="00F4715E">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O</w:t>
      </w:r>
      <w:r>
        <w:rPr>
          <w:rFonts w:eastAsia="標楷體"/>
          <w:sz w:val="24"/>
          <w:szCs w:val="32"/>
        </w:rPr>
        <w:t>ne board director noted that the effects of the March policy rate cut had gradually fed into the market</w:t>
      </w:r>
      <w:r w:rsidR="00F4715E">
        <w:rPr>
          <w:rFonts w:eastAsia="標楷體"/>
          <w:sz w:val="24"/>
          <w:szCs w:val="32"/>
        </w:rPr>
        <w:t xml:space="preserve">. As </w:t>
      </w:r>
      <w:r>
        <w:rPr>
          <w:rFonts w:eastAsia="標楷體"/>
          <w:sz w:val="24"/>
          <w:szCs w:val="32"/>
        </w:rPr>
        <w:t>domestic economic readings were broadly better than those of other major economies</w:t>
      </w:r>
      <w:r w:rsidR="00F4715E">
        <w:rPr>
          <w:rFonts w:eastAsia="標楷體"/>
          <w:sz w:val="24"/>
          <w:szCs w:val="32"/>
        </w:rPr>
        <w:t xml:space="preserve">, another rate cut would not be appropriate at this juncture. Given the high uncertainty about a possible second wave of the coronavirus outbreak in foreign countries, domestic demand would be the more manageable factor. </w:t>
      </w:r>
      <w:r w:rsidR="00AD2FD6">
        <w:rPr>
          <w:rFonts w:eastAsia="標楷體"/>
          <w:sz w:val="24"/>
          <w:szCs w:val="32"/>
        </w:rPr>
        <w:t>Therefore, it</w:t>
      </w:r>
      <w:r w:rsidR="00F4715E">
        <w:rPr>
          <w:rFonts w:eastAsia="標楷體"/>
          <w:sz w:val="24"/>
          <w:szCs w:val="32"/>
        </w:rPr>
        <w:t xml:space="preserve"> was important to </w:t>
      </w:r>
      <w:r w:rsidR="00AD2FD6">
        <w:rPr>
          <w:rFonts w:eastAsia="標楷體"/>
          <w:sz w:val="24"/>
          <w:szCs w:val="32"/>
        </w:rPr>
        <w:t xml:space="preserve">maintain </w:t>
      </w:r>
      <w:r w:rsidR="00F4715E">
        <w:rPr>
          <w:rFonts w:eastAsia="標楷體"/>
          <w:sz w:val="24"/>
          <w:szCs w:val="32"/>
        </w:rPr>
        <w:t>some policy room</w:t>
      </w:r>
      <w:r w:rsidR="00AD2FD6">
        <w:rPr>
          <w:rFonts w:eastAsia="標楷體"/>
          <w:sz w:val="24"/>
          <w:szCs w:val="32"/>
        </w:rPr>
        <w:t xml:space="preserve"> and a rate hold decision was in order.  </w:t>
      </w:r>
      <w:r w:rsidR="00F4715E">
        <w:rPr>
          <w:rFonts w:eastAsia="標楷體"/>
          <w:sz w:val="24"/>
          <w:szCs w:val="32"/>
        </w:rPr>
        <w:t xml:space="preserve"> </w:t>
      </w:r>
    </w:p>
    <w:p w:rsidR="00270CD7" w:rsidRDefault="00D55CF0" w:rsidP="00C037B1">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One board director expressed the view </w:t>
      </w:r>
      <w:r>
        <w:rPr>
          <w:rFonts w:eastAsia="標楷體"/>
          <w:sz w:val="24"/>
          <w:szCs w:val="32"/>
        </w:rPr>
        <w:t>that</w:t>
      </w:r>
      <w:r w:rsidR="000B309A">
        <w:rPr>
          <w:rFonts w:eastAsia="標楷體"/>
          <w:sz w:val="24"/>
          <w:szCs w:val="32"/>
        </w:rPr>
        <w:t xml:space="preserve"> a</w:t>
      </w:r>
      <w:r>
        <w:rPr>
          <w:rFonts w:eastAsia="標楷體"/>
          <w:sz w:val="24"/>
          <w:szCs w:val="32"/>
        </w:rPr>
        <w:t xml:space="preserve"> positive outlook for Taiwan’s economy </w:t>
      </w:r>
      <w:r w:rsidR="000B309A">
        <w:rPr>
          <w:rFonts w:eastAsia="標楷體"/>
          <w:sz w:val="24"/>
          <w:szCs w:val="32"/>
        </w:rPr>
        <w:t xml:space="preserve">in </w:t>
      </w:r>
      <w:r>
        <w:rPr>
          <w:rFonts w:eastAsia="標楷體"/>
          <w:sz w:val="24"/>
          <w:szCs w:val="32"/>
        </w:rPr>
        <w:t>the second half of the year, coupled with low funding costs for firms and ample market liquidity</w:t>
      </w:r>
      <w:r w:rsidR="000B309A">
        <w:rPr>
          <w:rFonts w:eastAsia="標楷體"/>
          <w:sz w:val="24"/>
          <w:szCs w:val="32"/>
        </w:rPr>
        <w:t>,</w:t>
      </w:r>
      <w:r>
        <w:rPr>
          <w:rFonts w:eastAsia="標楷體"/>
          <w:sz w:val="24"/>
          <w:szCs w:val="32"/>
        </w:rPr>
        <w:t xml:space="preserve"> warranted the judgement of not cutting the policy rates. </w:t>
      </w:r>
      <w:r w:rsidR="000B309A">
        <w:rPr>
          <w:rFonts w:eastAsia="標楷體"/>
          <w:sz w:val="24"/>
          <w:szCs w:val="32"/>
        </w:rPr>
        <w:t xml:space="preserve">The March rate cut had achieved an announcement effect, and more rate cuts would not produce significant results given the limited room for banks to </w:t>
      </w:r>
      <w:r w:rsidR="004C5A28">
        <w:rPr>
          <w:rFonts w:eastAsia="標楷體"/>
          <w:sz w:val="24"/>
          <w:szCs w:val="32"/>
        </w:rPr>
        <w:t>slash</w:t>
      </w:r>
      <w:r w:rsidR="000B309A">
        <w:rPr>
          <w:rFonts w:eastAsia="標楷體"/>
          <w:sz w:val="24"/>
          <w:szCs w:val="32"/>
        </w:rPr>
        <w:t xml:space="preserve"> lending rates. In addition, </w:t>
      </w:r>
      <w:r w:rsidR="00BD23FC">
        <w:rPr>
          <w:rFonts w:eastAsia="標楷體"/>
          <w:sz w:val="24"/>
          <w:szCs w:val="32"/>
        </w:rPr>
        <w:t xml:space="preserve">since </w:t>
      </w:r>
      <w:r w:rsidR="000B309A">
        <w:rPr>
          <w:rFonts w:eastAsia="標楷體"/>
          <w:sz w:val="24"/>
          <w:szCs w:val="32"/>
        </w:rPr>
        <w:t>interest rates on home mortgages and corporate loans were alread</w:t>
      </w:r>
      <w:r w:rsidR="004C5A28">
        <w:rPr>
          <w:rFonts w:eastAsia="標楷體"/>
          <w:sz w:val="24"/>
          <w:szCs w:val="32"/>
        </w:rPr>
        <w:t>y at historical lows</w:t>
      </w:r>
      <w:r w:rsidR="00BD23FC">
        <w:rPr>
          <w:rFonts w:eastAsia="標楷體"/>
          <w:sz w:val="24"/>
          <w:szCs w:val="32"/>
        </w:rPr>
        <w:t>,</w:t>
      </w:r>
      <w:r w:rsidR="004C5A28">
        <w:rPr>
          <w:rFonts w:eastAsia="標楷體"/>
          <w:sz w:val="24"/>
          <w:szCs w:val="32"/>
        </w:rPr>
        <w:t xml:space="preserve"> a policy rate cut could further affect bank profitability. Therefore, the director supported the rate hold decision. </w:t>
      </w:r>
    </w:p>
    <w:p w:rsidR="00270CD7" w:rsidRDefault="004C5A28" w:rsidP="00E51923">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A</w:t>
      </w:r>
      <w:r>
        <w:rPr>
          <w:rFonts w:eastAsia="標楷體"/>
          <w:sz w:val="24"/>
          <w:szCs w:val="32"/>
        </w:rPr>
        <w:t xml:space="preserve">nother board director pointed out that it had </w:t>
      </w:r>
      <w:r w:rsidR="009B656A">
        <w:rPr>
          <w:rFonts w:eastAsia="標楷體"/>
          <w:sz w:val="24"/>
          <w:szCs w:val="32"/>
        </w:rPr>
        <w:t xml:space="preserve">often </w:t>
      </w:r>
      <w:r>
        <w:rPr>
          <w:rFonts w:eastAsia="標楷體"/>
          <w:sz w:val="24"/>
          <w:szCs w:val="32"/>
        </w:rPr>
        <w:t>been the Bank’s approach to</w:t>
      </w:r>
      <w:r w:rsidR="00E51923">
        <w:rPr>
          <w:rFonts w:eastAsia="標楷體"/>
          <w:sz w:val="24"/>
          <w:szCs w:val="32"/>
        </w:rPr>
        <w:t xml:space="preserve"> fine-tune the policy rates by </w:t>
      </w:r>
      <w:r>
        <w:rPr>
          <w:rFonts w:eastAsia="標楷體"/>
          <w:sz w:val="24"/>
          <w:szCs w:val="32"/>
        </w:rPr>
        <w:t xml:space="preserve">12.5 basis points for several quarters in a row, in stark contrast to a one-off rate cut </w:t>
      </w:r>
      <w:r w:rsidR="00E51923">
        <w:rPr>
          <w:rFonts w:eastAsia="標楷體"/>
          <w:sz w:val="24"/>
          <w:szCs w:val="32"/>
        </w:rPr>
        <w:t xml:space="preserve">like the one decided </w:t>
      </w:r>
      <w:r>
        <w:rPr>
          <w:rFonts w:eastAsia="標楷體"/>
          <w:sz w:val="24"/>
          <w:szCs w:val="32"/>
        </w:rPr>
        <w:t xml:space="preserve">at the previous meeting. </w:t>
      </w:r>
      <w:r w:rsidR="00E51923">
        <w:rPr>
          <w:rFonts w:eastAsia="標楷體"/>
          <w:sz w:val="24"/>
          <w:szCs w:val="32"/>
        </w:rPr>
        <w:t xml:space="preserve">However, all considered, a further rate </w:t>
      </w:r>
      <w:r w:rsidR="009B656A">
        <w:rPr>
          <w:rFonts w:eastAsia="標楷體"/>
          <w:sz w:val="24"/>
          <w:szCs w:val="32"/>
        </w:rPr>
        <w:t>reduction in this low-rate environment would</w:t>
      </w:r>
      <w:r w:rsidR="00E51923">
        <w:rPr>
          <w:rFonts w:eastAsia="標楷體"/>
          <w:sz w:val="24"/>
          <w:szCs w:val="32"/>
        </w:rPr>
        <w:t>, despite</w:t>
      </w:r>
      <w:r w:rsidR="009B656A">
        <w:rPr>
          <w:rFonts w:eastAsia="標楷體"/>
          <w:sz w:val="24"/>
          <w:szCs w:val="32"/>
        </w:rPr>
        <w:t xml:space="preserve"> </w:t>
      </w:r>
      <w:r w:rsidR="00E51923">
        <w:rPr>
          <w:rFonts w:eastAsia="標楷體"/>
          <w:sz w:val="24"/>
          <w:szCs w:val="32"/>
        </w:rPr>
        <w:t xml:space="preserve">having </w:t>
      </w:r>
      <w:r w:rsidR="009B656A">
        <w:rPr>
          <w:rFonts w:eastAsia="標楷體"/>
          <w:sz w:val="24"/>
          <w:szCs w:val="32"/>
        </w:rPr>
        <w:t>some announcement effect</w:t>
      </w:r>
      <w:r w:rsidR="00E51923">
        <w:rPr>
          <w:rFonts w:eastAsia="標楷體"/>
          <w:sz w:val="24"/>
          <w:szCs w:val="32"/>
        </w:rPr>
        <w:t>, bring about</w:t>
      </w:r>
      <w:r w:rsidR="009066A3">
        <w:rPr>
          <w:rFonts w:eastAsia="標楷體"/>
          <w:sz w:val="24"/>
          <w:szCs w:val="32"/>
        </w:rPr>
        <w:t xml:space="preserve"> relatively limited influence on the real economy</w:t>
      </w:r>
      <w:r w:rsidR="0009648F">
        <w:rPr>
          <w:rFonts w:eastAsia="標楷體"/>
          <w:sz w:val="24"/>
          <w:szCs w:val="32"/>
        </w:rPr>
        <w:t xml:space="preserve">, </w:t>
      </w:r>
      <w:r w:rsidR="009066A3">
        <w:rPr>
          <w:rFonts w:eastAsia="標楷體"/>
          <w:sz w:val="24"/>
          <w:szCs w:val="32"/>
        </w:rPr>
        <w:t xml:space="preserve">while crimping </w:t>
      </w:r>
      <w:r w:rsidR="00E463BB">
        <w:rPr>
          <w:rFonts w:eastAsia="標楷體"/>
          <w:sz w:val="24"/>
          <w:szCs w:val="32"/>
        </w:rPr>
        <w:t>space</w:t>
      </w:r>
      <w:r w:rsidR="009066A3">
        <w:rPr>
          <w:rFonts w:eastAsia="標楷體" w:hint="eastAsia"/>
          <w:sz w:val="24"/>
          <w:szCs w:val="32"/>
        </w:rPr>
        <w:t xml:space="preserve"> for future policy </w:t>
      </w:r>
      <w:r w:rsidR="00E463BB">
        <w:rPr>
          <w:rFonts w:eastAsia="標楷體"/>
          <w:sz w:val="24"/>
          <w:szCs w:val="32"/>
        </w:rPr>
        <w:t>actions</w:t>
      </w:r>
      <w:r w:rsidR="009066A3">
        <w:rPr>
          <w:rFonts w:eastAsia="標楷體" w:hint="eastAsia"/>
          <w:sz w:val="24"/>
          <w:szCs w:val="32"/>
        </w:rPr>
        <w:t xml:space="preserve">. </w:t>
      </w:r>
      <w:r w:rsidR="009066A3">
        <w:rPr>
          <w:rFonts w:eastAsia="標楷體"/>
          <w:sz w:val="24"/>
          <w:szCs w:val="32"/>
        </w:rPr>
        <w:t xml:space="preserve">In addition, </w:t>
      </w:r>
      <w:r w:rsidR="00BD2119">
        <w:rPr>
          <w:rFonts w:eastAsia="標楷體"/>
          <w:sz w:val="24"/>
          <w:szCs w:val="32"/>
        </w:rPr>
        <w:t xml:space="preserve">while also having the announce effect, </w:t>
      </w:r>
      <w:r w:rsidR="009066A3">
        <w:rPr>
          <w:rFonts w:eastAsia="標楷體"/>
          <w:sz w:val="24"/>
          <w:szCs w:val="32"/>
        </w:rPr>
        <w:t>the Bank’s special facility to support SME funding</w:t>
      </w:r>
      <w:r w:rsidR="00BD2119">
        <w:rPr>
          <w:rFonts w:eastAsia="標楷體" w:hint="eastAsia"/>
          <w:sz w:val="24"/>
          <w:szCs w:val="32"/>
        </w:rPr>
        <w:t xml:space="preserve"> </w:t>
      </w:r>
      <w:r w:rsidR="00BD2119">
        <w:rPr>
          <w:rFonts w:eastAsia="標楷體"/>
          <w:sz w:val="24"/>
          <w:szCs w:val="32"/>
        </w:rPr>
        <w:t xml:space="preserve">delivered </w:t>
      </w:r>
      <w:r w:rsidR="00797B13">
        <w:rPr>
          <w:rFonts w:eastAsia="標楷體"/>
          <w:sz w:val="24"/>
          <w:szCs w:val="32"/>
        </w:rPr>
        <w:t>actual results to a much greater exten</w:t>
      </w:r>
      <w:r w:rsidR="0046364C">
        <w:rPr>
          <w:rFonts w:eastAsia="標楷體"/>
          <w:sz w:val="24"/>
          <w:szCs w:val="32"/>
        </w:rPr>
        <w:t>t. In this light, this board</w:t>
      </w:r>
      <w:r w:rsidR="00797B13">
        <w:rPr>
          <w:rFonts w:eastAsia="標楷體"/>
          <w:sz w:val="24"/>
          <w:szCs w:val="32"/>
        </w:rPr>
        <w:t xml:space="preserve"> director </w:t>
      </w:r>
      <w:r w:rsidR="0030599F">
        <w:rPr>
          <w:rFonts w:eastAsia="標楷體"/>
          <w:sz w:val="24"/>
          <w:szCs w:val="32"/>
        </w:rPr>
        <w:t>considered</w:t>
      </w:r>
      <w:r w:rsidR="00797B13">
        <w:rPr>
          <w:rFonts w:eastAsia="標楷體"/>
          <w:sz w:val="24"/>
          <w:szCs w:val="32"/>
        </w:rPr>
        <w:t xml:space="preserve"> that a rate hold decision was justified. </w:t>
      </w:r>
    </w:p>
    <w:p w:rsidR="00270CD7" w:rsidRDefault="00711BCF" w:rsidP="0030599F">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lastRenderedPageBreak/>
        <w:t xml:space="preserve">One board director </w:t>
      </w:r>
      <w:r>
        <w:rPr>
          <w:rFonts w:eastAsia="標楷體"/>
          <w:sz w:val="24"/>
          <w:szCs w:val="32"/>
        </w:rPr>
        <w:t>gave support for a</w:t>
      </w:r>
      <w:r>
        <w:rPr>
          <w:rFonts w:eastAsia="標楷體" w:hint="eastAsia"/>
          <w:sz w:val="24"/>
          <w:szCs w:val="32"/>
        </w:rPr>
        <w:t xml:space="preserve"> rate hold</w:t>
      </w:r>
      <w:r>
        <w:rPr>
          <w:rFonts w:eastAsia="標楷體"/>
          <w:sz w:val="24"/>
          <w:szCs w:val="32"/>
        </w:rPr>
        <w:t xml:space="preserve"> decision</w:t>
      </w:r>
      <w:r>
        <w:rPr>
          <w:rFonts w:eastAsia="標楷體" w:hint="eastAsia"/>
          <w:sz w:val="24"/>
          <w:szCs w:val="32"/>
        </w:rPr>
        <w:t>, citing record low interest rates on deposits and loans amid ample liquidity, as well as</w:t>
      </w:r>
      <w:r>
        <w:rPr>
          <w:rFonts w:eastAsia="標楷體"/>
          <w:sz w:val="24"/>
          <w:szCs w:val="32"/>
        </w:rPr>
        <w:t xml:space="preserve"> </w:t>
      </w:r>
      <w:r>
        <w:rPr>
          <w:rFonts w:eastAsia="標楷體" w:hint="eastAsia"/>
          <w:sz w:val="24"/>
          <w:szCs w:val="32"/>
        </w:rPr>
        <w:t>the Bank</w:t>
      </w:r>
      <w:r>
        <w:rPr>
          <w:rFonts w:eastAsia="標楷體"/>
          <w:sz w:val="24"/>
          <w:szCs w:val="32"/>
        </w:rPr>
        <w:t>’s special SME re-accommodation facility. Th</w:t>
      </w:r>
      <w:r w:rsidR="0030599F">
        <w:rPr>
          <w:rFonts w:eastAsia="標楷體"/>
          <w:sz w:val="24"/>
          <w:szCs w:val="32"/>
        </w:rPr>
        <w:t>is</w:t>
      </w:r>
      <w:r>
        <w:rPr>
          <w:rFonts w:eastAsia="標楷體"/>
          <w:sz w:val="24"/>
          <w:szCs w:val="32"/>
        </w:rPr>
        <w:t xml:space="preserve"> director</w:t>
      </w:r>
      <w:r w:rsidR="005D3608">
        <w:rPr>
          <w:rFonts w:eastAsia="標楷體"/>
          <w:sz w:val="24"/>
          <w:szCs w:val="32"/>
        </w:rPr>
        <w:t xml:space="preserve"> called for </w:t>
      </w:r>
      <w:r w:rsidR="0030599F">
        <w:rPr>
          <w:rFonts w:eastAsia="標楷體"/>
          <w:sz w:val="24"/>
          <w:szCs w:val="32"/>
        </w:rPr>
        <w:t xml:space="preserve">specific </w:t>
      </w:r>
      <w:r w:rsidR="005D3608">
        <w:rPr>
          <w:rFonts w:eastAsia="標楷體"/>
          <w:sz w:val="24"/>
          <w:szCs w:val="32"/>
        </w:rPr>
        <w:t>attention regarding the facility’s assistance for firms heavily hit by the pandemic, as non-electronics sector manufacturers, small retailers, and aviation companies</w:t>
      </w:r>
      <w:r w:rsidR="0030599F">
        <w:rPr>
          <w:rFonts w:eastAsia="標楷體"/>
          <w:sz w:val="24"/>
          <w:szCs w:val="32"/>
        </w:rPr>
        <w:t>, among others,</w:t>
      </w:r>
      <w:r w:rsidR="005D3608">
        <w:rPr>
          <w:rFonts w:eastAsia="標楷體"/>
          <w:sz w:val="24"/>
          <w:szCs w:val="32"/>
        </w:rPr>
        <w:t xml:space="preserve"> were particularly devastated during this crisis.  </w:t>
      </w:r>
    </w:p>
    <w:p w:rsidR="00711BCF" w:rsidRDefault="00130E7D" w:rsidP="00CA62B6">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 </w:t>
      </w:r>
      <w:r w:rsidR="005D3608">
        <w:rPr>
          <w:rFonts w:eastAsia="標楷體" w:hint="eastAsia"/>
          <w:sz w:val="24"/>
          <w:szCs w:val="32"/>
        </w:rPr>
        <w:t xml:space="preserve">Another board director also supported </w:t>
      </w:r>
      <w:r w:rsidR="00D64CDF">
        <w:rPr>
          <w:rFonts w:eastAsia="標楷體"/>
          <w:sz w:val="24"/>
          <w:szCs w:val="32"/>
        </w:rPr>
        <w:t>a rate hold</w:t>
      </w:r>
      <w:r w:rsidR="005D3608">
        <w:rPr>
          <w:rFonts w:eastAsia="標楷體" w:hint="eastAsia"/>
          <w:sz w:val="24"/>
          <w:szCs w:val="32"/>
        </w:rPr>
        <w:t xml:space="preserve">, </w:t>
      </w:r>
      <w:r w:rsidR="005D3608">
        <w:rPr>
          <w:rFonts w:eastAsia="標楷體"/>
          <w:sz w:val="24"/>
          <w:szCs w:val="32"/>
        </w:rPr>
        <w:t>but not on the grounds of preserving futur</w:t>
      </w:r>
      <w:r w:rsidR="00D64CDF">
        <w:rPr>
          <w:rFonts w:eastAsia="標楷體"/>
          <w:sz w:val="24"/>
          <w:szCs w:val="32"/>
        </w:rPr>
        <w:t>e policy maneuver room. Th</w:t>
      </w:r>
      <w:r w:rsidR="0030599F">
        <w:rPr>
          <w:rFonts w:eastAsia="標楷體"/>
          <w:sz w:val="24"/>
          <w:szCs w:val="32"/>
        </w:rPr>
        <w:t>is</w:t>
      </w:r>
      <w:r w:rsidR="00D64CDF">
        <w:rPr>
          <w:rFonts w:eastAsia="標楷體"/>
          <w:sz w:val="24"/>
          <w:szCs w:val="32"/>
        </w:rPr>
        <w:t xml:space="preserve"> director noted that</w:t>
      </w:r>
      <w:r w:rsidR="0030599F">
        <w:rPr>
          <w:rFonts w:eastAsia="標楷體"/>
          <w:sz w:val="24"/>
          <w:szCs w:val="32"/>
        </w:rPr>
        <w:t xml:space="preserve"> even if a future policy action is needed when the pandemic situation does deteriorate and adversely affect the economy, </w:t>
      </w:r>
      <w:r w:rsidR="005D3608">
        <w:rPr>
          <w:rFonts w:eastAsia="標楷體"/>
          <w:sz w:val="24"/>
          <w:szCs w:val="32"/>
        </w:rPr>
        <w:t xml:space="preserve">it would be more appropriate to use tools </w:t>
      </w:r>
      <w:r w:rsidR="0030599F">
        <w:rPr>
          <w:rFonts w:eastAsia="標楷體"/>
          <w:sz w:val="24"/>
          <w:szCs w:val="32"/>
        </w:rPr>
        <w:t>other than rate adjustments</w:t>
      </w:r>
      <w:r w:rsidR="005D3608">
        <w:rPr>
          <w:rFonts w:eastAsia="標楷體"/>
          <w:sz w:val="24"/>
          <w:szCs w:val="32"/>
        </w:rPr>
        <w:t xml:space="preserve">. The historically-low policy rates and the potential harm </w:t>
      </w:r>
      <w:r w:rsidR="00CA62B6">
        <w:rPr>
          <w:rFonts w:eastAsia="標楷體"/>
          <w:sz w:val="24"/>
          <w:szCs w:val="32"/>
        </w:rPr>
        <w:t>stemm</w:t>
      </w:r>
      <w:r w:rsidR="005D3608">
        <w:rPr>
          <w:rFonts w:eastAsia="標楷體"/>
          <w:sz w:val="24"/>
          <w:szCs w:val="32"/>
        </w:rPr>
        <w:t xml:space="preserve">ing from persistently-low interest rates also </w:t>
      </w:r>
      <w:r w:rsidR="0030599F">
        <w:rPr>
          <w:rFonts w:eastAsia="標楷體"/>
          <w:sz w:val="24"/>
          <w:szCs w:val="32"/>
        </w:rPr>
        <w:t>merits</w:t>
      </w:r>
      <w:r w:rsidR="005D3608">
        <w:rPr>
          <w:rFonts w:eastAsia="標楷體"/>
          <w:sz w:val="24"/>
          <w:szCs w:val="32"/>
        </w:rPr>
        <w:t xml:space="preserve"> caution against </w:t>
      </w:r>
      <w:r w:rsidR="006C1719">
        <w:rPr>
          <w:rFonts w:eastAsia="標楷體"/>
          <w:sz w:val="24"/>
          <w:szCs w:val="32"/>
        </w:rPr>
        <w:t>using</w:t>
      </w:r>
      <w:r w:rsidR="005D3608">
        <w:rPr>
          <w:rFonts w:eastAsia="標楷體"/>
          <w:sz w:val="24"/>
          <w:szCs w:val="32"/>
        </w:rPr>
        <w:t xml:space="preserve"> interest rate policy tools. </w:t>
      </w:r>
      <w:r w:rsidR="00CA62B6">
        <w:rPr>
          <w:rFonts w:eastAsia="標楷體"/>
          <w:sz w:val="24"/>
          <w:szCs w:val="32"/>
        </w:rPr>
        <w:t xml:space="preserve">Therefore, should any adjustments to monetary policy stances become warranted in the future, it would be appropriate to </w:t>
      </w:r>
      <w:r w:rsidR="006C1719">
        <w:rPr>
          <w:rFonts w:eastAsia="標楷體"/>
          <w:sz w:val="24"/>
          <w:szCs w:val="32"/>
        </w:rPr>
        <w:t xml:space="preserve">consider other policy instruments. </w:t>
      </w:r>
    </w:p>
    <w:p w:rsidR="00711BCF" w:rsidRDefault="006C1719" w:rsidP="0023292A">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Several board directors expressed support for a rate hold </w:t>
      </w:r>
      <w:r>
        <w:rPr>
          <w:rFonts w:eastAsia="標楷體"/>
          <w:sz w:val="24"/>
          <w:szCs w:val="32"/>
        </w:rPr>
        <w:t>decision</w:t>
      </w:r>
      <w:r>
        <w:rPr>
          <w:rFonts w:eastAsia="標楷體" w:hint="eastAsia"/>
          <w:sz w:val="24"/>
          <w:szCs w:val="32"/>
        </w:rPr>
        <w:t xml:space="preserve"> </w:t>
      </w:r>
      <w:r>
        <w:rPr>
          <w:rFonts w:eastAsia="標楷體"/>
          <w:sz w:val="24"/>
          <w:szCs w:val="32"/>
        </w:rPr>
        <w:t>and discussed recent NT dollar exchange rate movements. One director noted that recent appreciation in the local currency</w:t>
      </w:r>
      <w:r w:rsidR="0030599F">
        <w:rPr>
          <w:rFonts w:eastAsia="標楷體"/>
          <w:sz w:val="24"/>
          <w:szCs w:val="32"/>
        </w:rPr>
        <w:t xml:space="preserve"> was a reflection of </w:t>
      </w:r>
      <w:r>
        <w:rPr>
          <w:rFonts w:eastAsia="標楷體"/>
          <w:sz w:val="24"/>
          <w:szCs w:val="32"/>
        </w:rPr>
        <w:t xml:space="preserve">the strength </w:t>
      </w:r>
      <w:r w:rsidR="0030599F">
        <w:rPr>
          <w:rFonts w:eastAsia="標楷體"/>
          <w:sz w:val="24"/>
          <w:szCs w:val="32"/>
        </w:rPr>
        <w:t xml:space="preserve">in </w:t>
      </w:r>
      <w:r>
        <w:rPr>
          <w:rFonts w:eastAsia="標楷體"/>
          <w:sz w:val="24"/>
          <w:szCs w:val="32"/>
        </w:rPr>
        <w:t xml:space="preserve">Taiwan’s economic fundamentals and the influence of two other near-term factors. The first factor was associated with domestic stock market trends; as </w:t>
      </w:r>
      <w:r w:rsidR="00026FF9">
        <w:rPr>
          <w:rFonts w:eastAsia="標楷體"/>
          <w:sz w:val="24"/>
          <w:szCs w:val="32"/>
        </w:rPr>
        <w:t xml:space="preserve">renewed capital inflows by </w:t>
      </w:r>
      <w:r>
        <w:rPr>
          <w:rFonts w:eastAsia="標楷體"/>
          <w:sz w:val="24"/>
          <w:szCs w:val="32"/>
        </w:rPr>
        <w:t xml:space="preserve">foreign portfolio investors, who </w:t>
      </w:r>
      <w:r w:rsidR="00E463BB">
        <w:rPr>
          <w:rFonts w:eastAsia="標楷體"/>
          <w:sz w:val="24"/>
          <w:szCs w:val="32"/>
        </w:rPr>
        <w:t>repatriated</w:t>
      </w:r>
      <w:r>
        <w:rPr>
          <w:rFonts w:eastAsia="標楷體"/>
          <w:sz w:val="24"/>
          <w:szCs w:val="32"/>
        </w:rPr>
        <w:t xml:space="preserve"> capital during the first few months of the year, </w:t>
      </w:r>
      <w:r w:rsidR="00026FF9">
        <w:rPr>
          <w:rFonts w:eastAsia="標楷體"/>
          <w:sz w:val="24"/>
          <w:szCs w:val="32"/>
        </w:rPr>
        <w:t xml:space="preserve">surged into the local stock market, the NT dollar began to strengthen further and further from end-May through June. The second contributing factor was residents’ capital repatriation during this pandemic outbreak, a pattern </w:t>
      </w:r>
      <w:r w:rsidR="00140E78">
        <w:rPr>
          <w:rFonts w:eastAsia="標楷體"/>
          <w:sz w:val="24"/>
          <w:szCs w:val="32"/>
        </w:rPr>
        <w:t>commonly</w:t>
      </w:r>
      <w:r w:rsidR="00026FF9">
        <w:rPr>
          <w:rFonts w:eastAsia="標楷體"/>
          <w:sz w:val="24"/>
          <w:szCs w:val="32"/>
        </w:rPr>
        <w:t xml:space="preserve"> seen amidst international economic and financial turbulence. </w:t>
      </w:r>
    </w:p>
    <w:p w:rsidR="006C1719" w:rsidRDefault="001E565F" w:rsidP="0023292A">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One board director then stated that stronger NT dollar </w:t>
      </w:r>
      <w:r>
        <w:rPr>
          <w:rFonts w:eastAsia="標楷體"/>
          <w:sz w:val="24"/>
          <w:szCs w:val="32"/>
        </w:rPr>
        <w:t xml:space="preserve">appreciation since the start of the year could be due to the local stock market’s broad rally or the interest spread between Taiwan and foreign economies. </w:t>
      </w:r>
      <w:r>
        <w:rPr>
          <w:rFonts w:eastAsia="標楷體" w:hint="eastAsia"/>
          <w:sz w:val="24"/>
          <w:szCs w:val="32"/>
        </w:rPr>
        <w:t>Ho</w:t>
      </w:r>
      <w:r>
        <w:rPr>
          <w:rFonts w:eastAsia="標楷體"/>
          <w:sz w:val="24"/>
          <w:szCs w:val="32"/>
        </w:rPr>
        <w:t xml:space="preserve">wever, further </w:t>
      </w:r>
      <w:r w:rsidR="00EE097E">
        <w:rPr>
          <w:rFonts w:eastAsia="標楷體"/>
          <w:sz w:val="24"/>
          <w:szCs w:val="32"/>
        </w:rPr>
        <w:t>strength in</w:t>
      </w:r>
      <w:r>
        <w:rPr>
          <w:rFonts w:eastAsia="標楷體"/>
          <w:sz w:val="24"/>
          <w:szCs w:val="32"/>
        </w:rPr>
        <w:t xml:space="preserve"> the local currency could hamper exports and hurt SMEs in this sector; it would be important for the Bank to prepare</w:t>
      </w:r>
      <w:r w:rsidR="007F3E2A">
        <w:rPr>
          <w:rFonts w:eastAsia="標楷體"/>
          <w:sz w:val="24"/>
          <w:szCs w:val="32"/>
        </w:rPr>
        <w:t xml:space="preserve"> ahead</w:t>
      </w:r>
      <w:r>
        <w:rPr>
          <w:rFonts w:eastAsia="標楷體"/>
          <w:sz w:val="24"/>
          <w:szCs w:val="32"/>
        </w:rPr>
        <w:t xml:space="preserve">. </w:t>
      </w:r>
      <w:r w:rsidR="007F3E2A">
        <w:rPr>
          <w:rFonts w:eastAsia="標楷體"/>
          <w:sz w:val="24"/>
          <w:szCs w:val="32"/>
        </w:rPr>
        <w:t xml:space="preserve">Another board director noted that </w:t>
      </w:r>
      <w:r w:rsidR="00EE097E">
        <w:rPr>
          <w:rFonts w:eastAsia="標楷體"/>
          <w:sz w:val="24"/>
          <w:szCs w:val="32"/>
        </w:rPr>
        <w:t xml:space="preserve">the </w:t>
      </w:r>
      <w:r w:rsidR="007F3E2A">
        <w:rPr>
          <w:rFonts w:eastAsia="標楷體"/>
          <w:sz w:val="24"/>
          <w:szCs w:val="32"/>
        </w:rPr>
        <w:t xml:space="preserve">recent uptrend in the NT dollar exchange rate was steeper, warranting attention to possible stress on some export-oriented industries. One other board director also pointed out that, with the policy rates staying put, the effects of NT dollar exchange rate movements on firms and industries should be closely monitored. Another board director then contended that the local currency’s value vis-à-vis those of Taiwan’s primary export competitors might constitute the only reason to even consider a rate cut as the NT dollar </w:t>
      </w:r>
      <w:r w:rsidR="00052EC5">
        <w:rPr>
          <w:rFonts w:eastAsia="標楷體"/>
          <w:sz w:val="24"/>
          <w:szCs w:val="32"/>
        </w:rPr>
        <w:t xml:space="preserve">had </w:t>
      </w:r>
      <w:r w:rsidR="00052EC5">
        <w:rPr>
          <w:rFonts w:eastAsia="標楷體"/>
          <w:sz w:val="24"/>
          <w:szCs w:val="32"/>
        </w:rPr>
        <w:lastRenderedPageBreak/>
        <w:t xml:space="preserve">demonstrated </w:t>
      </w:r>
      <w:r w:rsidR="00EE097E">
        <w:rPr>
          <w:rFonts w:eastAsia="標楷體"/>
          <w:sz w:val="24"/>
          <w:szCs w:val="32"/>
        </w:rPr>
        <w:t>relative</w:t>
      </w:r>
      <w:r w:rsidR="007F3E2A">
        <w:rPr>
          <w:rFonts w:eastAsia="標楷體"/>
          <w:sz w:val="24"/>
          <w:szCs w:val="32"/>
        </w:rPr>
        <w:t xml:space="preserve"> strength</w:t>
      </w:r>
      <w:r w:rsidR="00EE097E">
        <w:rPr>
          <w:rFonts w:eastAsia="標楷體"/>
          <w:sz w:val="24"/>
          <w:szCs w:val="32"/>
        </w:rPr>
        <w:t xml:space="preserve"> </w:t>
      </w:r>
      <w:r w:rsidR="00052EC5">
        <w:rPr>
          <w:rFonts w:eastAsia="標楷體"/>
          <w:sz w:val="24"/>
          <w:szCs w:val="32"/>
        </w:rPr>
        <w:t>in this year so far. However, a cautiously optimistic outlook for the domestic economy in the second half of the year showed little reason to reduce policy rates; therefore, a rate hold would be the appropriate</w:t>
      </w:r>
      <w:r w:rsidR="00052EC5">
        <w:rPr>
          <w:rFonts w:eastAsia="標楷體" w:hint="eastAsia"/>
          <w:sz w:val="24"/>
          <w:szCs w:val="32"/>
        </w:rPr>
        <w:t xml:space="preserve"> </w:t>
      </w:r>
      <w:r w:rsidR="00052EC5">
        <w:rPr>
          <w:rFonts w:eastAsia="標楷體"/>
          <w:sz w:val="24"/>
          <w:szCs w:val="32"/>
        </w:rPr>
        <w:t xml:space="preserve">action. </w:t>
      </w:r>
    </w:p>
    <w:p w:rsidR="00025604" w:rsidRPr="007350BD" w:rsidRDefault="006A083A" w:rsidP="0009648F">
      <w:pPr>
        <w:numPr>
          <w:ilvl w:val="0"/>
          <w:numId w:val="12"/>
        </w:numPr>
        <w:overflowPunct w:val="0"/>
        <w:autoSpaceDE w:val="0"/>
        <w:autoSpaceDN w:val="0"/>
        <w:snapToGrid w:val="0"/>
        <w:spacing w:before="120" w:line="440" w:lineRule="exact"/>
        <w:ind w:left="426" w:hanging="426"/>
        <w:jc w:val="both"/>
        <w:textDirection w:val="lrTbV"/>
        <w:rPr>
          <w:rFonts w:eastAsia="標楷體"/>
          <w:spacing w:val="-2"/>
          <w:sz w:val="24"/>
          <w:szCs w:val="28"/>
        </w:rPr>
      </w:pPr>
      <w:r w:rsidRPr="007350BD">
        <w:rPr>
          <w:rFonts w:eastAsia="標楷體" w:hint="eastAsia"/>
          <w:b/>
          <w:spacing w:val="-2"/>
          <w:sz w:val="24"/>
          <w:szCs w:val="28"/>
        </w:rPr>
        <w:t>Monetary Policy Decision:</w:t>
      </w:r>
      <w:r w:rsidRPr="007350BD">
        <w:rPr>
          <w:rFonts w:eastAsia="標楷體" w:hint="eastAsia"/>
          <w:spacing w:val="-2"/>
          <w:sz w:val="24"/>
          <w:szCs w:val="28"/>
        </w:rPr>
        <w:t xml:space="preserve"> </w:t>
      </w:r>
      <w:r w:rsidR="00CE3BC5" w:rsidRPr="007350BD">
        <w:rPr>
          <w:rFonts w:eastAsia="標楷體" w:hint="eastAsia"/>
          <w:spacing w:val="-2"/>
          <w:sz w:val="24"/>
          <w:szCs w:val="28"/>
        </w:rPr>
        <w:t xml:space="preserve">The board </w:t>
      </w:r>
      <w:r w:rsidR="00025604" w:rsidRPr="007350BD">
        <w:rPr>
          <w:rFonts w:eastAsia="標楷體" w:hint="eastAsia"/>
          <w:spacing w:val="-2"/>
          <w:sz w:val="24"/>
          <w:szCs w:val="28"/>
        </w:rPr>
        <w:t xml:space="preserve">directors </w:t>
      </w:r>
      <w:r w:rsidRPr="007350BD">
        <w:rPr>
          <w:rFonts w:eastAsia="標楷體" w:hint="eastAsia"/>
          <w:spacing w:val="-2"/>
          <w:sz w:val="24"/>
          <w:szCs w:val="28"/>
        </w:rPr>
        <w:t>reached a unanimous vote t</w:t>
      </w:r>
      <w:r w:rsidRPr="007350BD">
        <w:rPr>
          <w:rFonts w:eastAsia="標楷體"/>
          <w:spacing w:val="-2"/>
          <w:sz w:val="24"/>
          <w:szCs w:val="28"/>
        </w:rPr>
        <w:t>o</w:t>
      </w:r>
      <w:r w:rsidR="0009648F" w:rsidRPr="0009648F">
        <w:rPr>
          <w:rFonts w:eastAsia="標楷體"/>
          <w:spacing w:val="-2"/>
          <w:sz w:val="24"/>
          <w:szCs w:val="28"/>
        </w:rPr>
        <w:t xml:space="preserve"> keep the discount rate, the rate on refinancing of secured loans, and the rate on temporary accommodations unchanged at 1.125%, 1.5%, and 3.375%, respectively. </w:t>
      </w:r>
      <w:r w:rsidR="00025604" w:rsidRPr="007350BD">
        <w:rPr>
          <w:rFonts w:eastAsia="標楷體" w:hint="eastAsia"/>
          <w:spacing w:val="-2"/>
          <w:sz w:val="24"/>
          <w:szCs w:val="28"/>
        </w:rPr>
        <w:t xml:space="preserve"> </w:t>
      </w:r>
    </w:p>
    <w:p w:rsidR="006A083A" w:rsidRPr="009605CF" w:rsidRDefault="006A083A" w:rsidP="009605CF">
      <w:pPr>
        <w:pStyle w:val="afff6"/>
        <w:numPr>
          <w:ilvl w:val="2"/>
          <w:numId w:val="26"/>
        </w:numPr>
        <w:adjustRightInd/>
        <w:snapToGrid w:val="0"/>
        <w:spacing w:before="120" w:line="440" w:lineRule="exact"/>
        <w:ind w:leftChars="0" w:left="426" w:hanging="426"/>
        <w:rPr>
          <w:rFonts w:ascii="Times New Roman" w:eastAsia="標楷體"/>
          <w:b/>
          <w:sz w:val="28"/>
          <w:szCs w:val="28"/>
        </w:rPr>
      </w:pPr>
      <w:r w:rsidRPr="009605CF">
        <w:rPr>
          <w:rFonts w:ascii="Times New Roman" w:eastAsia="標楷體" w:hint="eastAsia"/>
          <w:b/>
          <w:sz w:val="28"/>
          <w:szCs w:val="28"/>
        </w:rPr>
        <w:t xml:space="preserve">The Press Release </w:t>
      </w:r>
    </w:p>
    <w:p w:rsidR="00660C42" w:rsidRDefault="00660C42" w:rsidP="00660C42">
      <w:pPr>
        <w:spacing w:before="120" w:line="440" w:lineRule="exact"/>
        <w:ind w:firstLineChars="200" w:firstLine="480"/>
        <w:jc w:val="both"/>
        <w:rPr>
          <w:rFonts w:eastAsia="標楷體"/>
          <w:sz w:val="24"/>
          <w:szCs w:val="28"/>
        </w:rPr>
      </w:pPr>
      <w:r w:rsidRPr="00660C42">
        <w:rPr>
          <w:rFonts w:eastAsia="標楷體"/>
          <w:sz w:val="24"/>
          <w:szCs w:val="28"/>
        </w:rPr>
        <w:t>The board directors and supervisors approved unanimously to issue the following press release in the post-meeting press conference, together with the Supplementary Materials for the Post-Monetary Policy Meeting Press Conference prepared by the Bank.</w:t>
      </w:r>
    </w:p>
    <w:p w:rsidR="00660C42" w:rsidRDefault="00660C42">
      <w:pPr>
        <w:widowControl/>
        <w:adjustRightInd/>
        <w:spacing w:line="240" w:lineRule="auto"/>
        <w:textAlignment w:val="auto"/>
        <w:rPr>
          <w:rFonts w:eastAsia="標楷體"/>
          <w:sz w:val="24"/>
          <w:szCs w:val="28"/>
        </w:rPr>
      </w:pPr>
      <w:r>
        <w:rPr>
          <w:rFonts w:eastAsia="標楷體"/>
          <w:sz w:val="24"/>
          <w:szCs w:val="28"/>
        </w:rPr>
        <w:br w:type="page"/>
      </w:r>
    </w:p>
    <w:p w:rsidR="00660C42" w:rsidRPr="00660C42" w:rsidRDefault="00660C42" w:rsidP="00BC6D04">
      <w:pPr>
        <w:pStyle w:val="11"/>
        <w:tabs>
          <w:tab w:val="left" w:pos="0"/>
        </w:tabs>
        <w:spacing w:before="0" w:afterLines="50" w:after="120" w:line="320" w:lineRule="exact"/>
        <w:ind w:right="-28"/>
        <w:jc w:val="center"/>
        <w:rPr>
          <w:rFonts w:ascii="Times New Roman" w:hAnsi="Times New Roman" w:cs="Times New Roman"/>
          <w:sz w:val="28"/>
          <w:szCs w:val="28"/>
        </w:rPr>
      </w:pPr>
      <w:r w:rsidRPr="00660C42">
        <w:rPr>
          <w:rFonts w:ascii="Times New Roman" w:hAnsi="Times New Roman" w:cs="Times New Roman"/>
          <w:sz w:val="28"/>
          <w:szCs w:val="28"/>
        </w:rPr>
        <w:lastRenderedPageBreak/>
        <w:t>Monetary Policy Decisions of the Board Meeting</w:t>
      </w:r>
    </w:p>
    <w:p w:rsidR="001A1E40" w:rsidRPr="001A1E40" w:rsidRDefault="001A1E40" w:rsidP="001A1E40">
      <w:pPr>
        <w:pStyle w:val="af4"/>
        <w:adjustRightInd/>
        <w:spacing w:before="0" w:afterLines="50" w:after="120" w:line="320" w:lineRule="exact"/>
        <w:ind w:left="480"/>
        <w:jc w:val="right"/>
        <w:textAlignment w:val="auto"/>
        <w:rPr>
          <w:sz w:val="22"/>
          <w:szCs w:val="24"/>
        </w:rPr>
      </w:pPr>
      <w:r w:rsidRPr="001A1E40">
        <w:rPr>
          <w:sz w:val="24"/>
        </w:rPr>
        <w:t>Release Date: June 18, 2020</w:t>
      </w:r>
    </w:p>
    <w:p w:rsidR="00660C42" w:rsidRPr="00660C42" w:rsidRDefault="00660C42" w:rsidP="00660C42">
      <w:pPr>
        <w:pStyle w:val="af4"/>
        <w:numPr>
          <w:ilvl w:val="0"/>
          <w:numId w:val="7"/>
        </w:numPr>
        <w:tabs>
          <w:tab w:val="clear" w:pos="480"/>
          <w:tab w:val="num" w:pos="426"/>
        </w:tabs>
        <w:adjustRightInd/>
        <w:spacing w:before="0" w:afterLines="50" w:after="120" w:line="320" w:lineRule="exact"/>
        <w:jc w:val="both"/>
        <w:textAlignment w:val="auto"/>
        <w:rPr>
          <w:sz w:val="24"/>
          <w:szCs w:val="24"/>
        </w:rPr>
      </w:pPr>
      <w:r w:rsidRPr="00660C42">
        <w:rPr>
          <w:sz w:val="24"/>
          <w:szCs w:val="24"/>
        </w:rPr>
        <w:t>Global economic and financial conditions</w:t>
      </w:r>
    </w:p>
    <w:p w:rsidR="00660C42" w:rsidRPr="00660C42" w:rsidRDefault="00660C42" w:rsidP="008B120C">
      <w:pPr>
        <w:pStyle w:val="afff6"/>
        <w:spacing w:afterLines="50" w:after="120" w:line="400" w:lineRule="exact"/>
        <w:ind w:left="400"/>
        <w:rPr>
          <w:rFonts w:ascii="Times New Roman"/>
          <w:sz w:val="24"/>
          <w:szCs w:val="24"/>
        </w:rPr>
      </w:pPr>
      <w:r w:rsidRPr="00660C42">
        <w:rPr>
          <w:rFonts w:ascii="Times New Roman"/>
          <w:sz w:val="24"/>
          <w:szCs w:val="24"/>
        </w:rPr>
        <w:t>Since the Board met in late March this year, the spread of the coronavirus (COVID-19) pandemic has prompted many economies to implement containment and lockdown measures, resulting in economic shutdowns and dramatic volatility in international financial markets. Falling global demand, disruptions to global supply chains, as well as persistently low international oil prices have contributed to output losses and a marked drop in inflation. International institutions have projected the world economy to experience a severe recession this year. Major economies have rolled out large-scale fiscal stimulus measures and provided stronger monetary policy support to underpin economic activity badly hit by the virus outbreak.</w:t>
      </w:r>
    </w:p>
    <w:p w:rsidR="00660C42" w:rsidRPr="00660C42" w:rsidRDefault="00660C42" w:rsidP="003A3027">
      <w:pPr>
        <w:pStyle w:val="afff6"/>
        <w:spacing w:afterLines="50" w:after="120" w:line="400" w:lineRule="exact"/>
        <w:ind w:leftChars="0"/>
        <w:rPr>
          <w:rFonts w:ascii="Times New Roman"/>
          <w:sz w:val="24"/>
          <w:szCs w:val="24"/>
        </w:rPr>
      </w:pPr>
      <w:r w:rsidRPr="00660C42">
        <w:rPr>
          <w:rFonts w:ascii="Times New Roman"/>
          <w:sz w:val="24"/>
          <w:szCs w:val="24"/>
        </w:rPr>
        <w:t>As major economies successively lifted lockdown measures in recent weeks and restarted economic activity, the global economy is likely to gradually recover from the economic downturn. Meanwhile, major central banks have broadly kept policy rates unchanged. Nevertheless, a string of uncertainties such as the future course of the pandemic, US-China relations, heightened global financial fragility, and geopolitical risks constitute key variables clouding the world economic outlook.</w:t>
      </w:r>
    </w:p>
    <w:p w:rsidR="00660C42" w:rsidRPr="00660C42" w:rsidRDefault="00660C42" w:rsidP="00660C42">
      <w:pPr>
        <w:pStyle w:val="af4"/>
        <w:numPr>
          <w:ilvl w:val="0"/>
          <w:numId w:val="7"/>
        </w:numPr>
        <w:tabs>
          <w:tab w:val="clear" w:pos="480"/>
          <w:tab w:val="num" w:pos="426"/>
        </w:tabs>
        <w:adjustRightInd/>
        <w:spacing w:before="0" w:afterLines="50" w:after="120" w:line="320" w:lineRule="exact"/>
        <w:jc w:val="both"/>
        <w:textAlignment w:val="auto"/>
        <w:rPr>
          <w:sz w:val="24"/>
          <w:szCs w:val="24"/>
        </w:rPr>
      </w:pPr>
      <w:r w:rsidRPr="00660C42">
        <w:rPr>
          <w:sz w:val="24"/>
          <w:szCs w:val="24"/>
        </w:rPr>
        <w:t>Domestic economic and financial conditions</w:t>
      </w:r>
    </w:p>
    <w:p w:rsidR="00660C42" w:rsidRPr="00660C42" w:rsidRDefault="00660C42" w:rsidP="00660C42">
      <w:pPr>
        <w:pStyle w:val="afff6"/>
        <w:numPr>
          <w:ilvl w:val="0"/>
          <w:numId w:val="8"/>
        </w:numPr>
        <w:adjustRightInd/>
        <w:spacing w:afterLines="50" w:after="120" w:line="400" w:lineRule="exact"/>
        <w:ind w:leftChars="0"/>
        <w:textAlignment w:val="auto"/>
        <w:rPr>
          <w:rFonts w:ascii="Times New Roman"/>
          <w:sz w:val="24"/>
          <w:szCs w:val="24"/>
        </w:rPr>
      </w:pPr>
      <w:r w:rsidRPr="00660C42">
        <w:rPr>
          <w:rFonts w:ascii="Times New Roman"/>
          <w:sz w:val="24"/>
          <w:szCs w:val="24"/>
        </w:rPr>
        <w:t>The coronavirus outbreak has caused both domestic and external demand to soften and Taiwan's economic growth to decelerate since early this year. Exports have registered months of negative growth and consumer confidence has remained weak, leading to substantial declines in retail sales and restaurant business. However, private investment, bolstered by the semiconductor industry's increased imports of capital equipment, and government spending have sustained economic growth. With regard to labor market conditions, the number of employed persons decreased and the unemployment rate moved up, while wage growth moderated.</w:t>
      </w:r>
    </w:p>
    <w:p w:rsidR="00660C42" w:rsidRPr="00660C42" w:rsidRDefault="00660C42" w:rsidP="003A3027">
      <w:pPr>
        <w:pStyle w:val="afff6"/>
        <w:spacing w:afterLines="50" w:after="120" w:line="400" w:lineRule="exact"/>
        <w:ind w:leftChars="0" w:left="360"/>
        <w:rPr>
          <w:rFonts w:ascii="Times New Roman"/>
          <w:sz w:val="24"/>
          <w:szCs w:val="24"/>
        </w:rPr>
      </w:pPr>
      <w:r w:rsidRPr="00660C42">
        <w:rPr>
          <w:rFonts w:ascii="Times New Roman"/>
          <w:sz w:val="24"/>
          <w:szCs w:val="24"/>
        </w:rPr>
        <w:t xml:space="preserve">Looking ahead to the second half of the year, the pandemic could continue to weigh on the growth momentum for the global economy and trade, putting a dent on Taiwan's exports and inbound tourism. Growth in service exports would remain constrained. Nevertheless, with the easing of domestic social distancing restrictions </w:t>
      </w:r>
      <w:r w:rsidRPr="00660C42">
        <w:rPr>
          <w:rFonts w:ascii="Times New Roman"/>
          <w:sz w:val="24"/>
          <w:szCs w:val="24"/>
        </w:rPr>
        <w:lastRenderedPageBreak/>
        <w:t xml:space="preserve">and the introduction of stimulus measures to boost consumption, private consumption is likely to witness a rebound. In addition, mild growth in private investment and steady expansion in government spending are also expected to push up economic growth quarter by quarter. Therefore, the Bank forecasts the domestic economy to expand by 1.52% in 2020 (Appendix Table 1). </w:t>
      </w:r>
    </w:p>
    <w:p w:rsidR="00660C42" w:rsidRPr="00660C42" w:rsidRDefault="00660C42" w:rsidP="00660C42">
      <w:pPr>
        <w:pStyle w:val="afff6"/>
        <w:numPr>
          <w:ilvl w:val="0"/>
          <w:numId w:val="8"/>
        </w:numPr>
        <w:adjustRightInd/>
        <w:spacing w:afterLines="50" w:after="120" w:line="400" w:lineRule="exact"/>
        <w:ind w:leftChars="0"/>
        <w:textAlignment w:val="auto"/>
        <w:rPr>
          <w:rFonts w:ascii="Times New Roman"/>
          <w:sz w:val="24"/>
          <w:szCs w:val="24"/>
        </w:rPr>
      </w:pPr>
      <w:r w:rsidRPr="00660C42">
        <w:rPr>
          <w:rFonts w:ascii="Times New Roman"/>
          <w:sz w:val="24"/>
          <w:szCs w:val="24"/>
        </w:rPr>
        <w:t xml:space="preserve">For the first five months of the year, the consumer price index (CPI) registered an average annual growth rate of -0.11%, affected mainly by price slumps in energy items such as fuel and gas. The core CPI (excluding fruit, vegetables, and energy) recorded an average annual growth rate of 0.29%. </w:t>
      </w:r>
    </w:p>
    <w:p w:rsidR="00660C42" w:rsidRPr="00660C42" w:rsidRDefault="00660C42" w:rsidP="000025C1">
      <w:pPr>
        <w:pStyle w:val="afff6"/>
        <w:spacing w:afterLines="50" w:after="120" w:line="400" w:lineRule="exact"/>
        <w:ind w:leftChars="0" w:left="360"/>
        <w:rPr>
          <w:rFonts w:ascii="Times New Roman"/>
          <w:sz w:val="24"/>
          <w:szCs w:val="24"/>
        </w:rPr>
      </w:pPr>
      <w:r w:rsidRPr="00660C42">
        <w:rPr>
          <w:rFonts w:ascii="Times New Roman"/>
          <w:sz w:val="24"/>
          <w:szCs w:val="24"/>
        </w:rPr>
        <w:t>In terms of the outlook for the second half of the year, domestic inflation is likely to experience weaker downside pressures from energy price declines as international oil prices are expected to gradually pick up with the easing of the pandemic. Combined with a rebound in domestic consumer demand, it is projected that the CPI annual growth rate for the latter half of 2020 would register higher than that for the first half. For this year as a whole, the Bank forecasts the CPI and core CPI annual growth rates to be 0.01% and 0.36%, respectively (Appendix Table 2).</w:t>
      </w:r>
    </w:p>
    <w:p w:rsidR="00660C42" w:rsidRPr="00660C42" w:rsidRDefault="00660C42" w:rsidP="00660C42">
      <w:pPr>
        <w:pStyle w:val="afff6"/>
        <w:numPr>
          <w:ilvl w:val="0"/>
          <w:numId w:val="8"/>
        </w:numPr>
        <w:adjustRightInd/>
        <w:spacing w:afterLines="50" w:after="120" w:line="400" w:lineRule="exact"/>
        <w:ind w:leftChars="0"/>
        <w:textAlignment w:val="auto"/>
        <w:rPr>
          <w:rFonts w:ascii="Times New Roman"/>
          <w:sz w:val="24"/>
          <w:szCs w:val="24"/>
        </w:rPr>
      </w:pPr>
      <w:r w:rsidRPr="00660C42">
        <w:rPr>
          <w:rFonts w:ascii="Times New Roman"/>
          <w:sz w:val="24"/>
          <w:szCs w:val="24"/>
        </w:rPr>
        <w:t xml:space="preserve">In view of the economic impacts of the pandemic, the government has introduced relief loan programs both for enterprises and for workers. Meanwhile, the Bank has announced an NT$200 billion special accommodation facility to support lending to small and medium-sized enterprises (SMEs). Since its launch on April 1, banks have processed 87,348 loan applications totaling NT$75.6 billion. Reflecting these results, bank credit to SMEs has risen and total bank lending grew by more than 6% year on year as of the end of May. </w:t>
      </w:r>
    </w:p>
    <w:p w:rsidR="00660C42" w:rsidRPr="00660C42" w:rsidRDefault="00660C42" w:rsidP="009666C4">
      <w:pPr>
        <w:pStyle w:val="afff6"/>
        <w:spacing w:afterLines="50" w:after="120" w:line="400" w:lineRule="exact"/>
        <w:ind w:leftChars="0" w:left="357"/>
        <w:rPr>
          <w:rFonts w:ascii="Times New Roman"/>
          <w:sz w:val="24"/>
          <w:szCs w:val="24"/>
        </w:rPr>
      </w:pPr>
      <w:r w:rsidRPr="00660C42">
        <w:rPr>
          <w:rFonts w:ascii="Times New Roman"/>
          <w:sz w:val="24"/>
          <w:szCs w:val="24"/>
        </w:rPr>
        <w:t xml:space="preserve">With ample liquidity in the domestic banking system, coupled with the aforementioned facility and government measures, financial intermediation has functioned well and the flow of credit to SMEs has been smooth, helping to sustain businesses, retain jobs, and protect paychecks. Furthermore, the Bank's policy rate cut in March has brought down long and short-term market rates and thus alleviated the interest burdens on corporates and households, which have mitigated the pandemic's damage to economic activity and the labor market. </w:t>
      </w:r>
    </w:p>
    <w:p w:rsidR="00660C42" w:rsidRPr="00660C42" w:rsidRDefault="00660C42" w:rsidP="00660C42">
      <w:pPr>
        <w:pStyle w:val="af4"/>
        <w:widowControl/>
        <w:numPr>
          <w:ilvl w:val="0"/>
          <w:numId w:val="7"/>
        </w:numPr>
        <w:adjustRightInd/>
        <w:spacing w:before="0" w:afterLines="50" w:after="120" w:line="400" w:lineRule="exact"/>
        <w:jc w:val="both"/>
        <w:textAlignment w:val="auto"/>
        <w:rPr>
          <w:sz w:val="24"/>
          <w:szCs w:val="24"/>
        </w:rPr>
      </w:pPr>
      <w:r w:rsidRPr="00660C42">
        <w:rPr>
          <w:sz w:val="24"/>
          <w:szCs w:val="24"/>
        </w:rPr>
        <w:t>Monetary policy decision</w:t>
      </w:r>
    </w:p>
    <w:p w:rsidR="00660C42" w:rsidRPr="00660C42" w:rsidRDefault="00660C42" w:rsidP="005B6B6A">
      <w:pPr>
        <w:spacing w:afterLines="50" w:after="120" w:line="400" w:lineRule="exact"/>
        <w:ind w:leftChars="118" w:left="236" w:firstLine="1"/>
        <w:jc w:val="both"/>
        <w:rPr>
          <w:sz w:val="24"/>
          <w:szCs w:val="24"/>
        </w:rPr>
      </w:pPr>
      <w:r w:rsidRPr="00660C42">
        <w:rPr>
          <w:sz w:val="24"/>
          <w:szCs w:val="24"/>
        </w:rPr>
        <w:t xml:space="preserve">With the domestic outbreak kept under control and fiscal and monetary expansion starting to </w:t>
      </w:r>
      <w:r w:rsidRPr="00660C42">
        <w:rPr>
          <w:sz w:val="24"/>
          <w:szCs w:val="24"/>
        </w:rPr>
        <w:lastRenderedPageBreak/>
        <w:t xml:space="preserve">bear fruit, Taiwan's economic system has stayed broadly on track. Despite many uncertainties over the global economic outlook, domestic demand is likely to drive the economy towards a mild upturn. In addition, since muted inflation and weakening inflation expectations are expected to be transitory, prices are likely to stabilize in the second half of the year. Against this backdrop, the Board judged that a policy rate hold and a continued accommodative monetary policy stance will help ensure price and financial stability and foster economic growth. </w:t>
      </w:r>
    </w:p>
    <w:p w:rsidR="00660C42" w:rsidRPr="00660C42" w:rsidRDefault="00660C42" w:rsidP="005A352A">
      <w:pPr>
        <w:spacing w:line="400" w:lineRule="exact"/>
        <w:ind w:leftChars="118" w:left="236" w:firstLine="1"/>
        <w:jc w:val="both"/>
        <w:rPr>
          <w:sz w:val="24"/>
          <w:szCs w:val="24"/>
        </w:rPr>
      </w:pPr>
      <w:r w:rsidRPr="00660C42">
        <w:rPr>
          <w:sz w:val="24"/>
          <w:szCs w:val="24"/>
        </w:rPr>
        <w:t>The Board reached the following decisions unanimously at the Meeting today:</w:t>
      </w:r>
    </w:p>
    <w:p w:rsidR="00660C42" w:rsidRPr="00660C42" w:rsidRDefault="00660C42" w:rsidP="007B31B3">
      <w:pPr>
        <w:pStyle w:val="afff6"/>
        <w:spacing w:afterLines="50" w:after="120" w:line="400" w:lineRule="exact"/>
        <w:ind w:leftChars="350" w:left="700"/>
        <w:rPr>
          <w:rFonts w:ascii="Times New Roman"/>
          <w:sz w:val="24"/>
          <w:szCs w:val="24"/>
        </w:rPr>
      </w:pPr>
      <w:r w:rsidRPr="00660C42">
        <w:rPr>
          <w:rFonts w:ascii="Times New Roman"/>
          <w:sz w:val="24"/>
          <w:szCs w:val="24"/>
        </w:rPr>
        <w:t>The discount rate, the rate on refinancing of secured loans, and the rate on temporary accommodations are kept unchanged at 1.125%, 1.50%, and 3.375%, respectively.</w:t>
      </w:r>
    </w:p>
    <w:p w:rsidR="00660C42" w:rsidRPr="00660C42" w:rsidRDefault="00660C42" w:rsidP="00DF134D">
      <w:pPr>
        <w:pStyle w:val="afff6"/>
        <w:spacing w:afterLines="50" w:after="120" w:line="400" w:lineRule="exact"/>
        <w:ind w:leftChars="0" w:left="357"/>
        <w:rPr>
          <w:rFonts w:ascii="Times New Roman"/>
          <w:sz w:val="24"/>
          <w:szCs w:val="24"/>
        </w:rPr>
      </w:pPr>
      <w:r w:rsidRPr="00660C42">
        <w:rPr>
          <w:rFonts w:ascii="Times New Roman"/>
          <w:sz w:val="24"/>
          <w:szCs w:val="24"/>
        </w:rPr>
        <w:t xml:space="preserve">The Bank will continue to closely monitor the future course of the coronavirus pandemic, the monetary policy actions by major economies and the outcome of their stimulus measures, and the economic and financial conditions and price trends at home and abroad. The Bank will, should the situation warrants, hold Executive Directors' Meetings or emergency Board Meetings outside the regular schedule and deploy appropriate monetary policy tools to achieve its statutory duties. </w:t>
      </w:r>
    </w:p>
    <w:p w:rsidR="00660C42" w:rsidRPr="00660C42" w:rsidRDefault="00660C42" w:rsidP="00660C42">
      <w:pPr>
        <w:pStyle w:val="af4"/>
        <w:widowControl/>
        <w:numPr>
          <w:ilvl w:val="0"/>
          <w:numId w:val="7"/>
        </w:numPr>
        <w:adjustRightInd/>
        <w:spacing w:before="0" w:afterLines="50" w:after="120" w:line="400" w:lineRule="exact"/>
        <w:jc w:val="both"/>
        <w:textAlignment w:val="auto"/>
        <w:rPr>
          <w:sz w:val="24"/>
          <w:szCs w:val="24"/>
        </w:rPr>
      </w:pPr>
      <w:r w:rsidRPr="00660C42">
        <w:rPr>
          <w:sz w:val="24"/>
          <w:szCs w:val="24"/>
        </w:rPr>
        <w:t xml:space="preserve">The Bank will evaluate regularly the implementation of the special accommodation facility and make adjustments to the size and duration of the program as appropriate. The Bank urges domestic financial institutions to adequately fulfill their roles as financial intermediaries and actively extend loans under the facility, so as to ensure that the SMEs (including small business entities) affected by the pandemic can obtain the funds needed to support their operations. </w:t>
      </w:r>
    </w:p>
    <w:p w:rsidR="00660C42" w:rsidRPr="00660C42" w:rsidRDefault="00660C42" w:rsidP="00660C42">
      <w:pPr>
        <w:pStyle w:val="af4"/>
        <w:widowControl/>
        <w:numPr>
          <w:ilvl w:val="0"/>
          <w:numId w:val="7"/>
        </w:numPr>
        <w:adjustRightInd/>
        <w:spacing w:before="0" w:afterLines="50" w:after="120" w:line="400" w:lineRule="exact"/>
        <w:jc w:val="both"/>
        <w:textAlignment w:val="auto"/>
        <w:rPr>
          <w:sz w:val="24"/>
          <w:szCs w:val="24"/>
        </w:rPr>
      </w:pPr>
      <w:r w:rsidRPr="00660C42">
        <w:rPr>
          <w:sz w:val="24"/>
          <w:szCs w:val="24"/>
        </w:rPr>
        <w:t>The NT dollar exchange rate is in principle determined by market forces. However, uncertainties surrounding the global economic outlook have led to heightened volatility across international financial markets, with adverse implications for the stability of Taiwan's foreign exchange and financial markets. The Bank will pay close attention to cross-border capital movements and act in line with</w:t>
      </w:r>
      <w:r w:rsidRPr="00660C42">
        <w:rPr>
          <w:color w:val="C00000"/>
          <w:sz w:val="24"/>
          <w:szCs w:val="24"/>
        </w:rPr>
        <w:t xml:space="preserve"> </w:t>
      </w:r>
      <w:r w:rsidRPr="00660C42">
        <w:rPr>
          <w:sz w:val="24"/>
          <w:szCs w:val="24"/>
        </w:rPr>
        <w:t xml:space="preserve">its mandate to maintain an orderly foreign exchange market and safeguard financial market stability. </w:t>
      </w:r>
    </w:p>
    <w:p w:rsidR="00660C42" w:rsidRPr="007B36F7" w:rsidRDefault="00660C42" w:rsidP="007B36F7">
      <w:pPr>
        <w:pStyle w:val="af4"/>
        <w:widowControl/>
        <w:spacing w:afterLines="50" w:after="120" w:line="400" w:lineRule="exact"/>
        <w:ind w:left="480"/>
        <w:rPr>
          <w:szCs w:val="28"/>
        </w:rPr>
      </w:pPr>
    </w:p>
    <w:p w:rsidR="00660C42" w:rsidRDefault="00660C42" w:rsidP="00F359B0">
      <w:pPr>
        <w:pStyle w:val="af4"/>
        <w:widowControl/>
        <w:spacing w:afterLines="50" w:after="120" w:line="400" w:lineRule="exact"/>
        <w:rPr>
          <w:szCs w:val="28"/>
        </w:rPr>
      </w:pPr>
    </w:p>
    <w:p w:rsidR="00660C42" w:rsidRPr="000D2A64" w:rsidRDefault="00660C42" w:rsidP="00F359B0">
      <w:pPr>
        <w:pStyle w:val="af4"/>
        <w:widowControl/>
        <w:spacing w:afterLines="50" w:after="120" w:line="400" w:lineRule="exact"/>
        <w:rPr>
          <w:szCs w:val="28"/>
        </w:rPr>
      </w:pPr>
    </w:p>
    <w:p w:rsidR="00660C42" w:rsidRDefault="00660C42">
      <w:pPr>
        <w:widowControl/>
        <w:adjustRightInd/>
        <w:spacing w:line="240" w:lineRule="auto"/>
        <w:textAlignment w:val="auto"/>
        <w:rPr>
          <w:rFonts w:eastAsia="標楷體"/>
          <w:sz w:val="24"/>
          <w:szCs w:val="28"/>
        </w:rPr>
      </w:pPr>
      <w:r>
        <w:rPr>
          <w:rFonts w:eastAsia="標楷體"/>
          <w:sz w:val="24"/>
          <w:szCs w:val="28"/>
        </w:rPr>
        <w:br w:type="page"/>
      </w:r>
    </w:p>
    <w:p w:rsidR="001A1E40" w:rsidRPr="00C54C9A" w:rsidRDefault="001A1E40" w:rsidP="00813F67">
      <w:pPr>
        <w:spacing w:line="480" w:lineRule="exact"/>
        <w:jc w:val="center"/>
        <w:rPr>
          <w:rFonts w:eastAsia="標楷體"/>
          <w:b/>
          <w:sz w:val="32"/>
          <w:szCs w:val="32"/>
        </w:rPr>
      </w:pPr>
      <w:r w:rsidRPr="00C54C9A">
        <w:rPr>
          <w:rFonts w:eastAsia="標楷體" w:hint="eastAsia"/>
          <w:b/>
          <w:sz w:val="32"/>
          <w:szCs w:val="32"/>
        </w:rPr>
        <w:lastRenderedPageBreak/>
        <w:t>Appendix</w:t>
      </w:r>
    </w:p>
    <w:p w:rsidR="001A1E40" w:rsidRDefault="001A1E40" w:rsidP="00813F67">
      <w:pPr>
        <w:spacing w:line="480" w:lineRule="exact"/>
        <w:jc w:val="center"/>
        <w:rPr>
          <w:rFonts w:eastAsia="標楷體"/>
          <w:b/>
          <w:sz w:val="32"/>
          <w:szCs w:val="28"/>
        </w:rPr>
      </w:pPr>
      <w:r w:rsidRPr="00C54C9A">
        <w:rPr>
          <w:rFonts w:eastAsia="標楷體" w:hint="eastAsia"/>
          <w:b/>
          <w:sz w:val="28"/>
          <w:szCs w:val="28"/>
        </w:rPr>
        <w:t xml:space="preserve">Table 1  </w:t>
      </w:r>
      <w:r w:rsidRPr="00C54C9A">
        <w:rPr>
          <w:rFonts w:eastAsia="標楷體"/>
          <w:b/>
          <w:sz w:val="28"/>
          <w:szCs w:val="28"/>
        </w:rPr>
        <w:t>Taiwan</w:t>
      </w:r>
      <w:r w:rsidRPr="00C54C9A">
        <w:rPr>
          <w:rFonts w:eastAsia="標楷體" w:hint="eastAsia"/>
          <w:b/>
          <w:sz w:val="28"/>
          <w:szCs w:val="28"/>
        </w:rPr>
        <w:t>'</w:t>
      </w:r>
      <w:r w:rsidRPr="00C54C9A">
        <w:rPr>
          <w:rFonts w:eastAsia="標楷體"/>
          <w:b/>
          <w:sz w:val="28"/>
          <w:szCs w:val="28"/>
        </w:rPr>
        <w:t xml:space="preserve">s </w:t>
      </w:r>
      <w:r w:rsidRPr="00C54C9A">
        <w:rPr>
          <w:rFonts w:eastAsia="標楷體" w:hint="eastAsia"/>
          <w:b/>
          <w:sz w:val="28"/>
          <w:szCs w:val="28"/>
        </w:rPr>
        <w:t>Economic Growth Forecasts by Major Institutions</w:t>
      </w:r>
    </w:p>
    <w:p w:rsidR="001A1E40" w:rsidRPr="005C75B1" w:rsidRDefault="001A1E40" w:rsidP="00813F67">
      <w:pPr>
        <w:wordWrap w:val="0"/>
        <w:snapToGrid w:val="0"/>
        <w:spacing w:beforeLines="100" w:before="240"/>
        <w:ind w:rightChars="235" w:right="470"/>
        <w:jc w:val="right"/>
        <w:rPr>
          <w:rFonts w:eastAsia="標楷體"/>
          <w:szCs w:val="22"/>
        </w:rPr>
      </w:pPr>
      <w:r>
        <w:rPr>
          <w:rFonts w:eastAsia="標楷體" w:hint="eastAsia"/>
          <w:szCs w:val="22"/>
        </w:rPr>
        <w:t xml:space="preserve">Unit: </w:t>
      </w:r>
      <w:r w:rsidRPr="00627180">
        <w:rPr>
          <w:rFonts w:eastAsia="標楷體"/>
          <w:szCs w:val="22"/>
        </w:rPr>
        <w:t>%</w:t>
      </w:r>
    </w:p>
    <w:tbl>
      <w:tblPr>
        <w:tblpPr w:leftFromText="180" w:rightFromText="180" w:vertAnchor="text" w:horzAnchor="margin" w:tblpXSpec="center" w:tblpY="54"/>
        <w:tblW w:w="8505" w:type="dxa"/>
        <w:tblLayout w:type="fixed"/>
        <w:tblCellMar>
          <w:left w:w="28" w:type="dxa"/>
          <w:right w:w="28" w:type="dxa"/>
        </w:tblCellMar>
        <w:tblLook w:val="04A0" w:firstRow="1" w:lastRow="0" w:firstColumn="1" w:lastColumn="0" w:noHBand="0" w:noVBand="1"/>
      </w:tblPr>
      <w:tblGrid>
        <w:gridCol w:w="1560"/>
        <w:gridCol w:w="3827"/>
        <w:gridCol w:w="3118"/>
      </w:tblGrid>
      <w:tr w:rsidR="001A1E40" w:rsidRPr="00A0240E" w:rsidTr="00813F67">
        <w:trPr>
          <w:trHeight w:val="659"/>
        </w:trPr>
        <w:tc>
          <w:tcPr>
            <w:tcW w:w="5387"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A0240E" w:rsidRDefault="001A1E40" w:rsidP="00BC2749">
            <w:pPr>
              <w:widowControl/>
              <w:snapToGrid w:val="0"/>
              <w:jc w:val="center"/>
              <w:rPr>
                <w:rFonts w:ascii="標楷體" w:eastAsia="標楷體" w:hAnsi="標楷體"/>
                <w:sz w:val="22"/>
                <w:szCs w:val="22"/>
              </w:rPr>
            </w:pPr>
            <w:r w:rsidRPr="00A3253E">
              <w:rPr>
                <w:rFonts w:eastAsia="標楷體"/>
                <w:sz w:val="22"/>
                <w:szCs w:val="22"/>
              </w:rPr>
              <w:t>Forecast institutions</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0954A0" w:rsidRDefault="001A1E40" w:rsidP="00BC2749">
            <w:pPr>
              <w:snapToGrid w:val="0"/>
              <w:jc w:val="center"/>
              <w:rPr>
                <w:rFonts w:eastAsia="標楷體"/>
                <w:bCs/>
                <w:sz w:val="22"/>
                <w:szCs w:val="22"/>
              </w:rPr>
            </w:pPr>
            <w:r>
              <w:rPr>
                <w:rFonts w:eastAsia="標楷體" w:hint="eastAsia"/>
                <w:bCs/>
                <w:sz w:val="22"/>
                <w:szCs w:val="22"/>
              </w:rPr>
              <w:t>2020 (f)</w:t>
            </w:r>
          </w:p>
        </w:tc>
      </w:tr>
      <w:tr w:rsidR="001A1E40" w:rsidRPr="00A0240E" w:rsidTr="00813F67">
        <w:trPr>
          <w:trHeight w:val="536"/>
        </w:trPr>
        <w:tc>
          <w:tcPr>
            <w:tcW w:w="1560" w:type="dxa"/>
            <w:vMerge w:val="restart"/>
            <w:tcBorders>
              <w:top w:val="single" w:sz="4" w:space="0" w:color="auto"/>
              <w:left w:val="single" w:sz="4" w:space="0" w:color="auto"/>
              <w:right w:val="single" w:sz="4" w:space="0" w:color="auto"/>
            </w:tcBorders>
            <w:vAlign w:val="center"/>
          </w:tcPr>
          <w:p w:rsidR="001A1E40" w:rsidRPr="00800BD7" w:rsidRDefault="001A1E40" w:rsidP="00813F67">
            <w:pPr>
              <w:widowControl/>
              <w:snapToGrid w:val="0"/>
              <w:jc w:val="center"/>
              <w:rPr>
                <w:rFonts w:eastAsia="標楷體"/>
                <w:bCs/>
                <w:sz w:val="22"/>
                <w:szCs w:val="22"/>
              </w:rPr>
            </w:pPr>
            <w:r w:rsidRPr="00A3253E">
              <w:rPr>
                <w:rFonts w:eastAsia="標楷體"/>
                <w:bCs/>
                <w:sz w:val="22"/>
                <w:szCs w:val="22"/>
              </w:rPr>
              <w:t>Domestic institutions</w:t>
            </w:r>
          </w:p>
        </w:tc>
        <w:tc>
          <w:tcPr>
            <w:tcW w:w="3827" w:type="dxa"/>
            <w:tcBorders>
              <w:top w:val="single" w:sz="4" w:space="0" w:color="auto"/>
              <w:left w:val="single" w:sz="4" w:space="0" w:color="auto"/>
              <w:bottom w:val="single" w:sz="4" w:space="0" w:color="auto"/>
              <w:right w:val="single" w:sz="4" w:space="0" w:color="auto"/>
            </w:tcBorders>
            <w:shd w:val="clear" w:color="auto" w:fill="FFFFCC"/>
            <w:noWrap/>
            <w:vAlign w:val="center"/>
          </w:tcPr>
          <w:p w:rsidR="001A1E40" w:rsidRPr="00ED3738" w:rsidRDefault="001A1E40" w:rsidP="00BC2749">
            <w:pPr>
              <w:snapToGrid w:val="0"/>
              <w:jc w:val="both"/>
              <w:rPr>
                <w:rFonts w:eastAsia="標楷體"/>
                <w:b/>
              </w:rPr>
            </w:pPr>
            <w:r>
              <w:rPr>
                <w:rFonts w:eastAsia="標楷體" w:hint="eastAsia"/>
                <w:b/>
              </w:rPr>
              <w:t xml:space="preserve">CBC </w:t>
            </w:r>
            <w:r w:rsidRPr="00ED3738">
              <w:rPr>
                <w:rFonts w:eastAsia="標楷體"/>
                <w:b/>
              </w:rPr>
              <w:t>(2020/6/18)</w:t>
            </w:r>
          </w:p>
        </w:tc>
        <w:tc>
          <w:tcPr>
            <w:tcW w:w="3118" w:type="dxa"/>
            <w:tcBorders>
              <w:top w:val="single" w:sz="4" w:space="0" w:color="auto"/>
              <w:left w:val="single" w:sz="4" w:space="0" w:color="auto"/>
              <w:bottom w:val="single" w:sz="4" w:space="0" w:color="auto"/>
              <w:right w:val="single" w:sz="4" w:space="0" w:color="auto"/>
            </w:tcBorders>
            <w:shd w:val="clear" w:color="auto" w:fill="FFFFCC"/>
            <w:vAlign w:val="center"/>
          </w:tcPr>
          <w:p w:rsidR="001A1E40" w:rsidRPr="00ED3738" w:rsidRDefault="001A1E40" w:rsidP="00BC2749">
            <w:pPr>
              <w:snapToGrid w:val="0"/>
              <w:jc w:val="center"/>
              <w:rPr>
                <w:rFonts w:eastAsia="標楷體"/>
                <w:b/>
              </w:rPr>
            </w:pPr>
            <w:r w:rsidRPr="00ED3738">
              <w:rPr>
                <w:rFonts w:eastAsia="標楷體"/>
                <w:b/>
              </w:rPr>
              <w:t>1.52</w:t>
            </w:r>
          </w:p>
        </w:tc>
      </w:tr>
      <w:tr w:rsidR="001A1E40" w:rsidRPr="00A0240E" w:rsidTr="00813F67">
        <w:trPr>
          <w:trHeight w:val="536"/>
        </w:trPr>
        <w:tc>
          <w:tcPr>
            <w:tcW w:w="1560" w:type="dxa"/>
            <w:vMerge/>
            <w:tcBorders>
              <w:left w:val="single" w:sz="4" w:space="0" w:color="auto"/>
              <w:right w:val="single" w:sz="4" w:space="0" w:color="auto"/>
            </w:tcBorders>
            <w:vAlign w:val="center"/>
          </w:tcPr>
          <w:p w:rsidR="001A1E40" w:rsidRPr="00A0240E" w:rsidRDefault="001A1E40" w:rsidP="00813F67">
            <w:pPr>
              <w:widowControl/>
              <w:snapToGrid w:val="0"/>
              <w:spacing w:line="560" w:lineRule="exact"/>
              <w:jc w:val="center"/>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E86947" w:rsidRDefault="001A1E40" w:rsidP="00BC2749">
            <w:pPr>
              <w:snapToGrid w:val="0"/>
              <w:jc w:val="both"/>
              <w:rPr>
                <w:rFonts w:eastAsia="標楷體"/>
              </w:rPr>
            </w:pPr>
            <w:r>
              <w:rPr>
                <w:rFonts w:eastAsia="標楷體" w:hint="eastAsia"/>
              </w:rPr>
              <w:t xml:space="preserve">DGBAS </w:t>
            </w:r>
            <w:r w:rsidRPr="00E86947">
              <w:rPr>
                <w:rFonts w:eastAsia="標楷體"/>
              </w:rPr>
              <w:t>(2020/5/28)</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E86947" w:rsidRDefault="001A1E40" w:rsidP="00BC2749">
            <w:pPr>
              <w:snapToGrid w:val="0"/>
              <w:jc w:val="center"/>
              <w:rPr>
                <w:rFonts w:eastAsia="標楷體"/>
              </w:rPr>
            </w:pPr>
            <w:r w:rsidRPr="00E86947">
              <w:rPr>
                <w:rFonts w:eastAsia="標楷體"/>
              </w:rPr>
              <w:t>1.67</w:t>
            </w:r>
          </w:p>
        </w:tc>
      </w:tr>
      <w:tr w:rsidR="001A1E40" w:rsidRPr="00A0240E" w:rsidTr="00813F67">
        <w:trPr>
          <w:trHeight w:val="536"/>
        </w:trPr>
        <w:tc>
          <w:tcPr>
            <w:tcW w:w="1560" w:type="dxa"/>
            <w:vMerge/>
            <w:tcBorders>
              <w:left w:val="single" w:sz="4" w:space="0" w:color="auto"/>
              <w:right w:val="single" w:sz="4" w:space="0" w:color="auto"/>
            </w:tcBorders>
            <w:vAlign w:val="center"/>
          </w:tcPr>
          <w:p w:rsidR="001A1E40" w:rsidRPr="00A0240E" w:rsidRDefault="001A1E40" w:rsidP="00813F67">
            <w:pPr>
              <w:widowControl/>
              <w:snapToGrid w:val="0"/>
              <w:spacing w:line="560" w:lineRule="exact"/>
              <w:jc w:val="center"/>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E86947" w:rsidRDefault="001A1E40" w:rsidP="00BC2749">
            <w:pPr>
              <w:snapToGrid w:val="0"/>
              <w:jc w:val="both"/>
              <w:rPr>
                <w:rFonts w:eastAsia="標楷體"/>
              </w:rPr>
            </w:pPr>
            <w:r w:rsidRPr="00A3253E">
              <w:rPr>
                <w:rFonts w:eastAsia="標楷體"/>
              </w:rPr>
              <w:t>TIER</w:t>
            </w:r>
            <w:r w:rsidRPr="00E86947">
              <w:rPr>
                <w:rFonts w:eastAsia="標楷體"/>
              </w:rPr>
              <w:t xml:space="preserve"> (2020/4/24)</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E86947" w:rsidRDefault="001A1E40" w:rsidP="00BC2749">
            <w:pPr>
              <w:snapToGrid w:val="0"/>
              <w:jc w:val="center"/>
              <w:rPr>
                <w:rFonts w:eastAsia="標楷體"/>
              </w:rPr>
            </w:pPr>
            <w:r w:rsidRPr="00E86947">
              <w:rPr>
                <w:rFonts w:eastAsia="標楷體"/>
              </w:rPr>
              <w:t>1.58</w:t>
            </w:r>
          </w:p>
        </w:tc>
      </w:tr>
      <w:tr w:rsidR="001A1E40" w:rsidRPr="00A0240E" w:rsidTr="00813F67">
        <w:trPr>
          <w:trHeight w:val="536"/>
        </w:trPr>
        <w:tc>
          <w:tcPr>
            <w:tcW w:w="1560" w:type="dxa"/>
            <w:vMerge/>
            <w:tcBorders>
              <w:left w:val="single" w:sz="4" w:space="0" w:color="auto"/>
              <w:right w:val="single" w:sz="4" w:space="0" w:color="auto"/>
            </w:tcBorders>
            <w:vAlign w:val="center"/>
          </w:tcPr>
          <w:p w:rsidR="001A1E40" w:rsidRPr="00A0240E" w:rsidRDefault="001A1E40" w:rsidP="00813F67">
            <w:pPr>
              <w:widowControl/>
              <w:snapToGrid w:val="0"/>
              <w:spacing w:line="560" w:lineRule="exact"/>
              <w:jc w:val="center"/>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E86947" w:rsidRDefault="001A1E40" w:rsidP="00BC2749">
            <w:pPr>
              <w:snapToGrid w:val="0"/>
              <w:jc w:val="both"/>
              <w:rPr>
                <w:rFonts w:eastAsia="標楷體"/>
              </w:rPr>
            </w:pPr>
            <w:r>
              <w:rPr>
                <w:rFonts w:eastAsia="標楷體" w:hint="eastAsia"/>
              </w:rPr>
              <w:t>CIER</w:t>
            </w:r>
            <w:r w:rsidRPr="00E86947">
              <w:rPr>
                <w:rFonts w:eastAsia="標楷體"/>
              </w:rPr>
              <w:t xml:space="preserve"> (2020/4/17)</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E86947" w:rsidRDefault="001A1E40" w:rsidP="00BC2749">
            <w:pPr>
              <w:snapToGrid w:val="0"/>
              <w:jc w:val="center"/>
              <w:rPr>
                <w:rFonts w:eastAsia="標楷體"/>
              </w:rPr>
            </w:pPr>
            <w:r w:rsidRPr="00E86947">
              <w:rPr>
                <w:rFonts w:eastAsia="標楷體"/>
              </w:rPr>
              <w:t>1.03</w:t>
            </w:r>
          </w:p>
        </w:tc>
      </w:tr>
      <w:tr w:rsidR="001A1E40" w:rsidRPr="00A0240E" w:rsidTr="00813F67">
        <w:trPr>
          <w:trHeight w:val="536"/>
        </w:trPr>
        <w:tc>
          <w:tcPr>
            <w:tcW w:w="1560" w:type="dxa"/>
            <w:vMerge/>
            <w:tcBorders>
              <w:left w:val="single" w:sz="4" w:space="0" w:color="auto"/>
              <w:bottom w:val="double" w:sz="4" w:space="0" w:color="auto"/>
              <w:right w:val="single" w:sz="4" w:space="0" w:color="auto"/>
            </w:tcBorders>
            <w:vAlign w:val="center"/>
          </w:tcPr>
          <w:p w:rsidR="001A1E40" w:rsidRPr="00A0240E" w:rsidRDefault="001A1E40" w:rsidP="00BC2749">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double" w:sz="4" w:space="0" w:color="auto"/>
              <w:right w:val="single" w:sz="4" w:space="0" w:color="auto"/>
            </w:tcBorders>
            <w:shd w:val="clear" w:color="000000" w:fill="FFFFFF"/>
            <w:noWrap/>
            <w:vAlign w:val="center"/>
          </w:tcPr>
          <w:p w:rsidR="001A1E40" w:rsidRPr="00E86947" w:rsidRDefault="001A1E40" w:rsidP="00BC2749">
            <w:pPr>
              <w:snapToGrid w:val="0"/>
              <w:jc w:val="center"/>
              <w:rPr>
                <w:rFonts w:eastAsia="標楷體"/>
                <w:b/>
              </w:rPr>
            </w:pPr>
            <w:r w:rsidRPr="00A3253E">
              <w:rPr>
                <w:rFonts w:eastAsia="標楷體"/>
                <w:b/>
              </w:rPr>
              <w:t xml:space="preserve">Forecast </w:t>
            </w:r>
            <w:r w:rsidRPr="00A3253E">
              <w:rPr>
                <w:rFonts w:eastAsia="標楷體"/>
                <w:b/>
                <w:u w:val="single"/>
              </w:rPr>
              <w:t>Average</w:t>
            </w:r>
          </w:p>
        </w:tc>
        <w:tc>
          <w:tcPr>
            <w:tcW w:w="3118" w:type="dxa"/>
            <w:tcBorders>
              <w:top w:val="single" w:sz="4" w:space="0" w:color="auto"/>
              <w:left w:val="single" w:sz="4" w:space="0" w:color="auto"/>
              <w:bottom w:val="double" w:sz="4" w:space="0" w:color="auto"/>
              <w:right w:val="single" w:sz="4" w:space="0" w:color="auto"/>
            </w:tcBorders>
            <w:shd w:val="clear" w:color="000000" w:fill="FFFFFF"/>
            <w:vAlign w:val="center"/>
          </w:tcPr>
          <w:p w:rsidR="001A1E40" w:rsidRPr="00E86947" w:rsidRDefault="001A1E40" w:rsidP="00BC2749">
            <w:pPr>
              <w:snapToGrid w:val="0"/>
              <w:jc w:val="center"/>
              <w:rPr>
                <w:rFonts w:eastAsia="標楷體"/>
                <w:b/>
              </w:rPr>
            </w:pPr>
            <w:r w:rsidRPr="00E86947">
              <w:rPr>
                <w:rFonts w:eastAsia="標楷體"/>
                <w:b/>
              </w:rPr>
              <w:t>1.45</w:t>
            </w:r>
          </w:p>
        </w:tc>
      </w:tr>
      <w:tr w:rsidR="001A1E40" w:rsidRPr="00FD429D" w:rsidTr="00813F67">
        <w:trPr>
          <w:trHeight w:val="540"/>
        </w:trPr>
        <w:tc>
          <w:tcPr>
            <w:tcW w:w="1560" w:type="dxa"/>
            <w:vMerge w:val="restart"/>
            <w:tcBorders>
              <w:top w:val="double" w:sz="4" w:space="0" w:color="auto"/>
              <w:left w:val="single" w:sz="4" w:space="0" w:color="auto"/>
              <w:right w:val="single" w:sz="4" w:space="0" w:color="auto"/>
            </w:tcBorders>
            <w:shd w:val="clear" w:color="000000" w:fill="FFFFFF"/>
            <w:vAlign w:val="center"/>
            <w:hideMark/>
          </w:tcPr>
          <w:p w:rsidR="001A1E40" w:rsidRDefault="001A1E40" w:rsidP="00813F67">
            <w:pPr>
              <w:widowControl/>
              <w:snapToGrid w:val="0"/>
              <w:jc w:val="center"/>
              <w:rPr>
                <w:rFonts w:eastAsia="標楷體"/>
                <w:bCs/>
                <w:sz w:val="22"/>
                <w:szCs w:val="22"/>
              </w:rPr>
            </w:pPr>
            <w:r>
              <w:rPr>
                <w:rFonts w:eastAsia="標楷體" w:hint="eastAsia"/>
                <w:bCs/>
                <w:sz w:val="22"/>
                <w:szCs w:val="22"/>
              </w:rPr>
              <w:t>Foreign</w:t>
            </w:r>
            <w:r w:rsidRPr="00A3253E">
              <w:rPr>
                <w:rFonts w:eastAsia="標楷體"/>
                <w:bCs/>
                <w:sz w:val="22"/>
                <w:szCs w:val="22"/>
              </w:rPr>
              <w:t xml:space="preserve"> </w:t>
            </w:r>
          </w:p>
          <w:p w:rsidR="001A1E40" w:rsidRPr="00A0240E" w:rsidRDefault="001A1E40" w:rsidP="00813F67">
            <w:pPr>
              <w:widowControl/>
              <w:snapToGrid w:val="0"/>
              <w:jc w:val="center"/>
              <w:rPr>
                <w:rFonts w:eastAsia="標楷體"/>
                <w:bCs/>
                <w:sz w:val="22"/>
                <w:szCs w:val="22"/>
              </w:rPr>
            </w:pPr>
            <w:r w:rsidRPr="00A3253E">
              <w:rPr>
                <w:rFonts w:eastAsia="標楷體"/>
                <w:bCs/>
                <w:sz w:val="22"/>
                <w:szCs w:val="22"/>
              </w:rPr>
              <w:t>institutions</w:t>
            </w:r>
          </w:p>
        </w:tc>
        <w:tc>
          <w:tcPr>
            <w:tcW w:w="3827" w:type="dxa"/>
            <w:tcBorders>
              <w:top w:val="double" w:sz="4" w:space="0" w:color="auto"/>
              <w:left w:val="single" w:sz="4" w:space="0" w:color="auto"/>
              <w:bottom w:val="single" w:sz="4" w:space="0" w:color="auto"/>
              <w:right w:val="single" w:sz="4" w:space="0" w:color="auto"/>
            </w:tcBorders>
            <w:shd w:val="clear" w:color="000000" w:fill="FFFFFF"/>
            <w:noWrap/>
            <w:vAlign w:val="center"/>
            <w:hideMark/>
          </w:tcPr>
          <w:p w:rsidR="001A1E40" w:rsidRPr="00634FF1" w:rsidRDefault="001A1E40" w:rsidP="00C16F28">
            <w:pPr>
              <w:jc w:val="both"/>
            </w:pPr>
            <w:r w:rsidRPr="00634FF1">
              <w:rPr>
                <w:rFonts w:hint="eastAsia"/>
              </w:rPr>
              <w:t>IHS Markit</w:t>
            </w:r>
            <w:r>
              <w:rPr>
                <w:rFonts w:hint="eastAsia"/>
              </w:rPr>
              <w:t xml:space="preserve"> (</w:t>
            </w:r>
            <w:r w:rsidRPr="00634FF1">
              <w:rPr>
                <w:rFonts w:hint="eastAsia"/>
              </w:rPr>
              <w:t>2020/6/15</w:t>
            </w:r>
            <w:r>
              <w:rPr>
                <w:rFonts w:hint="eastAsia"/>
              </w:rPr>
              <w:t>)</w:t>
            </w:r>
          </w:p>
        </w:tc>
        <w:tc>
          <w:tcPr>
            <w:tcW w:w="3118" w:type="dxa"/>
            <w:tcBorders>
              <w:top w:val="double" w:sz="4" w:space="0" w:color="auto"/>
              <w:left w:val="single" w:sz="4" w:space="0" w:color="auto"/>
              <w:bottom w:val="single" w:sz="4" w:space="0" w:color="auto"/>
              <w:right w:val="single" w:sz="4" w:space="0" w:color="auto"/>
            </w:tcBorders>
            <w:shd w:val="clear" w:color="000000" w:fill="FFFFFF"/>
            <w:vAlign w:val="center"/>
          </w:tcPr>
          <w:p w:rsidR="001A1E40" w:rsidRPr="00634FF1" w:rsidRDefault="001A1E40" w:rsidP="00C16F28">
            <w:pPr>
              <w:jc w:val="center"/>
            </w:pPr>
            <w:r w:rsidRPr="00634FF1">
              <w:rPr>
                <w:rFonts w:hint="eastAsia"/>
              </w:rPr>
              <w:t>-0.96</w:t>
            </w:r>
          </w:p>
        </w:tc>
      </w:tr>
      <w:tr w:rsidR="001A1E40" w:rsidRPr="00A0240E" w:rsidTr="00813F67">
        <w:trPr>
          <w:trHeight w:val="540"/>
        </w:trPr>
        <w:tc>
          <w:tcPr>
            <w:tcW w:w="1560" w:type="dxa"/>
            <w:vMerge/>
            <w:tcBorders>
              <w:left w:val="single" w:sz="4" w:space="0" w:color="auto"/>
              <w:right w:val="single" w:sz="4" w:space="0" w:color="auto"/>
            </w:tcBorders>
            <w:vAlign w:val="center"/>
          </w:tcPr>
          <w:p w:rsidR="001A1E40" w:rsidRPr="00A0240E" w:rsidRDefault="001A1E40" w:rsidP="00C16F28">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634FF1" w:rsidRDefault="001A1E40" w:rsidP="00C16F28">
            <w:pPr>
              <w:jc w:val="both"/>
            </w:pPr>
            <w:r w:rsidRPr="00634FF1">
              <w:rPr>
                <w:rFonts w:hint="eastAsia"/>
              </w:rPr>
              <w:t>Standard Chartered</w:t>
            </w:r>
            <w:r>
              <w:rPr>
                <w:rFonts w:hint="eastAsia"/>
              </w:rPr>
              <w:t xml:space="preserve"> (</w:t>
            </w:r>
            <w:r w:rsidRPr="00634FF1">
              <w:rPr>
                <w:rFonts w:hint="eastAsia"/>
              </w:rPr>
              <w:t>2020/6/15</w:t>
            </w:r>
            <w:r>
              <w:rPr>
                <w:rFonts w:hint="eastAsia"/>
              </w:rPr>
              <w:t>)</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634FF1" w:rsidRDefault="001A1E40" w:rsidP="00C16F28">
            <w:pPr>
              <w:jc w:val="center"/>
            </w:pPr>
            <w:r w:rsidRPr="00634FF1">
              <w:rPr>
                <w:rFonts w:hint="eastAsia"/>
              </w:rPr>
              <w:t>0.60</w:t>
            </w:r>
          </w:p>
        </w:tc>
      </w:tr>
      <w:tr w:rsidR="001A1E40" w:rsidRPr="00A0240E" w:rsidTr="00813F67">
        <w:trPr>
          <w:trHeight w:val="540"/>
        </w:trPr>
        <w:tc>
          <w:tcPr>
            <w:tcW w:w="1560" w:type="dxa"/>
            <w:vMerge/>
            <w:tcBorders>
              <w:left w:val="single" w:sz="4" w:space="0" w:color="auto"/>
              <w:right w:val="single" w:sz="4" w:space="0" w:color="auto"/>
            </w:tcBorders>
            <w:vAlign w:val="center"/>
            <w:hideMark/>
          </w:tcPr>
          <w:p w:rsidR="001A1E40" w:rsidRPr="00A0240E" w:rsidRDefault="001A1E40" w:rsidP="00C16F28">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634FF1" w:rsidRDefault="001A1E40" w:rsidP="00C16F28">
            <w:pPr>
              <w:jc w:val="both"/>
            </w:pPr>
            <w:r w:rsidRPr="00634FF1">
              <w:rPr>
                <w:rFonts w:hint="eastAsia"/>
              </w:rPr>
              <w:t>Goldman Sachs</w:t>
            </w:r>
            <w:r>
              <w:rPr>
                <w:rFonts w:hint="eastAsia"/>
              </w:rPr>
              <w:t xml:space="preserve"> (</w:t>
            </w:r>
            <w:r w:rsidRPr="00634FF1">
              <w:rPr>
                <w:rFonts w:hint="eastAsia"/>
              </w:rPr>
              <w:t>2020/6/15</w:t>
            </w:r>
            <w:r>
              <w:rPr>
                <w:rFonts w:hint="eastAsia"/>
              </w:rPr>
              <w:t>)</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634FF1" w:rsidRDefault="001A1E40" w:rsidP="00C16F28">
            <w:pPr>
              <w:jc w:val="center"/>
            </w:pPr>
            <w:r w:rsidRPr="00634FF1">
              <w:rPr>
                <w:rFonts w:hint="eastAsia"/>
              </w:rPr>
              <w:t>-0.10</w:t>
            </w:r>
          </w:p>
        </w:tc>
      </w:tr>
      <w:tr w:rsidR="001A1E40" w:rsidRPr="00A0240E" w:rsidTr="00813F67">
        <w:trPr>
          <w:trHeight w:val="540"/>
        </w:trPr>
        <w:tc>
          <w:tcPr>
            <w:tcW w:w="1560" w:type="dxa"/>
            <w:vMerge/>
            <w:tcBorders>
              <w:left w:val="single" w:sz="4" w:space="0" w:color="auto"/>
              <w:right w:val="single" w:sz="4" w:space="0" w:color="auto"/>
            </w:tcBorders>
            <w:vAlign w:val="center"/>
            <w:hideMark/>
          </w:tcPr>
          <w:p w:rsidR="001A1E40" w:rsidRPr="00A0240E" w:rsidRDefault="001A1E40" w:rsidP="00C16F28">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634FF1" w:rsidRDefault="001A1E40" w:rsidP="00C16F28">
            <w:pPr>
              <w:jc w:val="both"/>
            </w:pPr>
            <w:r w:rsidRPr="00634FF1">
              <w:rPr>
                <w:rFonts w:hint="eastAsia"/>
              </w:rPr>
              <w:t>Barclays Capital</w:t>
            </w:r>
            <w:r>
              <w:rPr>
                <w:rFonts w:hint="eastAsia"/>
              </w:rPr>
              <w:t xml:space="preserve"> (</w:t>
            </w:r>
            <w:r w:rsidRPr="00634FF1">
              <w:rPr>
                <w:rFonts w:hint="eastAsia"/>
              </w:rPr>
              <w:t>2020/6/12</w:t>
            </w:r>
            <w:r>
              <w:rPr>
                <w:rFonts w:hint="eastAsia"/>
              </w:rPr>
              <w:t>)</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634FF1" w:rsidRDefault="001A1E40" w:rsidP="00C16F28">
            <w:pPr>
              <w:jc w:val="center"/>
            </w:pPr>
            <w:r w:rsidRPr="00634FF1">
              <w:rPr>
                <w:rFonts w:hint="eastAsia"/>
              </w:rPr>
              <w:t>1.10</w:t>
            </w:r>
          </w:p>
        </w:tc>
      </w:tr>
      <w:tr w:rsidR="001A1E40" w:rsidRPr="00A0240E" w:rsidTr="00813F67">
        <w:trPr>
          <w:trHeight w:val="540"/>
        </w:trPr>
        <w:tc>
          <w:tcPr>
            <w:tcW w:w="1560" w:type="dxa"/>
            <w:vMerge/>
            <w:tcBorders>
              <w:left w:val="single" w:sz="4" w:space="0" w:color="auto"/>
              <w:right w:val="single" w:sz="4" w:space="0" w:color="auto"/>
            </w:tcBorders>
            <w:vAlign w:val="center"/>
            <w:hideMark/>
          </w:tcPr>
          <w:p w:rsidR="001A1E40" w:rsidRPr="00A0240E" w:rsidRDefault="001A1E40" w:rsidP="00C16F28">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634FF1" w:rsidRDefault="001A1E40" w:rsidP="00C16F28">
            <w:pPr>
              <w:jc w:val="both"/>
            </w:pPr>
            <w:r w:rsidRPr="00634FF1">
              <w:rPr>
                <w:rFonts w:hint="eastAsia"/>
              </w:rPr>
              <w:t>BofA Merrill Lynch</w:t>
            </w:r>
            <w:r>
              <w:rPr>
                <w:rFonts w:hint="eastAsia"/>
              </w:rPr>
              <w:t xml:space="preserve"> (</w:t>
            </w:r>
            <w:r w:rsidRPr="00634FF1">
              <w:rPr>
                <w:rFonts w:hint="eastAsia"/>
              </w:rPr>
              <w:t>2020/6/12</w:t>
            </w:r>
            <w:r>
              <w:rPr>
                <w:rFonts w:hint="eastAsia"/>
              </w:rPr>
              <w:t>)</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634FF1" w:rsidRDefault="001A1E40" w:rsidP="00C16F28">
            <w:pPr>
              <w:jc w:val="center"/>
            </w:pPr>
            <w:r w:rsidRPr="00634FF1">
              <w:rPr>
                <w:rFonts w:hint="eastAsia"/>
              </w:rPr>
              <w:t>0.50</w:t>
            </w:r>
          </w:p>
        </w:tc>
      </w:tr>
      <w:tr w:rsidR="001A1E40" w:rsidRPr="00A0240E" w:rsidTr="00813F67">
        <w:trPr>
          <w:trHeight w:val="540"/>
        </w:trPr>
        <w:tc>
          <w:tcPr>
            <w:tcW w:w="1560" w:type="dxa"/>
            <w:vMerge/>
            <w:tcBorders>
              <w:left w:val="single" w:sz="4" w:space="0" w:color="auto"/>
              <w:right w:val="single" w:sz="4" w:space="0" w:color="auto"/>
            </w:tcBorders>
            <w:vAlign w:val="center"/>
            <w:hideMark/>
          </w:tcPr>
          <w:p w:rsidR="001A1E40" w:rsidRPr="00A0240E" w:rsidRDefault="001A1E40" w:rsidP="00C16F28">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634FF1" w:rsidRDefault="001A1E40" w:rsidP="00C16F28">
            <w:pPr>
              <w:jc w:val="both"/>
            </w:pPr>
            <w:r w:rsidRPr="00634FF1">
              <w:rPr>
                <w:rFonts w:hint="eastAsia"/>
              </w:rPr>
              <w:t>J.P. Morgan</w:t>
            </w:r>
            <w:r>
              <w:rPr>
                <w:rFonts w:hint="eastAsia"/>
              </w:rPr>
              <w:t xml:space="preserve"> (</w:t>
            </w:r>
            <w:r w:rsidRPr="00634FF1">
              <w:rPr>
                <w:rFonts w:hint="eastAsia"/>
              </w:rPr>
              <w:t>2020/6/12</w:t>
            </w:r>
            <w:r>
              <w:rPr>
                <w:rFonts w:hint="eastAsia"/>
              </w:rPr>
              <w:t>)</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634FF1" w:rsidRDefault="001A1E40" w:rsidP="00C16F28">
            <w:pPr>
              <w:jc w:val="center"/>
            </w:pPr>
            <w:r w:rsidRPr="00634FF1">
              <w:rPr>
                <w:rFonts w:hint="eastAsia"/>
              </w:rPr>
              <w:t>0.80</w:t>
            </w:r>
          </w:p>
        </w:tc>
      </w:tr>
      <w:tr w:rsidR="001A1E40" w:rsidRPr="00A0240E" w:rsidTr="00813F67">
        <w:trPr>
          <w:trHeight w:val="540"/>
        </w:trPr>
        <w:tc>
          <w:tcPr>
            <w:tcW w:w="1560" w:type="dxa"/>
            <w:vMerge/>
            <w:tcBorders>
              <w:left w:val="single" w:sz="4" w:space="0" w:color="auto"/>
              <w:right w:val="single" w:sz="4" w:space="0" w:color="auto"/>
            </w:tcBorders>
            <w:vAlign w:val="center"/>
            <w:hideMark/>
          </w:tcPr>
          <w:p w:rsidR="001A1E40" w:rsidRPr="00A0240E" w:rsidRDefault="001A1E40" w:rsidP="00C16F28">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634FF1" w:rsidRDefault="001A1E40" w:rsidP="00C16F28">
            <w:pPr>
              <w:jc w:val="both"/>
            </w:pPr>
            <w:r w:rsidRPr="00634FF1">
              <w:rPr>
                <w:rFonts w:hint="eastAsia"/>
              </w:rPr>
              <w:t>Citi</w:t>
            </w:r>
            <w:r>
              <w:rPr>
                <w:rFonts w:hint="eastAsia"/>
              </w:rPr>
              <w:t xml:space="preserve"> (</w:t>
            </w:r>
            <w:r w:rsidRPr="00634FF1">
              <w:rPr>
                <w:rFonts w:hint="eastAsia"/>
              </w:rPr>
              <w:t>2020/6/11</w:t>
            </w:r>
            <w:r>
              <w:rPr>
                <w:rFonts w:hint="eastAsia"/>
              </w:rPr>
              <w:t>)</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634FF1" w:rsidRDefault="001A1E40" w:rsidP="00C16F28">
            <w:pPr>
              <w:jc w:val="center"/>
            </w:pPr>
            <w:r w:rsidRPr="00634FF1">
              <w:rPr>
                <w:rFonts w:hint="eastAsia"/>
              </w:rPr>
              <w:t>1.70</w:t>
            </w:r>
          </w:p>
        </w:tc>
      </w:tr>
      <w:tr w:rsidR="001A1E40" w:rsidRPr="00A0240E" w:rsidTr="00813F67">
        <w:trPr>
          <w:trHeight w:val="540"/>
        </w:trPr>
        <w:tc>
          <w:tcPr>
            <w:tcW w:w="1560" w:type="dxa"/>
            <w:vMerge/>
            <w:tcBorders>
              <w:left w:val="single" w:sz="4" w:space="0" w:color="auto"/>
              <w:right w:val="single" w:sz="4" w:space="0" w:color="auto"/>
            </w:tcBorders>
            <w:vAlign w:val="center"/>
            <w:hideMark/>
          </w:tcPr>
          <w:p w:rsidR="001A1E40" w:rsidRPr="00A0240E" w:rsidRDefault="001A1E40" w:rsidP="00C16F28">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634FF1" w:rsidRDefault="001A1E40" w:rsidP="00C16F28">
            <w:pPr>
              <w:jc w:val="both"/>
            </w:pPr>
            <w:r w:rsidRPr="00634FF1">
              <w:rPr>
                <w:rFonts w:hint="eastAsia"/>
              </w:rPr>
              <w:t>Credit Suisse</w:t>
            </w:r>
            <w:r>
              <w:rPr>
                <w:rFonts w:hint="eastAsia"/>
              </w:rPr>
              <w:t xml:space="preserve"> (</w:t>
            </w:r>
            <w:r w:rsidRPr="00634FF1">
              <w:rPr>
                <w:rFonts w:hint="eastAsia"/>
              </w:rPr>
              <w:t>2020/6/11</w:t>
            </w:r>
            <w:r>
              <w:rPr>
                <w:rFonts w:hint="eastAsia"/>
              </w:rPr>
              <w:t>)</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634FF1" w:rsidRDefault="001A1E40" w:rsidP="00C16F28">
            <w:pPr>
              <w:jc w:val="center"/>
            </w:pPr>
            <w:r w:rsidRPr="00634FF1">
              <w:rPr>
                <w:rFonts w:hint="eastAsia"/>
              </w:rPr>
              <w:t>0.10</w:t>
            </w:r>
          </w:p>
        </w:tc>
      </w:tr>
      <w:tr w:rsidR="001A1E40" w:rsidRPr="00A0240E" w:rsidTr="00813F67">
        <w:trPr>
          <w:trHeight w:val="540"/>
        </w:trPr>
        <w:tc>
          <w:tcPr>
            <w:tcW w:w="1560" w:type="dxa"/>
            <w:vMerge/>
            <w:tcBorders>
              <w:left w:val="single" w:sz="4" w:space="0" w:color="auto"/>
              <w:right w:val="single" w:sz="4" w:space="0" w:color="auto"/>
            </w:tcBorders>
            <w:vAlign w:val="center"/>
          </w:tcPr>
          <w:p w:rsidR="001A1E40" w:rsidRPr="00A0240E" w:rsidRDefault="001A1E40" w:rsidP="00C16F28">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634FF1" w:rsidRDefault="001A1E40" w:rsidP="00C16F28">
            <w:pPr>
              <w:jc w:val="both"/>
            </w:pPr>
            <w:r w:rsidRPr="00634FF1">
              <w:rPr>
                <w:rFonts w:hint="eastAsia"/>
              </w:rPr>
              <w:t>Deutsche Bank</w:t>
            </w:r>
            <w:r>
              <w:rPr>
                <w:rFonts w:hint="eastAsia"/>
              </w:rPr>
              <w:t xml:space="preserve"> (</w:t>
            </w:r>
            <w:r w:rsidRPr="00634FF1">
              <w:rPr>
                <w:rFonts w:hint="eastAsia"/>
              </w:rPr>
              <w:t>2020/6/9</w:t>
            </w:r>
            <w:r>
              <w:rPr>
                <w:rFonts w:hint="eastAsia"/>
              </w:rPr>
              <w:t>)</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Default="001A1E40" w:rsidP="00C16F28">
            <w:pPr>
              <w:jc w:val="center"/>
            </w:pPr>
            <w:r w:rsidRPr="00634FF1">
              <w:rPr>
                <w:rFonts w:hint="eastAsia"/>
              </w:rPr>
              <w:t>-1.40</w:t>
            </w:r>
          </w:p>
        </w:tc>
      </w:tr>
      <w:tr w:rsidR="001A1E40" w:rsidRPr="00A0240E" w:rsidTr="00813F67">
        <w:trPr>
          <w:trHeight w:val="540"/>
        </w:trPr>
        <w:tc>
          <w:tcPr>
            <w:tcW w:w="1560" w:type="dxa"/>
            <w:vMerge/>
            <w:tcBorders>
              <w:left w:val="single" w:sz="4" w:space="0" w:color="auto"/>
              <w:bottom w:val="single" w:sz="4" w:space="0" w:color="auto"/>
              <w:right w:val="single" w:sz="4" w:space="0" w:color="auto"/>
            </w:tcBorders>
            <w:vAlign w:val="center"/>
          </w:tcPr>
          <w:p w:rsidR="001A1E40" w:rsidRPr="00A0240E" w:rsidRDefault="001A1E40" w:rsidP="00BC2749">
            <w:pPr>
              <w:widowControl/>
              <w:snapToGrid w:val="0"/>
              <w:spacing w:line="560" w:lineRule="exact"/>
              <w:rPr>
                <w:rFonts w:eastAsia="標楷體"/>
                <w:bCs/>
                <w:sz w:val="22"/>
                <w:szCs w:val="22"/>
              </w:rPr>
            </w:pPr>
          </w:p>
        </w:tc>
        <w:tc>
          <w:tcPr>
            <w:tcW w:w="382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65298B" w:rsidRDefault="001A1E40" w:rsidP="00BC2749">
            <w:pPr>
              <w:snapToGrid w:val="0"/>
              <w:jc w:val="center"/>
            </w:pPr>
            <w:r w:rsidRPr="00A3253E">
              <w:rPr>
                <w:rFonts w:eastAsia="標楷體"/>
                <w:b/>
              </w:rPr>
              <w:t xml:space="preserve">Forecast </w:t>
            </w:r>
            <w:r w:rsidRPr="00A3253E">
              <w:rPr>
                <w:rFonts w:eastAsia="標楷體"/>
                <w:b/>
                <w:u w:val="single"/>
              </w:rPr>
              <w:t>Average</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566BBA" w:rsidRDefault="001A1E40" w:rsidP="00BC2749">
            <w:pPr>
              <w:snapToGrid w:val="0"/>
              <w:jc w:val="center"/>
              <w:rPr>
                <w:b/>
                <w:color w:val="000000" w:themeColor="text1"/>
              </w:rPr>
            </w:pPr>
            <w:r>
              <w:rPr>
                <w:rFonts w:hint="eastAsia"/>
                <w:b/>
                <w:color w:val="000000" w:themeColor="text1"/>
              </w:rPr>
              <w:t>0.26</w:t>
            </w:r>
          </w:p>
        </w:tc>
      </w:tr>
    </w:tbl>
    <w:p w:rsidR="001A1E40" w:rsidRPr="00A0240E" w:rsidRDefault="001A1E40" w:rsidP="00BC5D70">
      <w:pPr>
        <w:widowControl/>
        <w:snapToGrid w:val="0"/>
        <w:spacing w:beforeLines="50" w:before="120" w:line="560" w:lineRule="exact"/>
        <w:rPr>
          <w:rFonts w:eastAsia="標楷體"/>
          <w:szCs w:val="28"/>
        </w:rPr>
      </w:pPr>
    </w:p>
    <w:p w:rsidR="001A1E40" w:rsidRDefault="001A1E40" w:rsidP="00BC5D70">
      <w:pPr>
        <w:widowControl/>
        <w:snapToGrid w:val="0"/>
        <w:spacing w:beforeLines="50" w:before="120" w:line="560" w:lineRule="exact"/>
        <w:rPr>
          <w:rFonts w:eastAsia="標楷體"/>
          <w:szCs w:val="28"/>
        </w:rPr>
        <w:sectPr w:rsidR="001A1E40" w:rsidSect="00435D1B">
          <w:footerReference w:type="default" r:id="rId11"/>
          <w:pgSz w:w="11907" w:h="16840" w:code="9"/>
          <w:pgMar w:top="1304" w:right="1418" w:bottom="1418" w:left="1418" w:header="0" w:footer="454" w:gutter="0"/>
          <w:paperSrc w:first="15" w:other="15"/>
          <w:cols w:space="425"/>
          <w:docGrid w:linePitch="272"/>
        </w:sectPr>
      </w:pPr>
    </w:p>
    <w:p w:rsidR="001A1E40" w:rsidRDefault="001A1E40" w:rsidP="00F6270C">
      <w:pPr>
        <w:spacing w:line="480" w:lineRule="exact"/>
        <w:jc w:val="center"/>
        <w:rPr>
          <w:rFonts w:eastAsia="標楷體"/>
          <w:b/>
          <w:sz w:val="32"/>
          <w:szCs w:val="28"/>
        </w:rPr>
      </w:pPr>
      <w:r>
        <w:rPr>
          <w:rFonts w:eastAsia="標楷體" w:hint="eastAsia"/>
          <w:b/>
          <w:sz w:val="28"/>
          <w:szCs w:val="28"/>
        </w:rPr>
        <w:lastRenderedPageBreak/>
        <w:t xml:space="preserve">Table 2  </w:t>
      </w:r>
      <w:r>
        <w:rPr>
          <w:rFonts w:eastAsia="標楷體"/>
          <w:b/>
          <w:sz w:val="28"/>
          <w:szCs w:val="28"/>
        </w:rPr>
        <w:t>Taiwan</w:t>
      </w:r>
      <w:r w:rsidRPr="00C37050">
        <w:rPr>
          <w:rFonts w:eastAsia="標楷體" w:hint="eastAsia"/>
          <w:b/>
          <w:sz w:val="28"/>
          <w:szCs w:val="28"/>
        </w:rPr>
        <w:t>'</w:t>
      </w:r>
      <w:r>
        <w:rPr>
          <w:rFonts w:eastAsia="標楷體"/>
          <w:b/>
          <w:sz w:val="28"/>
          <w:szCs w:val="28"/>
        </w:rPr>
        <w:t xml:space="preserve">s </w:t>
      </w:r>
      <w:r>
        <w:rPr>
          <w:rFonts w:eastAsia="標楷體" w:hint="eastAsia"/>
          <w:b/>
          <w:sz w:val="28"/>
          <w:szCs w:val="28"/>
        </w:rPr>
        <w:t>Inflation Forecasts by Major Institutions</w:t>
      </w:r>
    </w:p>
    <w:tbl>
      <w:tblPr>
        <w:tblpPr w:leftFromText="180" w:rightFromText="180" w:vertAnchor="text" w:horzAnchor="margin" w:tblpXSpec="center" w:tblpY="655"/>
        <w:tblW w:w="8506" w:type="dxa"/>
        <w:tblLayout w:type="fixed"/>
        <w:tblCellMar>
          <w:left w:w="28" w:type="dxa"/>
          <w:right w:w="28" w:type="dxa"/>
        </w:tblCellMar>
        <w:tblLook w:val="04A0" w:firstRow="1" w:lastRow="0" w:firstColumn="1" w:lastColumn="0" w:noHBand="0" w:noVBand="1"/>
      </w:tblPr>
      <w:tblGrid>
        <w:gridCol w:w="1277"/>
        <w:gridCol w:w="4252"/>
        <w:gridCol w:w="2977"/>
      </w:tblGrid>
      <w:tr w:rsidR="001A1E40" w:rsidRPr="00D6542E" w:rsidTr="00B26106">
        <w:trPr>
          <w:trHeight w:val="659"/>
        </w:trPr>
        <w:tc>
          <w:tcPr>
            <w:tcW w:w="5529"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A0240E" w:rsidRDefault="001A1E40" w:rsidP="00B26106">
            <w:pPr>
              <w:widowControl/>
              <w:snapToGrid w:val="0"/>
              <w:jc w:val="center"/>
              <w:rPr>
                <w:rFonts w:ascii="標楷體" w:eastAsia="標楷體" w:hAnsi="標楷體"/>
                <w:sz w:val="22"/>
                <w:szCs w:val="22"/>
              </w:rPr>
            </w:pPr>
            <w:r w:rsidRPr="00A3253E">
              <w:rPr>
                <w:rFonts w:eastAsia="標楷體"/>
                <w:sz w:val="22"/>
                <w:szCs w:val="22"/>
              </w:rPr>
              <w:t>Forecast institutions</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0954A0" w:rsidRDefault="001A1E40" w:rsidP="00B26106">
            <w:pPr>
              <w:snapToGrid w:val="0"/>
              <w:jc w:val="center"/>
              <w:rPr>
                <w:rFonts w:eastAsia="標楷體"/>
                <w:bCs/>
                <w:sz w:val="22"/>
                <w:szCs w:val="22"/>
              </w:rPr>
            </w:pPr>
            <w:r>
              <w:rPr>
                <w:rFonts w:eastAsia="標楷體" w:hint="eastAsia"/>
                <w:bCs/>
                <w:sz w:val="22"/>
                <w:szCs w:val="22"/>
              </w:rPr>
              <w:t>2020 (f)</w:t>
            </w:r>
          </w:p>
        </w:tc>
      </w:tr>
      <w:tr w:rsidR="001A1E40" w:rsidRPr="00D6542E" w:rsidTr="00B26106">
        <w:trPr>
          <w:trHeight w:val="458"/>
        </w:trPr>
        <w:tc>
          <w:tcPr>
            <w:tcW w:w="1277" w:type="dxa"/>
            <w:vMerge w:val="restart"/>
            <w:tcBorders>
              <w:top w:val="single" w:sz="4" w:space="0" w:color="auto"/>
              <w:left w:val="single" w:sz="4" w:space="0" w:color="auto"/>
              <w:right w:val="single" w:sz="4" w:space="0" w:color="auto"/>
            </w:tcBorders>
            <w:vAlign w:val="center"/>
          </w:tcPr>
          <w:p w:rsidR="001A1E40" w:rsidRPr="00800BD7" w:rsidRDefault="001A1E40" w:rsidP="00B26106">
            <w:pPr>
              <w:widowControl/>
              <w:snapToGrid w:val="0"/>
              <w:jc w:val="center"/>
              <w:rPr>
                <w:rFonts w:eastAsia="標楷體"/>
                <w:bCs/>
                <w:sz w:val="22"/>
                <w:szCs w:val="22"/>
              </w:rPr>
            </w:pPr>
            <w:r w:rsidRPr="00A3253E">
              <w:rPr>
                <w:rFonts w:eastAsia="標楷體"/>
                <w:bCs/>
                <w:sz w:val="22"/>
                <w:szCs w:val="22"/>
              </w:rPr>
              <w:t>Domestic institutions</w:t>
            </w:r>
          </w:p>
        </w:tc>
        <w:tc>
          <w:tcPr>
            <w:tcW w:w="4252" w:type="dxa"/>
            <w:tcBorders>
              <w:top w:val="single" w:sz="4" w:space="0" w:color="auto"/>
              <w:left w:val="single" w:sz="4" w:space="0" w:color="auto"/>
              <w:bottom w:val="single" w:sz="4" w:space="0" w:color="auto"/>
              <w:right w:val="single" w:sz="4" w:space="0" w:color="auto"/>
            </w:tcBorders>
            <w:shd w:val="clear" w:color="auto" w:fill="FFFFCC"/>
            <w:noWrap/>
            <w:vAlign w:val="center"/>
          </w:tcPr>
          <w:p w:rsidR="001A1E40" w:rsidRPr="005C2DD2" w:rsidRDefault="001A1E40" w:rsidP="00B26106">
            <w:pPr>
              <w:jc w:val="both"/>
              <w:rPr>
                <w:rFonts w:eastAsia="標楷體"/>
                <w:b/>
              </w:rPr>
            </w:pPr>
            <w:r>
              <w:rPr>
                <w:rFonts w:eastAsia="標楷體" w:hint="eastAsia"/>
                <w:b/>
              </w:rPr>
              <w:t xml:space="preserve">CBC </w:t>
            </w:r>
            <w:r w:rsidRPr="005C2DD2">
              <w:rPr>
                <w:rFonts w:eastAsia="標楷體"/>
                <w:b/>
              </w:rPr>
              <w:t>(2020/6/18)</w:t>
            </w:r>
          </w:p>
        </w:tc>
        <w:tc>
          <w:tcPr>
            <w:tcW w:w="2977" w:type="dxa"/>
            <w:tcBorders>
              <w:top w:val="single" w:sz="4" w:space="0" w:color="auto"/>
              <w:left w:val="single" w:sz="4" w:space="0" w:color="auto"/>
              <w:bottom w:val="single" w:sz="4" w:space="0" w:color="auto"/>
              <w:right w:val="single" w:sz="4" w:space="0" w:color="auto"/>
            </w:tcBorders>
            <w:shd w:val="clear" w:color="auto" w:fill="FFFFCC"/>
            <w:vAlign w:val="center"/>
          </w:tcPr>
          <w:p w:rsidR="001A1E40" w:rsidRPr="005C2DD2" w:rsidRDefault="001A1E40" w:rsidP="00B26106">
            <w:pPr>
              <w:widowControl/>
              <w:jc w:val="center"/>
              <w:rPr>
                <w:rFonts w:eastAsia="標楷體"/>
                <w:b/>
                <w:bCs/>
              </w:rPr>
            </w:pPr>
            <w:r w:rsidRPr="005C2DD2">
              <w:rPr>
                <w:rFonts w:eastAsia="標楷體"/>
                <w:b/>
              </w:rPr>
              <w:t>0.01</w:t>
            </w:r>
            <w:r w:rsidRPr="005C2DD2">
              <w:rPr>
                <w:rFonts w:eastAsia="標楷體"/>
                <w:b/>
                <w:bCs/>
              </w:rPr>
              <w:br/>
              <w:t>(CPI)</w:t>
            </w:r>
          </w:p>
          <w:p w:rsidR="001A1E40" w:rsidRPr="005C2DD2" w:rsidRDefault="001A1E40" w:rsidP="00B26106">
            <w:pPr>
              <w:widowControl/>
              <w:jc w:val="center"/>
              <w:rPr>
                <w:rFonts w:eastAsia="標楷體"/>
                <w:b/>
              </w:rPr>
            </w:pPr>
            <w:r w:rsidRPr="005C2DD2">
              <w:rPr>
                <w:rFonts w:eastAsia="標楷體"/>
                <w:b/>
                <w:bCs/>
              </w:rPr>
              <w:t>0.36</w:t>
            </w:r>
            <w:r w:rsidRPr="005C2DD2">
              <w:rPr>
                <w:rFonts w:eastAsia="標楷體"/>
                <w:b/>
                <w:bCs/>
              </w:rPr>
              <w:br/>
              <w:t>(</w:t>
            </w:r>
            <w:r>
              <w:rPr>
                <w:rFonts w:eastAsia="標楷體" w:hint="eastAsia"/>
                <w:b/>
                <w:bCs/>
              </w:rPr>
              <w:t xml:space="preserve">Core </w:t>
            </w:r>
            <w:r w:rsidRPr="005C2DD2">
              <w:rPr>
                <w:rFonts w:eastAsia="標楷體"/>
                <w:b/>
                <w:bCs/>
              </w:rPr>
              <w:t>CPI*)</w:t>
            </w:r>
          </w:p>
        </w:tc>
      </w:tr>
      <w:tr w:rsidR="001A1E40" w:rsidRPr="00D6542E" w:rsidTr="00B26106">
        <w:trPr>
          <w:trHeight w:val="458"/>
        </w:trPr>
        <w:tc>
          <w:tcPr>
            <w:tcW w:w="1277" w:type="dxa"/>
            <w:vMerge/>
            <w:tcBorders>
              <w:left w:val="single" w:sz="4" w:space="0" w:color="auto"/>
              <w:right w:val="single" w:sz="4" w:space="0" w:color="auto"/>
            </w:tcBorders>
            <w:vAlign w:val="center"/>
          </w:tcPr>
          <w:p w:rsidR="001A1E40" w:rsidRPr="00D6542E" w:rsidRDefault="001A1E40" w:rsidP="00B26106">
            <w:pPr>
              <w:snapToGrid w:val="0"/>
              <w:jc w:val="center"/>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5C2DD2" w:rsidRDefault="001A1E40" w:rsidP="00B26106">
            <w:pPr>
              <w:jc w:val="both"/>
              <w:rPr>
                <w:rFonts w:eastAsia="標楷體"/>
              </w:rPr>
            </w:pPr>
            <w:r>
              <w:rPr>
                <w:rFonts w:eastAsia="標楷體" w:hint="eastAsia"/>
              </w:rPr>
              <w:t xml:space="preserve">DGBAS </w:t>
            </w:r>
            <w:r w:rsidRPr="005C2DD2">
              <w:rPr>
                <w:rFonts w:eastAsia="標楷體"/>
              </w:rPr>
              <w:t>(2020/5/28)</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5C2DD2" w:rsidRDefault="001A1E40" w:rsidP="00B26106">
            <w:pPr>
              <w:jc w:val="center"/>
              <w:rPr>
                <w:rFonts w:eastAsia="標楷體"/>
              </w:rPr>
            </w:pPr>
            <w:r w:rsidRPr="005C2DD2">
              <w:rPr>
                <w:rFonts w:eastAsia="標楷體"/>
              </w:rPr>
              <w:t>-0.32</w:t>
            </w:r>
          </w:p>
        </w:tc>
      </w:tr>
      <w:tr w:rsidR="001A1E40" w:rsidRPr="00D6542E" w:rsidTr="00B26106">
        <w:trPr>
          <w:trHeight w:val="458"/>
        </w:trPr>
        <w:tc>
          <w:tcPr>
            <w:tcW w:w="1277" w:type="dxa"/>
            <w:vMerge/>
            <w:tcBorders>
              <w:left w:val="single" w:sz="4" w:space="0" w:color="auto"/>
              <w:right w:val="single" w:sz="4" w:space="0" w:color="auto"/>
            </w:tcBorders>
            <w:vAlign w:val="center"/>
          </w:tcPr>
          <w:p w:rsidR="001A1E40" w:rsidRPr="00D6542E" w:rsidRDefault="001A1E40" w:rsidP="00B26106">
            <w:pPr>
              <w:snapToGrid w:val="0"/>
              <w:jc w:val="center"/>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5C2DD2" w:rsidRDefault="001A1E40" w:rsidP="00B26106">
            <w:pPr>
              <w:jc w:val="both"/>
              <w:rPr>
                <w:rFonts w:eastAsia="標楷體"/>
              </w:rPr>
            </w:pPr>
            <w:r w:rsidRPr="00A3253E">
              <w:rPr>
                <w:rFonts w:eastAsia="標楷體"/>
              </w:rPr>
              <w:t>TIER</w:t>
            </w:r>
            <w:r w:rsidRPr="00E86947">
              <w:rPr>
                <w:rFonts w:eastAsia="標楷體"/>
              </w:rPr>
              <w:t xml:space="preserve"> </w:t>
            </w:r>
            <w:r w:rsidRPr="005C2DD2">
              <w:rPr>
                <w:rFonts w:eastAsia="標楷體"/>
              </w:rPr>
              <w:t>(2020/4/24)</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5C2DD2" w:rsidRDefault="001A1E40" w:rsidP="00B26106">
            <w:pPr>
              <w:jc w:val="center"/>
              <w:rPr>
                <w:rFonts w:eastAsia="標楷體"/>
              </w:rPr>
            </w:pPr>
            <w:r w:rsidRPr="005C2DD2">
              <w:rPr>
                <w:rFonts w:eastAsia="標楷體"/>
              </w:rPr>
              <w:t>0.60</w:t>
            </w:r>
          </w:p>
        </w:tc>
      </w:tr>
      <w:tr w:rsidR="001A1E40" w:rsidRPr="00D6542E" w:rsidTr="00B26106">
        <w:trPr>
          <w:trHeight w:val="458"/>
        </w:trPr>
        <w:tc>
          <w:tcPr>
            <w:tcW w:w="1277" w:type="dxa"/>
            <w:vMerge/>
            <w:tcBorders>
              <w:left w:val="single" w:sz="4" w:space="0" w:color="auto"/>
              <w:right w:val="single" w:sz="4" w:space="0" w:color="auto"/>
            </w:tcBorders>
            <w:vAlign w:val="center"/>
          </w:tcPr>
          <w:p w:rsidR="001A1E40" w:rsidRPr="00D6542E" w:rsidRDefault="001A1E40" w:rsidP="00B26106">
            <w:pPr>
              <w:snapToGrid w:val="0"/>
              <w:jc w:val="center"/>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5C2DD2" w:rsidRDefault="001A1E40" w:rsidP="00B26106">
            <w:pPr>
              <w:jc w:val="both"/>
              <w:rPr>
                <w:rFonts w:eastAsia="標楷體"/>
              </w:rPr>
            </w:pPr>
            <w:r>
              <w:rPr>
                <w:rFonts w:eastAsia="標楷體" w:hint="eastAsia"/>
              </w:rPr>
              <w:t>CIER</w:t>
            </w:r>
            <w:r w:rsidRPr="005C2DD2">
              <w:rPr>
                <w:rFonts w:eastAsia="標楷體"/>
              </w:rPr>
              <w:t xml:space="preserve"> (2020/4/17)</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5C2DD2" w:rsidRDefault="001A1E40" w:rsidP="00B26106">
            <w:pPr>
              <w:jc w:val="center"/>
              <w:rPr>
                <w:rFonts w:eastAsia="標楷體"/>
              </w:rPr>
            </w:pPr>
            <w:r w:rsidRPr="005C2DD2">
              <w:rPr>
                <w:rFonts w:eastAsia="標楷體"/>
              </w:rPr>
              <w:t>0.58</w:t>
            </w:r>
          </w:p>
        </w:tc>
      </w:tr>
      <w:tr w:rsidR="001A1E40" w:rsidRPr="00D6542E" w:rsidTr="00B26106">
        <w:trPr>
          <w:trHeight w:val="437"/>
        </w:trPr>
        <w:tc>
          <w:tcPr>
            <w:tcW w:w="1277" w:type="dxa"/>
            <w:vMerge/>
            <w:tcBorders>
              <w:left w:val="single" w:sz="4" w:space="0" w:color="auto"/>
              <w:bottom w:val="double" w:sz="4" w:space="0" w:color="auto"/>
              <w:right w:val="single" w:sz="4" w:space="0" w:color="auto"/>
            </w:tcBorders>
            <w:vAlign w:val="center"/>
          </w:tcPr>
          <w:p w:rsidR="001A1E40" w:rsidRPr="00D6542E" w:rsidRDefault="001A1E40" w:rsidP="00B26106">
            <w:pPr>
              <w:widowControl/>
              <w:snapToGrid w:val="0"/>
              <w:rPr>
                <w:rFonts w:eastAsia="標楷體"/>
                <w:bCs/>
                <w:sz w:val="22"/>
                <w:szCs w:val="22"/>
              </w:rPr>
            </w:pPr>
          </w:p>
        </w:tc>
        <w:tc>
          <w:tcPr>
            <w:tcW w:w="4252" w:type="dxa"/>
            <w:tcBorders>
              <w:top w:val="single" w:sz="4" w:space="0" w:color="auto"/>
              <w:left w:val="single" w:sz="4" w:space="0" w:color="auto"/>
              <w:bottom w:val="double" w:sz="4" w:space="0" w:color="auto"/>
              <w:right w:val="single" w:sz="4" w:space="0" w:color="auto"/>
            </w:tcBorders>
            <w:shd w:val="clear" w:color="000000" w:fill="FFFFFF"/>
            <w:noWrap/>
            <w:vAlign w:val="center"/>
          </w:tcPr>
          <w:p w:rsidR="001A1E40" w:rsidRPr="005C2DD2" w:rsidRDefault="001A1E40" w:rsidP="00B26106">
            <w:pPr>
              <w:jc w:val="center"/>
              <w:rPr>
                <w:rFonts w:eastAsia="標楷體"/>
                <w:b/>
              </w:rPr>
            </w:pPr>
            <w:r w:rsidRPr="00A3253E">
              <w:rPr>
                <w:rFonts w:eastAsia="標楷體"/>
                <w:b/>
              </w:rPr>
              <w:t xml:space="preserve">Forecast </w:t>
            </w:r>
            <w:r w:rsidRPr="00A3253E">
              <w:rPr>
                <w:rFonts w:eastAsia="標楷體"/>
                <w:b/>
                <w:u w:val="single"/>
              </w:rPr>
              <w:t>Average</w:t>
            </w:r>
          </w:p>
        </w:tc>
        <w:tc>
          <w:tcPr>
            <w:tcW w:w="2977" w:type="dxa"/>
            <w:tcBorders>
              <w:top w:val="single" w:sz="4" w:space="0" w:color="auto"/>
              <w:left w:val="single" w:sz="4" w:space="0" w:color="auto"/>
              <w:bottom w:val="double" w:sz="4" w:space="0" w:color="auto"/>
              <w:right w:val="single" w:sz="4" w:space="0" w:color="auto"/>
            </w:tcBorders>
            <w:shd w:val="clear" w:color="000000" w:fill="FFFFFF"/>
            <w:vAlign w:val="center"/>
          </w:tcPr>
          <w:p w:rsidR="001A1E40" w:rsidRPr="005C2DD2" w:rsidRDefault="001A1E40" w:rsidP="00B26106">
            <w:pPr>
              <w:jc w:val="center"/>
              <w:rPr>
                <w:rFonts w:eastAsia="標楷體"/>
                <w:b/>
              </w:rPr>
            </w:pPr>
            <w:r w:rsidRPr="005C2DD2">
              <w:rPr>
                <w:rFonts w:eastAsia="標楷體"/>
                <w:b/>
              </w:rPr>
              <w:t>0.22</w:t>
            </w:r>
          </w:p>
        </w:tc>
      </w:tr>
      <w:tr w:rsidR="001A1E40" w:rsidRPr="00D6542E" w:rsidTr="00B26106">
        <w:trPr>
          <w:trHeight w:val="456"/>
        </w:trPr>
        <w:tc>
          <w:tcPr>
            <w:tcW w:w="1277" w:type="dxa"/>
            <w:vMerge w:val="restart"/>
            <w:tcBorders>
              <w:top w:val="double" w:sz="4" w:space="0" w:color="auto"/>
              <w:left w:val="single" w:sz="4" w:space="0" w:color="auto"/>
              <w:right w:val="single" w:sz="4" w:space="0" w:color="auto"/>
            </w:tcBorders>
            <w:shd w:val="clear" w:color="000000" w:fill="FFFFFF"/>
            <w:vAlign w:val="center"/>
            <w:hideMark/>
          </w:tcPr>
          <w:p w:rsidR="001A1E40" w:rsidRDefault="001A1E40" w:rsidP="00B26106">
            <w:pPr>
              <w:widowControl/>
              <w:snapToGrid w:val="0"/>
              <w:jc w:val="center"/>
              <w:rPr>
                <w:rFonts w:eastAsia="標楷體"/>
                <w:bCs/>
                <w:sz w:val="22"/>
                <w:szCs w:val="22"/>
              </w:rPr>
            </w:pPr>
            <w:r>
              <w:rPr>
                <w:rFonts w:eastAsia="標楷體" w:hint="eastAsia"/>
                <w:bCs/>
                <w:sz w:val="22"/>
                <w:szCs w:val="22"/>
              </w:rPr>
              <w:t>Foreign</w:t>
            </w:r>
            <w:r w:rsidRPr="00A3253E">
              <w:rPr>
                <w:rFonts w:eastAsia="標楷體"/>
                <w:bCs/>
                <w:sz w:val="22"/>
                <w:szCs w:val="22"/>
              </w:rPr>
              <w:t xml:space="preserve"> </w:t>
            </w:r>
          </w:p>
          <w:p w:rsidR="001A1E40" w:rsidRPr="00A0240E" w:rsidRDefault="001A1E40" w:rsidP="00B26106">
            <w:pPr>
              <w:widowControl/>
              <w:snapToGrid w:val="0"/>
              <w:jc w:val="center"/>
              <w:rPr>
                <w:rFonts w:eastAsia="標楷體"/>
                <w:bCs/>
                <w:sz w:val="22"/>
                <w:szCs w:val="22"/>
              </w:rPr>
            </w:pPr>
            <w:r w:rsidRPr="00A3253E">
              <w:rPr>
                <w:rFonts w:eastAsia="標楷體"/>
                <w:bCs/>
                <w:sz w:val="22"/>
                <w:szCs w:val="22"/>
              </w:rPr>
              <w:t>institutions</w:t>
            </w:r>
          </w:p>
        </w:tc>
        <w:tc>
          <w:tcPr>
            <w:tcW w:w="4252" w:type="dxa"/>
            <w:tcBorders>
              <w:top w:val="double" w:sz="4" w:space="0" w:color="auto"/>
              <w:left w:val="single" w:sz="4" w:space="0" w:color="auto"/>
              <w:bottom w:val="single" w:sz="4" w:space="0" w:color="auto"/>
              <w:right w:val="single" w:sz="4" w:space="0" w:color="auto"/>
            </w:tcBorders>
            <w:shd w:val="clear" w:color="000000" w:fill="FFFFFF"/>
            <w:noWrap/>
            <w:vAlign w:val="center"/>
            <w:hideMark/>
          </w:tcPr>
          <w:p w:rsidR="001A1E40" w:rsidRPr="00130ADE" w:rsidRDefault="001A1E40" w:rsidP="00B26106">
            <w:pPr>
              <w:jc w:val="both"/>
            </w:pPr>
            <w:r w:rsidRPr="00130ADE">
              <w:t>IHS Markit</w:t>
            </w:r>
            <w:r>
              <w:rPr>
                <w:rFonts w:hint="eastAsia"/>
              </w:rPr>
              <w:t xml:space="preserve"> </w:t>
            </w:r>
            <w:r w:rsidRPr="00130ADE">
              <w:t>(2020/6/15)</w:t>
            </w:r>
          </w:p>
        </w:tc>
        <w:tc>
          <w:tcPr>
            <w:tcW w:w="2977" w:type="dxa"/>
            <w:tcBorders>
              <w:top w:val="double" w:sz="4" w:space="0" w:color="auto"/>
              <w:left w:val="single" w:sz="4" w:space="0" w:color="auto"/>
              <w:bottom w:val="single" w:sz="4" w:space="0" w:color="auto"/>
              <w:right w:val="single" w:sz="4" w:space="0" w:color="auto"/>
            </w:tcBorders>
            <w:shd w:val="clear" w:color="000000" w:fill="FFFFFF"/>
            <w:vAlign w:val="center"/>
          </w:tcPr>
          <w:p w:rsidR="001A1E40" w:rsidRPr="002E1745" w:rsidRDefault="001A1E40" w:rsidP="00B26106">
            <w:pPr>
              <w:jc w:val="center"/>
            </w:pPr>
            <w:r w:rsidRPr="002E1745">
              <w:t>-0.18</w:t>
            </w:r>
          </w:p>
        </w:tc>
      </w:tr>
      <w:tr w:rsidR="001A1E40" w:rsidRPr="00D6542E" w:rsidTr="00B26106">
        <w:trPr>
          <w:trHeight w:val="456"/>
        </w:trPr>
        <w:tc>
          <w:tcPr>
            <w:tcW w:w="1277" w:type="dxa"/>
            <w:vMerge/>
            <w:tcBorders>
              <w:left w:val="single" w:sz="4" w:space="0" w:color="auto"/>
              <w:right w:val="single" w:sz="4" w:space="0" w:color="auto"/>
            </w:tcBorders>
            <w:vAlign w:val="center"/>
          </w:tcPr>
          <w:p w:rsidR="001A1E40" w:rsidRPr="00D6542E" w:rsidRDefault="001A1E40" w:rsidP="00C16F28">
            <w:pPr>
              <w:widowControl/>
              <w:snapToGrid w:val="0"/>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130ADE" w:rsidRDefault="001A1E40" w:rsidP="00C16F28">
            <w:pPr>
              <w:jc w:val="both"/>
            </w:pPr>
            <w:r w:rsidRPr="00130ADE">
              <w:t>Standard Chartered</w:t>
            </w:r>
            <w:r>
              <w:rPr>
                <w:rFonts w:hint="eastAsia"/>
              </w:rPr>
              <w:t xml:space="preserve"> </w:t>
            </w:r>
            <w:r w:rsidRPr="00130ADE">
              <w:t>(2020/6/15)</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2E1745" w:rsidRDefault="001A1E40" w:rsidP="00C16F28">
            <w:pPr>
              <w:jc w:val="center"/>
            </w:pPr>
            <w:r w:rsidRPr="002E1745">
              <w:t>0.20</w:t>
            </w:r>
          </w:p>
        </w:tc>
      </w:tr>
      <w:tr w:rsidR="001A1E40" w:rsidRPr="00D6542E" w:rsidTr="00B26106">
        <w:trPr>
          <w:trHeight w:val="456"/>
        </w:trPr>
        <w:tc>
          <w:tcPr>
            <w:tcW w:w="1277" w:type="dxa"/>
            <w:vMerge/>
            <w:tcBorders>
              <w:left w:val="single" w:sz="4" w:space="0" w:color="auto"/>
              <w:right w:val="single" w:sz="4" w:space="0" w:color="auto"/>
            </w:tcBorders>
            <w:vAlign w:val="center"/>
            <w:hideMark/>
          </w:tcPr>
          <w:p w:rsidR="001A1E40" w:rsidRPr="00D6542E" w:rsidRDefault="001A1E40" w:rsidP="00C16F28">
            <w:pPr>
              <w:widowControl/>
              <w:snapToGrid w:val="0"/>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130ADE" w:rsidRDefault="001A1E40" w:rsidP="00C16F28">
            <w:pPr>
              <w:jc w:val="both"/>
            </w:pPr>
            <w:r w:rsidRPr="00130ADE">
              <w:t>Goldman Sachs</w:t>
            </w:r>
            <w:r>
              <w:rPr>
                <w:rFonts w:hint="eastAsia"/>
              </w:rPr>
              <w:t xml:space="preserve"> </w:t>
            </w:r>
            <w:r w:rsidRPr="00130ADE">
              <w:t>(2020/6/15)</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2E1745" w:rsidRDefault="001A1E40" w:rsidP="00C16F28">
            <w:pPr>
              <w:jc w:val="center"/>
            </w:pPr>
            <w:r w:rsidRPr="002E1745">
              <w:t>0.20</w:t>
            </w:r>
          </w:p>
        </w:tc>
      </w:tr>
      <w:tr w:rsidR="001A1E40" w:rsidRPr="00D6542E" w:rsidTr="00B26106">
        <w:trPr>
          <w:trHeight w:val="456"/>
        </w:trPr>
        <w:tc>
          <w:tcPr>
            <w:tcW w:w="1277" w:type="dxa"/>
            <w:vMerge/>
            <w:tcBorders>
              <w:left w:val="single" w:sz="4" w:space="0" w:color="auto"/>
              <w:right w:val="single" w:sz="4" w:space="0" w:color="auto"/>
            </w:tcBorders>
            <w:vAlign w:val="center"/>
            <w:hideMark/>
          </w:tcPr>
          <w:p w:rsidR="001A1E40" w:rsidRPr="00D6542E" w:rsidRDefault="001A1E40" w:rsidP="00C16F28">
            <w:pPr>
              <w:widowControl/>
              <w:snapToGrid w:val="0"/>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130ADE" w:rsidRDefault="001A1E40" w:rsidP="00C16F28">
            <w:pPr>
              <w:jc w:val="both"/>
            </w:pPr>
            <w:r w:rsidRPr="00130ADE">
              <w:t>Barclays Capital</w:t>
            </w:r>
            <w:r>
              <w:rPr>
                <w:rFonts w:hint="eastAsia"/>
              </w:rPr>
              <w:t xml:space="preserve"> </w:t>
            </w:r>
            <w:r w:rsidRPr="00130ADE">
              <w:t>(2020/6/12)</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2E1745" w:rsidRDefault="001A1E40" w:rsidP="00C16F28">
            <w:pPr>
              <w:jc w:val="center"/>
            </w:pPr>
            <w:r w:rsidRPr="002E1745">
              <w:t>-0.50</w:t>
            </w:r>
          </w:p>
        </w:tc>
      </w:tr>
      <w:tr w:rsidR="001A1E40" w:rsidRPr="00D6542E" w:rsidTr="00B26106">
        <w:trPr>
          <w:trHeight w:val="456"/>
        </w:trPr>
        <w:tc>
          <w:tcPr>
            <w:tcW w:w="1277" w:type="dxa"/>
            <w:vMerge/>
            <w:tcBorders>
              <w:left w:val="single" w:sz="4" w:space="0" w:color="auto"/>
              <w:right w:val="single" w:sz="4" w:space="0" w:color="auto"/>
            </w:tcBorders>
            <w:vAlign w:val="center"/>
            <w:hideMark/>
          </w:tcPr>
          <w:p w:rsidR="001A1E40" w:rsidRPr="00D6542E" w:rsidRDefault="001A1E40" w:rsidP="00C16F28">
            <w:pPr>
              <w:widowControl/>
              <w:snapToGrid w:val="0"/>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130ADE" w:rsidRDefault="001A1E40" w:rsidP="00C16F28">
            <w:pPr>
              <w:jc w:val="both"/>
            </w:pPr>
            <w:r w:rsidRPr="00130ADE">
              <w:t>BofA Merrill Lynch</w:t>
            </w:r>
            <w:r>
              <w:rPr>
                <w:rFonts w:hint="eastAsia"/>
              </w:rPr>
              <w:t xml:space="preserve"> </w:t>
            </w:r>
            <w:r w:rsidRPr="00130ADE">
              <w:t>(2020/6/12)</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2E1745" w:rsidRDefault="001A1E40" w:rsidP="00C16F28">
            <w:pPr>
              <w:jc w:val="center"/>
            </w:pPr>
            <w:r w:rsidRPr="002E1745">
              <w:t>0.30</w:t>
            </w:r>
          </w:p>
        </w:tc>
      </w:tr>
      <w:tr w:rsidR="001A1E40" w:rsidRPr="00D6542E" w:rsidTr="00B26106">
        <w:trPr>
          <w:trHeight w:val="436"/>
        </w:trPr>
        <w:tc>
          <w:tcPr>
            <w:tcW w:w="1277" w:type="dxa"/>
            <w:vMerge/>
            <w:tcBorders>
              <w:left w:val="single" w:sz="4" w:space="0" w:color="auto"/>
              <w:right w:val="single" w:sz="4" w:space="0" w:color="auto"/>
            </w:tcBorders>
            <w:vAlign w:val="center"/>
            <w:hideMark/>
          </w:tcPr>
          <w:p w:rsidR="001A1E40" w:rsidRPr="00D6542E" w:rsidRDefault="001A1E40" w:rsidP="00C16F28">
            <w:pPr>
              <w:widowControl/>
              <w:snapToGrid w:val="0"/>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130ADE" w:rsidRDefault="001A1E40" w:rsidP="00C16F28">
            <w:pPr>
              <w:jc w:val="both"/>
            </w:pPr>
            <w:r w:rsidRPr="00130ADE">
              <w:t>J.P. Morgan</w:t>
            </w:r>
            <w:r>
              <w:rPr>
                <w:rFonts w:hint="eastAsia"/>
              </w:rPr>
              <w:t xml:space="preserve"> </w:t>
            </w:r>
            <w:r w:rsidRPr="00130ADE">
              <w:t>(2020/6/12)</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2E1745" w:rsidRDefault="001A1E40" w:rsidP="00C16F28">
            <w:pPr>
              <w:jc w:val="center"/>
            </w:pPr>
            <w:r w:rsidRPr="002E1745">
              <w:t>-0.30</w:t>
            </w:r>
          </w:p>
        </w:tc>
      </w:tr>
      <w:tr w:rsidR="001A1E40" w:rsidRPr="00D6542E" w:rsidTr="00B26106">
        <w:trPr>
          <w:trHeight w:val="468"/>
        </w:trPr>
        <w:tc>
          <w:tcPr>
            <w:tcW w:w="1277" w:type="dxa"/>
            <w:vMerge/>
            <w:tcBorders>
              <w:left w:val="single" w:sz="4" w:space="0" w:color="auto"/>
              <w:right w:val="single" w:sz="4" w:space="0" w:color="auto"/>
            </w:tcBorders>
            <w:vAlign w:val="center"/>
            <w:hideMark/>
          </w:tcPr>
          <w:p w:rsidR="001A1E40" w:rsidRPr="00D6542E" w:rsidRDefault="001A1E40" w:rsidP="00C16F28">
            <w:pPr>
              <w:widowControl/>
              <w:snapToGrid w:val="0"/>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130ADE" w:rsidRDefault="001A1E40" w:rsidP="00C16F28">
            <w:pPr>
              <w:jc w:val="both"/>
            </w:pPr>
            <w:r w:rsidRPr="00130ADE">
              <w:t>Citi</w:t>
            </w:r>
            <w:r>
              <w:rPr>
                <w:rFonts w:hint="eastAsia"/>
              </w:rPr>
              <w:t xml:space="preserve"> </w:t>
            </w:r>
            <w:r w:rsidRPr="00130ADE">
              <w:t>(2020/6/11)</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2E1745" w:rsidRDefault="001A1E40" w:rsidP="00C16F28">
            <w:pPr>
              <w:jc w:val="center"/>
            </w:pPr>
            <w:r w:rsidRPr="002E1745">
              <w:t>-0.10</w:t>
            </w:r>
          </w:p>
        </w:tc>
      </w:tr>
      <w:tr w:rsidR="001A1E40" w:rsidRPr="00D6542E" w:rsidTr="00B26106">
        <w:trPr>
          <w:trHeight w:val="456"/>
        </w:trPr>
        <w:tc>
          <w:tcPr>
            <w:tcW w:w="1277" w:type="dxa"/>
            <w:vMerge/>
            <w:tcBorders>
              <w:left w:val="single" w:sz="4" w:space="0" w:color="auto"/>
              <w:right w:val="single" w:sz="4" w:space="0" w:color="auto"/>
            </w:tcBorders>
            <w:vAlign w:val="center"/>
            <w:hideMark/>
          </w:tcPr>
          <w:p w:rsidR="001A1E40" w:rsidRPr="00D6542E" w:rsidRDefault="001A1E40" w:rsidP="00C16F28">
            <w:pPr>
              <w:widowControl/>
              <w:snapToGrid w:val="0"/>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1E40" w:rsidRPr="00130ADE" w:rsidRDefault="001A1E40" w:rsidP="00C16F28">
            <w:pPr>
              <w:jc w:val="both"/>
            </w:pPr>
            <w:r w:rsidRPr="00130ADE">
              <w:t>Credit Suisse</w:t>
            </w:r>
            <w:r>
              <w:rPr>
                <w:rFonts w:hint="eastAsia"/>
              </w:rPr>
              <w:t xml:space="preserve"> </w:t>
            </w:r>
            <w:r w:rsidRPr="00130ADE">
              <w:t>(2020/6/11)</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2E1745" w:rsidRDefault="001A1E40" w:rsidP="00C16F28">
            <w:pPr>
              <w:jc w:val="center"/>
            </w:pPr>
            <w:r w:rsidRPr="002E1745">
              <w:t>-0.20</w:t>
            </w:r>
          </w:p>
        </w:tc>
      </w:tr>
      <w:tr w:rsidR="001A1E40" w:rsidRPr="00D6542E" w:rsidTr="00B26106">
        <w:trPr>
          <w:trHeight w:val="456"/>
        </w:trPr>
        <w:tc>
          <w:tcPr>
            <w:tcW w:w="1277" w:type="dxa"/>
            <w:vMerge/>
            <w:tcBorders>
              <w:left w:val="single" w:sz="4" w:space="0" w:color="auto"/>
              <w:right w:val="single" w:sz="4" w:space="0" w:color="auto"/>
            </w:tcBorders>
            <w:vAlign w:val="center"/>
          </w:tcPr>
          <w:p w:rsidR="001A1E40" w:rsidRPr="00D6542E" w:rsidRDefault="001A1E40" w:rsidP="00C16F28">
            <w:pPr>
              <w:widowControl/>
              <w:snapToGrid w:val="0"/>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Default="001A1E40" w:rsidP="00C16F28">
            <w:pPr>
              <w:jc w:val="both"/>
            </w:pPr>
            <w:r w:rsidRPr="00130ADE">
              <w:t>Deutsche Bank</w:t>
            </w:r>
            <w:r>
              <w:rPr>
                <w:rFonts w:hint="eastAsia"/>
              </w:rPr>
              <w:t xml:space="preserve"> </w:t>
            </w:r>
            <w:r w:rsidRPr="00130ADE">
              <w:t>(2020/6/9)</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Default="001A1E40" w:rsidP="00C16F28">
            <w:pPr>
              <w:jc w:val="center"/>
            </w:pPr>
            <w:r w:rsidRPr="002E1745">
              <w:t>-0.30</w:t>
            </w:r>
          </w:p>
        </w:tc>
      </w:tr>
      <w:tr w:rsidR="001A1E40" w:rsidRPr="00D6542E" w:rsidTr="00B26106">
        <w:trPr>
          <w:trHeight w:val="456"/>
        </w:trPr>
        <w:tc>
          <w:tcPr>
            <w:tcW w:w="1277" w:type="dxa"/>
            <w:vMerge/>
            <w:tcBorders>
              <w:left w:val="single" w:sz="4" w:space="0" w:color="auto"/>
              <w:bottom w:val="single" w:sz="4" w:space="0" w:color="auto"/>
              <w:right w:val="single" w:sz="4" w:space="0" w:color="auto"/>
            </w:tcBorders>
            <w:vAlign w:val="center"/>
          </w:tcPr>
          <w:p w:rsidR="001A1E40" w:rsidRPr="00D6542E" w:rsidRDefault="001A1E40" w:rsidP="00BC2749">
            <w:pPr>
              <w:widowControl/>
              <w:snapToGrid w:val="0"/>
              <w:rPr>
                <w:rFonts w:eastAsia="標楷體"/>
                <w:bCs/>
                <w:sz w:val="22"/>
                <w:szCs w:val="22"/>
              </w:rPr>
            </w:pPr>
          </w:p>
        </w:tc>
        <w:tc>
          <w:tcPr>
            <w:tcW w:w="425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A1E40" w:rsidRPr="00D6542E" w:rsidRDefault="001A1E40" w:rsidP="00BC2749">
            <w:pPr>
              <w:jc w:val="center"/>
              <w:rPr>
                <w:rFonts w:eastAsia="標楷體"/>
                <w:b/>
              </w:rPr>
            </w:pPr>
            <w:r w:rsidRPr="00A3253E">
              <w:rPr>
                <w:rFonts w:eastAsia="標楷體"/>
                <w:b/>
              </w:rPr>
              <w:t xml:space="preserve">Forecast </w:t>
            </w:r>
            <w:r w:rsidRPr="00A3253E">
              <w:rPr>
                <w:rFonts w:eastAsia="標楷體"/>
                <w:b/>
                <w:u w:val="single"/>
              </w:rPr>
              <w:t>Average</w:t>
            </w: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1A1E40" w:rsidRPr="00566BBA" w:rsidRDefault="001A1E40" w:rsidP="00BC2749">
            <w:pPr>
              <w:jc w:val="center"/>
              <w:rPr>
                <w:b/>
                <w:color w:val="000000" w:themeColor="text1"/>
              </w:rPr>
            </w:pPr>
            <w:r>
              <w:rPr>
                <w:rFonts w:hint="eastAsia"/>
                <w:b/>
                <w:color w:val="000000" w:themeColor="text1"/>
              </w:rPr>
              <w:t>-0.10</w:t>
            </w:r>
          </w:p>
        </w:tc>
      </w:tr>
    </w:tbl>
    <w:p w:rsidR="001A1E40" w:rsidRPr="00D25082" w:rsidRDefault="001A1E40" w:rsidP="00BC2749">
      <w:pPr>
        <w:snapToGrid w:val="0"/>
        <w:spacing w:beforeLines="100" w:before="240"/>
        <w:ind w:rightChars="235" w:right="470"/>
        <w:jc w:val="right"/>
        <w:rPr>
          <w:rFonts w:eastAsia="標楷體"/>
          <w:b/>
          <w:sz w:val="32"/>
          <w:szCs w:val="28"/>
        </w:rPr>
      </w:pPr>
      <w:r>
        <w:rPr>
          <w:rFonts w:eastAsia="標楷體" w:hint="eastAsia"/>
          <w:szCs w:val="22"/>
        </w:rPr>
        <w:t xml:space="preserve">Unit: </w:t>
      </w:r>
      <w:r w:rsidRPr="00627180">
        <w:rPr>
          <w:rFonts w:eastAsia="標楷體"/>
          <w:szCs w:val="22"/>
        </w:rPr>
        <w:t>%</w:t>
      </w:r>
    </w:p>
    <w:p w:rsidR="001A1E40" w:rsidRDefault="001A1E40" w:rsidP="00366233">
      <w:pPr>
        <w:snapToGrid w:val="0"/>
        <w:spacing w:beforeLines="50" w:before="120"/>
        <w:ind w:left="200" w:hangingChars="100" w:hanging="200"/>
        <w:rPr>
          <w:rFonts w:eastAsia="標楷體"/>
        </w:rPr>
      </w:pPr>
      <w:r>
        <w:rPr>
          <w:rFonts w:eastAsia="標楷體" w:hint="eastAsia"/>
        </w:rPr>
        <w:t xml:space="preserve">     </w:t>
      </w:r>
      <w:r w:rsidRPr="00557E39">
        <w:rPr>
          <w:rFonts w:eastAsia="標楷體"/>
        </w:rPr>
        <w:t>*</w:t>
      </w:r>
      <w:r>
        <w:rPr>
          <w:rFonts w:eastAsia="標楷體" w:hint="eastAsia"/>
        </w:rPr>
        <w:t xml:space="preserve"> </w:t>
      </w:r>
      <w:r w:rsidRPr="00557E39">
        <w:rPr>
          <w:rFonts w:eastAsia="標楷體"/>
        </w:rPr>
        <w:t>Excluding</w:t>
      </w:r>
      <w:r>
        <w:rPr>
          <w:rFonts w:eastAsia="標楷體"/>
        </w:rPr>
        <w:t xml:space="preserve"> vegetables, fruit, and energ</w:t>
      </w:r>
      <w:r>
        <w:rPr>
          <w:rFonts w:eastAsia="標楷體" w:hint="eastAsia"/>
        </w:rPr>
        <w:t>y.</w:t>
      </w:r>
    </w:p>
    <w:p w:rsidR="001A1E40" w:rsidRDefault="001A1E40" w:rsidP="00366233">
      <w:pPr>
        <w:snapToGrid w:val="0"/>
        <w:spacing w:beforeLines="50" w:before="120"/>
        <w:ind w:left="200" w:hangingChars="100" w:hanging="200"/>
        <w:rPr>
          <w:rFonts w:eastAsia="標楷體"/>
        </w:rPr>
      </w:pPr>
    </w:p>
    <w:sectPr w:rsidR="001A1E40" w:rsidSect="005B7036">
      <w:footerReference w:type="default" r:id="rId12"/>
      <w:footerReference w:type="first" r:id="rId13"/>
      <w:pgSz w:w="11907" w:h="16840" w:code="9"/>
      <w:pgMar w:top="1304" w:right="1418" w:bottom="1418" w:left="1418" w:header="0" w:footer="454" w:gutter="0"/>
      <w:paperSrc w:first="15" w:other="15"/>
      <w:cols w:space="42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D0C" w:rsidRDefault="004A2D0C">
      <w:r>
        <w:separator/>
      </w:r>
    </w:p>
  </w:endnote>
  <w:endnote w:type="continuationSeparator" w:id="0">
    <w:p w:rsidR="004A2D0C" w:rsidRDefault="004A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華康楷書體W5">
    <w:altName w:val="微軟正黑體"/>
    <w:charset w:val="88"/>
    <w:family w:val="script"/>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文鼎中楷">
    <w:altName w:val="細明體"/>
    <w:charset w:val="00"/>
    <w:family w:val="auto"/>
    <w:pitch w:val="variable"/>
    <w:sig w:usb0="00000001" w:usb1="5000785B" w:usb2="00000000" w:usb3="00000000" w:csb0="0000019F" w:csb1="00000000"/>
  </w:font>
  <w:font w:name="華康中楷體">
    <w:altName w:val="細明體"/>
    <w:panose1 w:val="00000000000000000000"/>
    <w:charset w:val="88"/>
    <w:family w:val="modern"/>
    <w:notTrueType/>
    <w:pitch w:val="fixed"/>
    <w:sig w:usb0="00000001" w:usb1="08080000" w:usb2="00000010" w:usb3="00000000" w:csb0="00100000" w:csb1="00000000"/>
  </w:font>
  <w:font w:name="華康仿宋體W6">
    <w:charset w:val="88"/>
    <w:family w:val="modern"/>
    <w:pitch w:val="fixed"/>
    <w:sig w:usb0="80000001" w:usb1="28091800" w:usb2="00000016" w:usb3="00000000" w:csb0="00100000" w:csb1="00000000"/>
  </w:font>
  <w:font w:name="華康隸書體W5">
    <w:charset w:val="88"/>
    <w:family w:val="script"/>
    <w:pitch w:val="fixed"/>
    <w:sig w:usb0="80000001" w:usb1="28091800" w:usb2="00000016" w:usb3="00000000" w:csb0="00100000" w:csb1="00000000"/>
  </w:font>
  <w:font w:name="sө">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608" w:rsidRDefault="005D3608">
    <w:pPr>
      <w:pStyle w:val="a6"/>
      <w:framePr w:wrap="auto" w:vAnchor="text" w:hAnchor="margin" w:xAlign="right" w:y="1"/>
      <w:textDirection w:val="lrTbV"/>
      <w:rPr>
        <w:rStyle w:val="aa"/>
      </w:rPr>
    </w:pPr>
    <w:r>
      <w:rPr>
        <w:rStyle w:val="aa"/>
      </w:rPr>
      <w:fldChar w:fldCharType="begin"/>
    </w:r>
    <w:r>
      <w:rPr>
        <w:rStyle w:val="aa"/>
      </w:rPr>
      <w:instrText xml:space="preserve">PAGE  </w:instrText>
    </w:r>
    <w:r>
      <w:rPr>
        <w:rStyle w:val="aa"/>
      </w:rPr>
      <w:fldChar w:fldCharType="separate"/>
    </w:r>
    <w:r>
      <w:rPr>
        <w:rStyle w:val="aa"/>
        <w:noProof/>
      </w:rPr>
      <w:t>8</w:t>
    </w:r>
    <w:r>
      <w:rPr>
        <w:rStyle w:val="aa"/>
      </w:rPr>
      <w:fldChar w:fldCharType="end"/>
    </w:r>
  </w:p>
  <w:p w:rsidR="005D3608" w:rsidRDefault="005D3608">
    <w:pPr>
      <w:pStyle w:val="a6"/>
      <w:ind w:right="360"/>
      <w:textDirection w:val="lrTbV"/>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608" w:rsidRDefault="005D3608">
    <w:pPr>
      <w:pStyle w:val="a6"/>
      <w:jc w:val="center"/>
    </w:pPr>
  </w:p>
  <w:p w:rsidR="005D3608" w:rsidRDefault="005D3608">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324940"/>
      <w:docPartObj>
        <w:docPartGallery w:val="Page Numbers (Bottom of Page)"/>
        <w:docPartUnique/>
      </w:docPartObj>
    </w:sdtPr>
    <w:sdtEndPr/>
    <w:sdtContent>
      <w:p w:rsidR="001A1E40" w:rsidRDefault="001A1E40">
        <w:pPr>
          <w:pStyle w:val="a6"/>
          <w:jc w:val="center"/>
        </w:pPr>
        <w:r>
          <w:fldChar w:fldCharType="begin"/>
        </w:r>
        <w:r>
          <w:instrText>PAGE   \* MERGEFORMAT</w:instrText>
        </w:r>
        <w:r>
          <w:fldChar w:fldCharType="separate"/>
        </w:r>
        <w:r w:rsidR="00DE42B9" w:rsidRPr="00DE42B9">
          <w:rPr>
            <w:noProof/>
            <w:lang w:val="zh-TW"/>
          </w:rPr>
          <w:t>1</w:t>
        </w:r>
        <w:r>
          <w:fldChar w:fldCharType="end"/>
        </w:r>
      </w:p>
    </w:sdtContent>
  </w:sdt>
  <w:p w:rsidR="001A1E40" w:rsidRDefault="001A1E40">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466649"/>
      <w:docPartObj>
        <w:docPartGallery w:val="Page Numbers (Bottom of Page)"/>
        <w:docPartUnique/>
      </w:docPartObj>
    </w:sdtPr>
    <w:sdtEndPr/>
    <w:sdtContent>
      <w:p w:rsidR="005D3608" w:rsidRDefault="005D3608">
        <w:pPr>
          <w:pStyle w:val="a6"/>
          <w:jc w:val="center"/>
        </w:pPr>
        <w:r>
          <w:fldChar w:fldCharType="begin"/>
        </w:r>
        <w:r>
          <w:instrText>PAGE   \* MERGEFORMAT</w:instrText>
        </w:r>
        <w:r>
          <w:fldChar w:fldCharType="separate"/>
        </w:r>
        <w:r w:rsidR="00DE42B9" w:rsidRPr="00DE42B9">
          <w:rPr>
            <w:noProof/>
            <w:lang w:val="zh-TW"/>
          </w:rPr>
          <w:t>16</w:t>
        </w:r>
        <w:r>
          <w:fldChar w:fldCharType="end"/>
        </w:r>
      </w:p>
    </w:sdtContent>
  </w:sdt>
  <w:p w:rsidR="005D3608" w:rsidRDefault="005D3608">
    <w:pPr>
      <w:pStyle w:val="a6"/>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401886"/>
      <w:docPartObj>
        <w:docPartGallery w:val="Page Numbers (Bottom of Page)"/>
        <w:docPartUnique/>
      </w:docPartObj>
    </w:sdtPr>
    <w:sdtEndPr/>
    <w:sdtContent>
      <w:p w:rsidR="005D3608" w:rsidRDefault="005D3608">
        <w:pPr>
          <w:pStyle w:val="a6"/>
          <w:jc w:val="center"/>
        </w:pPr>
        <w:r>
          <w:fldChar w:fldCharType="begin"/>
        </w:r>
        <w:r>
          <w:instrText>PAGE   \* MERGEFORMAT</w:instrText>
        </w:r>
        <w:r>
          <w:fldChar w:fldCharType="separate"/>
        </w:r>
        <w:r w:rsidRPr="00590406">
          <w:rPr>
            <w:noProof/>
            <w:lang w:val="zh-TW"/>
          </w:rPr>
          <w:t>1</w:t>
        </w:r>
        <w:r>
          <w:fldChar w:fldCharType="end"/>
        </w:r>
      </w:p>
    </w:sdtContent>
  </w:sdt>
  <w:p w:rsidR="005D3608" w:rsidRDefault="005D360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D0C" w:rsidRDefault="004A2D0C">
      <w:r>
        <w:separator/>
      </w:r>
    </w:p>
  </w:footnote>
  <w:footnote w:type="continuationSeparator" w:id="0">
    <w:p w:rsidR="004A2D0C" w:rsidRDefault="004A2D0C">
      <w:r>
        <w:continuationSeparator/>
      </w:r>
    </w:p>
  </w:footnote>
  <w:footnote w:id="1">
    <w:p w:rsidR="005D3608" w:rsidRPr="00BB3F05" w:rsidRDefault="005D3608" w:rsidP="00363599">
      <w:pPr>
        <w:pStyle w:val="afc"/>
        <w:rPr>
          <w:sz w:val="14"/>
        </w:rPr>
      </w:pPr>
      <w:r w:rsidRPr="00BB3F05">
        <w:rPr>
          <w:rStyle w:val="afe"/>
        </w:rPr>
        <w:footnoteRef/>
      </w:r>
      <w:r w:rsidRPr="00BB3F05">
        <w:t xml:space="preserve"> This English translation is provided for information purposes only</w:t>
      </w:r>
      <w:r w:rsidRPr="00BB3F05">
        <w:rPr>
          <w:rFonts w:hint="eastAsia"/>
        </w:rPr>
        <w:t>;</w:t>
      </w:r>
      <w:r w:rsidRPr="00BB3F05">
        <w:t xml:space="preserve"> the Chinese version shall prevail in case of discrepancies.</w:t>
      </w:r>
    </w:p>
  </w:footnote>
  <w:footnote w:id="2">
    <w:p w:rsidR="0009648F" w:rsidRDefault="0009648F">
      <w:pPr>
        <w:pStyle w:val="afc"/>
      </w:pPr>
      <w:r>
        <w:rPr>
          <w:rStyle w:val="afe"/>
        </w:rPr>
        <w:footnoteRef/>
      </w:r>
      <w:r>
        <w:t xml:space="preserve"> </w:t>
      </w:r>
      <w:r w:rsidR="009629F5">
        <w:t xml:space="preserve">To be </w:t>
      </w:r>
      <w:r w:rsidR="00BB3F05">
        <w:t>more closely</w:t>
      </w:r>
      <w:r w:rsidR="009629F5">
        <w:t xml:space="preserve"> in line with the relevant regulations, </w:t>
      </w:r>
      <w:r w:rsidR="009629F5" w:rsidRPr="009629F5">
        <w:t>the rate on accommodations with collateral</w:t>
      </w:r>
      <w:r w:rsidR="009629F5">
        <w:t xml:space="preserve"> and</w:t>
      </w:r>
      <w:r w:rsidR="009629F5" w:rsidRPr="009629F5">
        <w:t xml:space="preserve"> the rate on accommodations without collateral</w:t>
      </w:r>
      <w:r w:rsidR="009629F5">
        <w:t xml:space="preserve"> would from this time on be referred to as </w:t>
      </w:r>
      <w:r w:rsidR="009629F5" w:rsidRPr="009629F5">
        <w:t>the rate on refinancing of secured loans and the rate on temporary accommodations</w:t>
      </w:r>
      <w:r w:rsidR="009629F5">
        <w:t>, respectively.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608" w:rsidRDefault="005D3608" w:rsidP="00527E73">
    <w:pPr>
      <w:jc w:val="right"/>
      <w:rPr>
        <w:rFonts w:eastAsia="標楷體"/>
      </w:rPr>
    </w:pPr>
  </w:p>
  <w:p w:rsidR="005D3608" w:rsidRPr="00A76EF5" w:rsidRDefault="005D3608" w:rsidP="00527E7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B48015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8223DF"/>
    <w:multiLevelType w:val="hybridMultilevel"/>
    <w:tmpl w:val="6F50CF10"/>
    <w:lvl w:ilvl="0" w:tplc="0F04625E">
      <w:start w:val="1"/>
      <w:numFmt w:val="decimal"/>
      <w:lvlText w:val="(%1)"/>
      <w:lvlJc w:val="left"/>
      <w:pPr>
        <w:ind w:left="480" w:hanging="480"/>
      </w:pPr>
      <w:rPr>
        <w:rFonts w:hint="eastAsia"/>
      </w:rPr>
    </w:lvl>
    <w:lvl w:ilvl="1" w:tplc="D5500BB4">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17818B2"/>
    <w:multiLevelType w:val="hybridMultilevel"/>
    <w:tmpl w:val="25687BA0"/>
    <w:lvl w:ilvl="0" w:tplc="04090011">
      <w:start w:val="1"/>
      <w:numFmt w:val="upperLetter"/>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305A87"/>
    <w:multiLevelType w:val="hybridMultilevel"/>
    <w:tmpl w:val="2EB67CD2"/>
    <w:lvl w:ilvl="0" w:tplc="98FA2CF2">
      <w:start w:val="1"/>
      <w:numFmt w:val="upperRoman"/>
      <w:lvlText w:val="%1."/>
      <w:lvlJc w:val="left"/>
      <w:pPr>
        <w:tabs>
          <w:tab w:val="num" w:pos="480"/>
        </w:tabs>
        <w:ind w:left="480" w:hanging="480"/>
      </w:pPr>
      <w:rPr>
        <w:rFonts w:cs="Times New Roman" w:hint="eastAsia"/>
      </w:rPr>
    </w:lvl>
    <w:lvl w:ilvl="1" w:tplc="8AE84C88">
      <w:start w:val="1"/>
      <w:numFmt w:val="decimal"/>
      <w:lvlText w:val="%2."/>
      <w:lvlJc w:val="left"/>
      <w:pPr>
        <w:tabs>
          <w:tab w:val="num" w:pos="840"/>
        </w:tabs>
        <w:ind w:left="840" w:hanging="360"/>
      </w:pPr>
      <w:rPr>
        <w:rFonts w:cs="Times New Roman" w:hint="eastAsia"/>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 w15:restartNumberingAfterBreak="0">
    <w:nsid w:val="0BAB4159"/>
    <w:multiLevelType w:val="hybridMultilevel"/>
    <w:tmpl w:val="6DDE6AD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5006BA"/>
    <w:multiLevelType w:val="hybridMultilevel"/>
    <w:tmpl w:val="028026DE"/>
    <w:lvl w:ilvl="0" w:tplc="F3EE8AC4">
      <w:start w:val="1"/>
      <w:numFmt w:val="taiwaneseCountingThousand"/>
      <w:pStyle w:val="2"/>
      <w:suff w:val="nothing"/>
      <w:lvlText w:val="(%1)"/>
      <w:lvlJc w:val="left"/>
      <w:pPr>
        <w:ind w:left="1437" w:hanging="1080"/>
      </w:pPr>
      <w:rPr>
        <w:rFonts w:ascii="標楷體" w:eastAsia="標楷體" w:hAnsi="標楷體" w:hint="eastAsia"/>
        <w:color w:val="auto"/>
        <w:u w:val="none"/>
      </w:r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6" w15:restartNumberingAfterBreak="0">
    <w:nsid w:val="113A02C2"/>
    <w:multiLevelType w:val="hybridMultilevel"/>
    <w:tmpl w:val="AB02ECE8"/>
    <w:lvl w:ilvl="0" w:tplc="2D325AD2">
      <w:start w:val="1"/>
      <w:numFmt w:val="decimal"/>
      <w:lvlText w:val="%1."/>
      <w:lvlJc w:val="left"/>
      <w:pPr>
        <w:ind w:left="451" w:hanging="360"/>
      </w:pPr>
      <w:rPr>
        <w:rFonts w:hint="default"/>
      </w:rPr>
    </w:lvl>
    <w:lvl w:ilvl="1" w:tplc="04090019" w:tentative="1">
      <w:start w:val="1"/>
      <w:numFmt w:val="ideographTraditional"/>
      <w:lvlText w:val="%2、"/>
      <w:lvlJc w:val="left"/>
      <w:pPr>
        <w:ind w:left="1051" w:hanging="480"/>
      </w:pPr>
    </w:lvl>
    <w:lvl w:ilvl="2" w:tplc="0409001B" w:tentative="1">
      <w:start w:val="1"/>
      <w:numFmt w:val="lowerRoman"/>
      <w:lvlText w:val="%3."/>
      <w:lvlJc w:val="right"/>
      <w:pPr>
        <w:ind w:left="1531" w:hanging="480"/>
      </w:pPr>
    </w:lvl>
    <w:lvl w:ilvl="3" w:tplc="0409000F" w:tentative="1">
      <w:start w:val="1"/>
      <w:numFmt w:val="decimal"/>
      <w:lvlText w:val="%4."/>
      <w:lvlJc w:val="left"/>
      <w:pPr>
        <w:ind w:left="2011" w:hanging="480"/>
      </w:pPr>
    </w:lvl>
    <w:lvl w:ilvl="4" w:tplc="04090019" w:tentative="1">
      <w:start w:val="1"/>
      <w:numFmt w:val="ideographTraditional"/>
      <w:lvlText w:val="%5、"/>
      <w:lvlJc w:val="left"/>
      <w:pPr>
        <w:ind w:left="2491" w:hanging="480"/>
      </w:pPr>
    </w:lvl>
    <w:lvl w:ilvl="5" w:tplc="0409001B" w:tentative="1">
      <w:start w:val="1"/>
      <w:numFmt w:val="lowerRoman"/>
      <w:lvlText w:val="%6."/>
      <w:lvlJc w:val="right"/>
      <w:pPr>
        <w:ind w:left="2971" w:hanging="480"/>
      </w:pPr>
    </w:lvl>
    <w:lvl w:ilvl="6" w:tplc="0409000F" w:tentative="1">
      <w:start w:val="1"/>
      <w:numFmt w:val="decimal"/>
      <w:lvlText w:val="%7."/>
      <w:lvlJc w:val="left"/>
      <w:pPr>
        <w:ind w:left="3451" w:hanging="480"/>
      </w:pPr>
    </w:lvl>
    <w:lvl w:ilvl="7" w:tplc="04090019" w:tentative="1">
      <w:start w:val="1"/>
      <w:numFmt w:val="ideographTraditional"/>
      <w:lvlText w:val="%8、"/>
      <w:lvlJc w:val="left"/>
      <w:pPr>
        <w:ind w:left="3931" w:hanging="480"/>
      </w:pPr>
    </w:lvl>
    <w:lvl w:ilvl="8" w:tplc="0409001B" w:tentative="1">
      <w:start w:val="1"/>
      <w:numFmt w:val="lowerRoman"/>
      <w:lvlText w:val="%9."/>
      <w:lvlJc w:val="right"/>
      <w:pPr>
        <w:ind w:left="4411" w:hanging="480"/>
      </w:pPr>
    </w:lvl>
  </w:abstractNum>
  <w:abstractNum w:abstractNumId="7" w15:restartNumberingAfterBreak="0">
    <w:nsid w:val="163C3CB6"/>
    <w:multiLevelType w:val="hybridMultilevel"/>
    <w:tmpl w:val="99E454B6"/>
    <w:lvl w:ilvl="0" w:tplc="28967524">
      <w:start w:val="1"/>
      <w:numFmt w:val="decimal"/>
      <w:lvlText w:val="%1."/>
      <w:lvlJc w:val="left"/>
      <w:pPr>
        <w:tabs>
          <w:tab w:val="num" w:pos="451"/>
        </w:tabs>
        <w:ind w:left="451"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E960FC6"/>
    <w:multiLevelType w:val="hybridMultilevel"/>
    <w:tmpl w:val="743A480A"/>
    <w:lvl w:ilvl="0" w:tplc="28967524">
      <w:start w:val="1"/>
      <w:numFmt w:val="decimal"/>
      <w:lvlText w:val="%1."/>
      <w:lvlJc w:val="left"/>
      <w:pPr>
        <w:tabs>
          <w:tab w:val="num" w:pos="451"/>
        </w:tabs>
        <w:ind w:left="451" w:hanging="360"/>
      </w:pPr>
      <w:rPr>
        <w:rFonts w:hint="eastAsia"/>
      </w:rPr>
    </w:lvl>
    <w:lvl w:ilvl="1" w:tplc="04090019" w:tentative="1">
      <w:start w:val="1"/>
      <w:numFmt w:val="ideographTraditional"/>
      <w:lvlText w:val="%2、"/>
      <w:lvlJc w:val="left"/>
      <w:pPr>
        <w:tabs>
          <w:tab w:val="num" w:pos="1051"/>
        </w:tabs>
        <w:ind w:left="1051" w:hanging="480"/>
      </w:pPr>
    </w:lvl>
    <w:lvl w:ilvl="2" w:tplc="0409001B" w:tentative="1">
      <w:start w:val="1"/>
      <w:numFmt w:val="lowerRoman"/>
      <w:lvlText w:val="%3."/>
      <w:lvlJc w:val="right"/>
      <w:pPr>
        <w:tabs>
          <w:tab w:val="num" w:pos="1531"/>
        </w:tabs>
        <w:ind w:left="1531" w:hanging="480"/>
      </w:pPr>
    </w:lvl>
    <w:lvl w:ilvl="3" w:tplc="0409000F" w:tentative="1">
      <w:start w:val="1"/>
      <w:numFmt w:val="decimal"/>
      <w:lvlText w:val="%4."/>
      <w:lvlJc w:val="left"/>
      <w:pPr>
        <w:tabs>
          <w:tab w:val="num" w:pos="2011"/>
        </w:tabs>
        <w:ind w:left="2011" w:hanging="480"/>
      </w:pPr>
    </w:lvl>
    <w:lvl w:ilvl="4" w:tplc="04090019" w:tentative="1">
      <w:start w:val="1"/>
      <w:numFmt w:val="ideographTraditional"/>
      <w:lvlText w:val="%5、"/>
      <w:lvlJc w:val="left"/>
      <w:pPr>
        <w:tabs>
          <w:tab w:val="num" w:pos="2491"/>
        </w:tabs>
        <w:ind w:left="2491" w:hanging="480"/>
      </w:pPr>
    </w:lvl>
    <w:lvl w:ilvl="5" w:tplc="0409001B" w:tentative="1">
      <w:start w:val="1"/>
      <w:numFmt w:val="lowerRoman"/>
      <w:lvlText w:val="%6."/>
      <w:lvlJc w:val="right"/>
      <w:pPr>
        <w:tabs>
          <w:tab w:val="num" w:pos="2971"/>
        </w:tabs>
        <w:ind w:left="2971" w:hanging="480"/>
      </w:pPr>
    </w:lvl>
    <w:lvl w:ilvl="6" w:tplc="0409000F" w:tentative="1">
      <w:start w:val="1"/>
      <w:numFmt w:val="decimal"/>
      <w:lvlText w:val="%7."/>
      <w:lvlJc w:val="left"/>
      <w:pPr>
        <w:tabs>
          <w:tab w:val="num" w:pos="3451"/>
        </w:tabs>
        <w:ind w:left="3451" w:hanging="480"/>
      </w:pPr>
    </w:lvl>
    <w:lvl w:ilvl="7" w:tplc="04090019" w:tentative="1">
      <w:start w:val="1"/>
      <w:numFmt w:val="ideographTraditional"/>
      <w:lvlText w:val="%8、"/>
      <w:lvlJc w:val="left"/>
      <w:pPr>
        <w:tabs>
          <w:tab w:val="num" w:pos="3931"/>
        </w:tabs>
        <w:ind w:left="3931" w:hanging="480"/>
      </w:pPr>
    </w:lvl>
    <w:lvl w:ilvl="8" w:tplc="0409001B" w:tentative="1">
      <w:start w:val="1"/>
      <w:numFmt w:val="lowerRoman"/>
      <w:lvlText w:val="%9."/>
      <w:lvlJc w:val="right"/>
      <w:pPr>
        <w:tabs>
          <w:tab w:val="num" w:pos="4411"/>
        </w:tabs>
        <w:ind w:left="4411" w:hanging="480"/>
      </w:pPr>
    </w:lvl>
  </w:abstractNum>
  <w:abstractNum w:abstractNumId="9" w15:restartNumberingAfterBreak="0">
    <w:nsid w:val="2664073D"/>
    <w:multiLevelType w:val="hybridMultilevel"/>
    <w:tmpl w:val="25687BA0"/>
    <w:lvl w:ilvl="0" w:tplc="04090011">
      <w:start w:val="1"/>
      <w:numFmt w:val="upperLetter"/>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CA2740B"/>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DE276D2"/>
    <w:multiLevelType w:val="hybridMultilevel"/>
    <w:tmpl w:val="26B42DFE"/>
    <w:lvl w:ilvl="0" w:tplc="44AE17FC">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2424502"/>
    <w:multiLevelType w:val="hybridMultilevel"/>
    <w:tmpl w:val="1E46E38A"/>
    <w:lvl w:ilvl="0" w:tplc="A342A874">
      <w:start w:val="1"/>
      <w:numFmt w:val="decimalFullWidth"/>
      <w:pStyle w:val="1"/>
      <w:suff w:val="nothing"/>
      <w:lvlText w:val="%1、"/>
      <w:lvlJc w:val="left"/>
      <w:pPr>
        <w:ind w:left="1935" w:hanging="480"/>
      </w:pPr>
      <w:rPr>
        <w:rFonts w:hint="eastAsia"/>
        <w:b w:val="0"/>
        <w:lang w:val="en-US"/>
      </w:rPr>
    </w:lvl>
    <w:lvl w:ilvl="1" w:tplc="04090019" w:tentative="1">
      <w:start w:val="1"/>
      <w:numFmt w:val="ideographTraditional"/>
      <w:lvlText w:val="%2、"/>
      <w:lvlJc w:val="left"/>
      <w:pPr>
        <w:ind w:left="2415" w:hanging="480"/>
      </w:pPr>
    </w:lvl>
    <w:lvl w:ilvl="2" w:tplc="0409001B" w:tentative="1">
      <w:start w:val="1"/>
      <w:numFmt w:val="lowerRoman"/>
      <w:lvlText w:val="%3."/>
      <w:lvlJc w:val="right"/>
      <w:pPr>
        <w:ind w:left="2895" w:hanging="480"/>
      </w:pPr>
    </w:lvl>
    <w:lvl w:ilvl="3" w:tplc="0409000F" w:tentative="1">
      <w:start w:val="1"/>
      <w:numFmt w:val="decimal"/>
      <w:lvlText w:val="%4."/>
      <w:lvlJc w:val="left"/>
      <w:pPr>
        <w:ind w:left="3375" w:hanging="480"/>
      </w:pPr>
    </w:lvl>
    <w:lvl w:ilvl="4" w:tplc="04090019" w:tentative="1">
      <w:start w:val="1"/>
      <w:numFmt w:val="ideographTraditional"/>
      <w:lvlText w:val="%5、"/>
      <w:lvlJc w:val="left"/>
      <w:pPr>
        <w:ind w:left="3855" w:hanging="480"/>
      </w:pPr>
    </w:lvl>
    <w:lvl w:ilvl="5" w:tplc="0409001B" w:tentative="1">
      <w:start w:val="1"/>
      <w:numFmt w:val="lowerRoman"/>
      <w:lvlText w:val="%6."/>
      <w:lvlJc w:val="right"/>
      <w:pPr>
        <w:ind w:left="4335" w:hanging="480"/>
      </w:pPr>
    </w:lvl>
    <w:lvl w:ilvl="6" w:tplc="0409000F" w:tentative="1">
      <w:start w:val="1"/>
      <w:numFmt w:val="decimal"/>
      <w:lvlText w:val="%7."/>
      <w:lvlJc w:val="left"/>
      <w:pPr>
        <w:ind w:left="4815" w:hanging="480"/>
      </w:pPr>
    </w:lvl>
    <w:lvl w:ilvl="7" w:tplc="04090019" w:tentative="1">
      <w:start w:val="1"/>
      <w:numFmt w:val="ideographTraditional"/>
      <w:lvlText w:val="%8、"/>
      <w:lvlJc w:val="left"/>
      <w:pPr>
        <w:ind w:left="5295" w:hanging="480"/>
      </w:pPr>
    </w:lvl>
    <w:lvl w:ilvl="8" w:tplc="0409001B" w:tentative="1">
      <w:start w:val="1"/>
      <w:numFmt w:val="lowerRoman"/>
      <w:lvlText w:val="%9."/>
      <w:lvlJc w:val="right"/>
      <w:pPr>
        <w:ind w:left="5775" w:hanging="480"/>
      </w:pPr>
    </w:lvl>
  </w:abstractNum>
  <w:abstractNum w:abstractNumId="13" w15:restartNumberingAfterBreak="0">
    <w:nsid w:val="38846A57"/>
    <w:multiLevelType w:val="hybridMultilevel"/>
    <w:tmpl w:val="3096582A"/>
    <w:lvl w:ilvl="0" w:tplc="81980898">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9040B71"/>
    <w:multiLevelType w:val="hybridMultilevel"/>
    <w:tmpl w:val="26B42DFE"/>
    <w:lvl w:ilvl="0" w:tplc="44AE17FC">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D6920CE"/>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0083D31"/>
    <w:multiLevelType w:val="hybridMultilevel"/>
    <w:tmpl w:val="7C78A6B4"/>
    <w:lvl w:ilvl="0" w:tplc="04090013">
      <w:start w:val="1"/>
      <w:numFmt w:val="upperRoman"/>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1034545"/>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97001E4"/>
    <w:multiLevelType w:val="hybridMultilevel"/>
    <w:tmpl w:val="5CD6033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BFE0CE6"/>
    <w:multiLevelType w:val="hybridMultilevel"/>
    <w:tmpl w:val="55146648"/>
    <w:lvl w:ilvl="0" w:tplc="33CC672A">
      <w:start w:val="1"/>
      <w:numFmt w:val="taiwaneseCountingThousand"/>
      <w:pStyle w:val="10"/>
      <w:suff w:val="nothing"/>
      <w:lvlText w:val="%1、"/>
      <w:lvlJc w:val="left"/>
      <w:pPr>
        <w:ind w:left="1077" w:hanging="72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20" w15:restartNumberingAfterBreak="0">
    <w:nsid w:val="4C0B7C94"/>
    <w:multiLevelType w:val="hybridMultilevel"/>
    <w:tmpl w:val="291A2BE8"/>
    <w:lvl w:ilvl="0" w:tplc="FFFFFFFF">
      <w:start w:val="1"/>
      <w:numFmt w:val="taiwaneseCountingThousand"/>
      <w:lvlText w:val="%1、"/>
      <w:lvlJc w:val="left"/>
      <w:pPr>
        <w:tabs>
          <w:tab w:val="num" w:pos="480"/>
        </w:tabs>
        <w:ind w:left="480" w:hanging="480"/>
      </w:pPr>
    </w:lvl>
    <w:lvl w:ilvl="1" w:tplc="FFFFFFFF">
      <w:start w:val="1"/>
      <w:numFmt w:val="taiwaneseCountingThousand"/>
      <w:pStyle w:val="20"/>
      <w:lvlText w:val="（%2）"/>
      <w:lvlJc w:val="left"/>
      <w:pPr>
        <w:tabs>
          <w:tab w:val="num" w:pos="1335"/>
        </w:tabs>
        <w:ind w:left="1335" w:hanging="855"/>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1" w15:restartNumberingAfterBreak="0">
    <w:nsid w:val="52B950A1"/>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966627"/>
    <w:multiLevelType w:val="hybridMultilevel"/>
    <w:tmpl w:val="51A0DC26"/>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4087410"/>
    <w:multiLevelType w:val="hybridMultilevel"/>
    <w:tmpl w:val="7EE0F002"/>
    <w:lvl w:ilvl="0" w:tplc="1922773E">
      <w:start w:val="1"/>
      <w:numFmt w:val="taiwaneseCountingThousand"/>
      <w:lvlText w:val="%1、"/>
      <w:lvlJc w:val="left"/>
      <w:pPr>
        <w:ind w:left="720" w:hanging="720"/>
      </w:pPr>
      <w:rPr>
        <w:rFonts w:hint="default"/>
      </w:rPr>
    </w:lvl>
    <w:lvl w:ilvl="1" w:tplc="0409000F">
      <w:start w:val="1"/>
      <w:numFmt w:val="decimal"/>
      <w:lvlText w:val="%2."/>
      <w:lvlJc w:val="left"/>
      <w:pPr>
        <w:ind w:left="960" w:hanging="480"/>
      </w:pPr>
      <w:rPr>
        <w:rFonts w:hint="default"/>
        <w:b w:val="0"/>
        <w:i w:val="0"/>
        <w:caps w:val="0"/>
        <w:strike w:val="0"/>
        <w:dstrike w:val="0"/>
        <w:vanish w:val="0"/>
        <w:sz w:val="28"/>
        <w:vertAlign w:val="baseli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0E35ED"/>
    <w:multiLevelType w:val="hybridMultilevel"/>
    <w:tmpl w:val="EE106E3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3">
      <w:start w:val="1"/>
      <w:numFmt w:val="upperRoman"/>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D913DD6"/>
    <w:multiLevelType w:val="hybridMultilevel"/>
    <w:tmpl w:val="51A0DC26"/>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E7150FD"/>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2A5108"/>
    <w:multiLevelType w:val="hybridMultilevel"/>
    <w:tmpl w:val="C876D018"/>
    <w:lvl w:ilvl="0" w:tplc="135872E2">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06E0043"/>
    <w:multiLevelType w:val="hybridMultilevel"/>
    <w:tmpl w:val="F894E01C"/>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5782ADBC">
      <w:start w:val="1"/>
      <w:numFmt w:val="upperRoman"/>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5C27277"/>
    <w:multiLevelType w:val="hybridMultilevel"/>
    <w:tmpl w:val="26B42DFE"/>
    <w:lvl w:ilvl="0" w:tplc="44AE17FC">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81A3E47"/>
    <w:multiLevelType w:val="hybridMultilevel"/>
    <w:tmpl w:val="64663490"/>
    <w:lvl w:ilvl="0" w:tplc="33E8C0C6">
      <w:start w:val="1"/>
      <w:numFmt w:val="taiwaneseCountingThousand"/>
      <w:pStyle w:val="a0"/>
      <w:lvlText w:val="%1、"/>
      <w:lvlJc w:val="left"/>
      <w:pPr>
        <w:ind w:left="481" w:hanging="480"/>
      </w:pPr>
      <w:rPr>
        <w:rFonts w:hint="eastAsia"/>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31" w15:restartNumberingAfterBreak="0">
    <w:nsid w:val="7C5D6254"/>
    <w:multiLevelType w:val="hybridMultilevel"/>
    <w:tmpl w:val="51A0DC26"/>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28"/>
  </w:num>
  <w:num w:numId="3">
    <w:abstractNumId w:val="19"/>
  </w:num>
  <w:num w:numId="4">
    <w:abstractNumId w:val="5"/>
  </w:num>
  <w:num w:numId="5">
    <w:abstractNumId w:val="12"/>
  </w:num>
  <w:num w:numId="6">
    <w:abstractNumId w:val="30"/>
  </w:num>
  <w:num w:numId="7">
    <w:abstractNumId w:val="3"/>
  </w:num>
  <w:num w:numId="8">
    <w:abstractNumId w:val="29"/>
  </w:num>
  <w:num w:numId="9">
    <w:abstractNumId w:val="25"/>
  </w:num>
  <w:num w:numId="10">
    <w:abstractNumId w:val="22"/>
  </w:num>
  <w:num w:numId="11">
    <w:abstractNumId w:val="13"/>
  </w:num>
  <w:num w:numId="12">
    <w:abstractNumId w:val="31"/>
  </w:num>
  <w:num w:numId="13">
    <w:abstractNumId w:val="1"/>
  </w:num>
  <w:num w:numId="14">
    <w:abstractNumId w:val="21"/>
  </w:num>
  <w:num w:numId="15">
    <w:abstractNumId w:val="17"/>
  </w:num>
  <w:num w:numId="16">
    <w:abstractNumId w:val="10"/>
  </w:num>
  <w:num w:numId="17">
    <w:abstractNumId w:val="11"/>
  </w:num>
  <w:num w:numId="18">
    <w:abstractNumId w:val="0"/>
  </w:num>
  <w:num w:numId="19">
    <w:abstractNumId w:val="2"/>
  </w:num>
  <w:num w:numId="20">
    <w:abstractNumId w:val="9"/>
  </w:num>
  <w:num w:numId="21">
    <w:abstractNumId w:val="26"/>
  </w:num>
  <w:num w:numId="22">
    <w:abstractNumId w:val="15"/>
  </w:num>
  <w:num w:numId="23">
    <w:abstractNumId w:val="18"/>
  </w:num>
  <w:num w:numId="24">
    <w:abstractNumId w:val="27"/>
  </w:num>
  <w:num w:numId="25">
    <w:abstractNumId w:val="4"/>
  </w:num>
  <w:num w:numId="26">
    <w:abstractNumId w:val="24"/>
  </w:num>
  <w:num w:numId="27">
    <w:abstractNumId w:val="14"/>
  </w:num>
  <w:num w:numId="28">
    <w:abstractNumId w:val="16"/>
  </w:num>
  <w:num w:numId="29">
    <w:abstractNumId w:val="23"/>
  </w:num>
  <w:num w:numId="30">
    <w:abstractNumId w:val="8"/>
  </w:num>
  <w:num w:numId="31">
    <w:abstractNumId w:val="7"/>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360"/>
  <w:doNotHyphenateCaps/>
  <w:drawingGridHorizontalSpacing w:val="91"/>
  <w:drawingGridVerticalSpacing w:val="186"/>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74.26 pt,3.4 pt"/>
    <w:docVar w:name="AutoMarginAdjustment3" w:val="68.04 pt,-2.82 pt"/>
    <w:docVar w:name="CharSpaceMode" w:val="0"/>
    <w:docVar w:name="HeaderDateTimeMode" w:val="0"/>
    <w:docVar w:name="HeaderDateTimeOpt" w:val="0"/>
    <w:docVar w:name="HeaderDocInfoMode" w:val="0"/>
    <w:docVar w:name="HeaderDocInfoOpt" w:val="0"/>
    <w:docVar w:name="HeaderPageNumberMode" w:val="0"/>
    <w:docVar w:name="OverlayMode" w:val="0"/>
    <w:docVar w:name="PageNUp" w:val="1"/>
  </w:docVars>
  <w:rsids>
    <w:rsidRoot w:val="00357D03"/>
    <w:rsid w:val="000000CD"/>
    <w:rsid w:val="00000539"/>
    <w:rsid w:val="00000893"/>
    <w:rsid w:val="00000C8B"/>
    <w:rsid w:val="000011A0"/>
    <w:rsid w:val="00001514"/>
    <w:rsid w:val="000015F2"/>
    <w:rsid w:val="00001A47"/>
    <w:rsid w:val="00001E86"/>
    <w:rsid w:val="0000343F"/>
    <w:rsid w:val="000036F8"/>
    <w:rsid w:val="00003746"/>
    <w:rsid w:val="0000408E"/>
    <w:rsid w:val="00004D84"/>
    <w:rsid w:val="00004ECA"/>
    <w:rsid w:val="000060B5"/>
    <w:rsid w:val="00007267"/>
    <w:rsid w:val="00007492"/>
    <w:rsid w:val="00007912"/>
    <w:rsid w:val="0001263F"/>
    <w:rsid w:val="00012AE8"/>
    <w:rsid w:val="00012BA7"/>
    <w:rsid w:val="00012CF6"/>
    <w:rsid w:val="00013734"/>
    <w:rsid w:val="00013E70"/>
    <w:rsid w:val="00014832"/>
    <w:rsid w:val="00015948"/>
    <w:rsid w:val="0001611E"/>
    <w:rsid w:val="00016170"/>
    <w:rsid w:val="000161E1"/>
    <w:rsid w:val="000172D1"/>
    <w:rsid w:val="00017CFB"/>
    <w:rsid w:val="000208F9"/>
    <w:rsid w:val="00020E28"/>
    <w:rsid w:val="0002139D"/>
    <w:rsid w:val="00021C4D"/>
    <w:rsid w:val="00022D53"/>
    <w:rsid w:val="000234E1"/>
    <w:rsid w:val="0002361C"/>
    <w:rsid w:val="00023910"/>
    <w:rsid w:val="00023A72"/>
    <w:rsid w:val="00023B97"/>
    <w:rsid w:val="00023C00"/>
    <w:rsid w:val="00024348"/>
    <w:rsid w:val="00024563"/>
    <w:rsid w:val="00024918"/>
    <w:rsid w:val="00024E21"/>
    <w:rsid w:val="00025604"/>
    <w:rsid w:val="00025945"/>
    <w:rsid w:val="000261D7"/>
    <w:rsid w:val="00026B66"/>
    <w:rsid w:val="00026FF9"/>
    <w:rsid w:val="000273DC"/>
    <w:rsid w:val="000277F7"/>
    <w:rsid w:val="000300B0"/>
    <w:rsid w:val="00030239"/>
    <w:rsid w:val="00030F1C"/>
    <w:rsid w:val="00030F57"/>
    <w:rsid w:val="00030FC7"/>
    <w:rsid w:val="000310B5"/>
    <w:rsid w:val="000313D2"/>
    <w:rsid w:val="0003181C"/>
    <w:rsid w:val="00031952"/>
    <w:rsid w:val="00031EE6"/>
    <w:rsid w:val="0003350C"/>
    <w:rsid w:val="00033A27"/>
    <w:rsid w:val="000347CA"/>
    <w:rsid w:val="00034A01"/>
    <w:rsid w:val="000352E7"/>
    <w:rsid w:val="000354B4"/>
    <w:rsid w:val="000354D4"/>
    <w:rsid w:val="00035715"/>
    <w:rsid w:val="0003595D"/>
    <w:rsid w:val="00035AF2"/>
    <w:rsid w:val="00035C93"/>
    <w:rsid w:val="000364D7"/>
    <w:rsid w:val="00036C01"/>
    <w:rsid w:val="00037CF9"/>
    <w:rsid w:val="00037E4C"/>
    <w:rsid w:val="000409C7"/>
    <w:rsid w:val="00040A99"/>
    <w:rsid w:val="00040D8D"/>
    <w:rsid w:val="00041971"/>
    <w:rsid w:val="00041B34"/>
    <w:rsid w:val="00041F4E"/>
    <w:rsid w:val="0004218D"/>
    <w:rsid w:val="00042AB6"/>
    <w:rsid w:val="00042C02"/>
    <w:rsid w:val="00042EF3"/>
    <w:rsid w:val="00043817"/>
    <w:rsid w:val="00043DEB"/>
    <w:rsid w:val="00044455"/>
    <w:rsid w:val="000447BE"/>
    <w:rsid w:val="0004487E"/>
    <w:rsid w:val="00045021"/>
    <w:rsid w:val="00045291"/>
    <w:rsid w:val="00045DC9"/>
    <w:rsid w:val="00045E43"/>
    <w:rsid w:val="000465FC"/>
    <w:rsid w:val="00046AB9"/>
    <w:rsid w:val="00047470"/>
    <w:rsid w:val="0005062A"/>
    <w:rsid w:val="000506F7"/>
    <w:rsid w:val="00050C0E"/>
    <w:rsid w:val="00050E8E"/>
    <w:rsid w:val="00051573"/>
    <w:rsid w:val="00051C4F"/>
    <w:rsid w:val="00052499"/>
    <w:rsid w:val="00052542"/>
    <w:rsid w:val="000527ED"/>
    <w:rsid w:val="00052D7F"/>
    <w:rsid w:val="00052EC5"/>
    <w:rsid w:val="00053CB6"/>
    <w:rsid w:val="0005481E"/>
    <w:rsid w:val="00054C75"/>
    <w:rsid w:val="0005572F"/>
    <w:rsid w:val="00055735"/>
    <w:rsid w:val="00055A5B"/>
    <w:rsid w:val="00055AA1"/>
    <w:rsid w:val="00055BEF"/>
    <w:rsid w:val="00055BFA"/>
    <w:rsid w:val="000571DE"/>
    <w:rsid w:val="00057456"/>
    <w:rsid w:val="00057824"/>
    <w:rsid w:val="00057FAE"/>
    <w:rsid w:val="00060393"/>
    <w:rsid w:val="0006043D"/>
    <w:rsid w:val="00060E8F"/>
    <w:rsid w:val="00061205"/>
    <w:rsid w:val="000615FB"/>
    <w:rsid w:val="00062A2E"/>
    <w:rsid w:val="00062DAF"/>
    <w:rsid w:val="00063420"/>
    <w:rsid w:val="00063487"/>
    <w:rsid w:val="00064A6F"/>
    <w:rsid w:val="00065BAE"/>
    <w:rsid w:val="00065C34"/>
    <w:rsid w:val="00065E78"/>
    <w:rsid w:val="0006645E"/>
    <w:rsid w:val="000665A2"/>
    <w:rsid w:val="00066E29"/>
    <w:rsid w:val="00066EDA"/>
    <w:rsid w:val="00067450"/>
    <w:rsid w:val="000677F4"/>
    <w:rsid w:val="0006788A"/>
    <w:rsid w:val="00067E09"/>
    <w:rsid w:val="000714E9"/>
    <w:rsid w:val="0007178B"/>
    <w:rsid w:val="00071AEF"/>
    <w:rsid w:val="000725FA"/>
    <w:rsid w:val="0007357C"/>
    <w:rsid w:val="00073992"/>
    <w:rsid w:val="00073BC3"/>
    <w:rsid w:val="00073C35"/>
    <w:rsid w:val="000740C9"/>
    <w:rsid w:val="00074362"/>
    <w:rsid w:val="0007439A"/>
    <w:rsid w:val="00074950"/>
    <w:rsid w:val="00074D40"/>
    <w:rsid w:val="0007575D"/>
    <w:rsid w:val="00076BA5"/>
    <w:rsid w:val="00077111"/>
    <w:rsid w:val="00077188"/>
    <w:rsid w:val="00077397"/>
    <w:rsid w:val="00077E23"/>
    <w:rsid w:val="0008017B"/>
    <w:rsid w:val="00080E7D"/>
    <w:rsid w:val="0008147C"/>
    <w:rsid w:val="0008208A"/>
    <w:rsid w:val="0008211B"/>
    <w:rsid w:val="000830C6"/>
    <w:rsid w:val="00085353"/>
    <w:rsid w:val="000857AB"/>
    <w:rsid w:val="00086AF5"/>
    <w:rsid w:val="00086D52"/>
    <w:rsid w:val="000879C7"/>
    <w:rsid w:val="00087E2C"/>
    <w:rsid w:val="00090AFA"/>
    <w:rsid w:val="00090FBD"/>
    <w:rsid w:val="00091367"/>
    <w:rsid w:val="000919E1"/>
    <w:rsid w:val="00091D66"/>
    <w:rsid w:val="00091D81"/>
    <w:rsid w:val="0009218B"/>
    <w:rsid w:val="00092585"/>
    <w:rsid w:val="0009286B"/>
    <w:rsid w:val="00092E6C"/>
    <w:rsid w:val="00092EE8"/>
    <w:rsid w:val="000941DE"/>
    <w:rsid w:val="00094254"/>
    <w:rsid w:val="00094699"/>
    <w:rsid w:val="0009482E"/>
    <w:rsid w:val="00094953"/>
    <w:rsid w:val="00094D1C"/>
    <w:rsid w:val="000957B8"/>
    <w:rsid w:val="0009648F"/>
    <w:rsid w:val="00096651"/>
    <w:rsid w:val="00096ADB"/>
    <w:rsid w:val="00097ECB"/>
    <w:rsid w:val="000A244B"/>
    <w:rsid w:val="000A3421"/>
    <w:rsid w:val="000A3D31"/>
    <w:rsid w:val="000A4246"/>
    <w:rsid w:val="000A4270"/>
    <w:rsid w:val="000A434A"/>
    <w:rsid w:val="000A48C6"/>
    <w:rsid w:val="000A4B10"/>
    <w:rsid w:val="000A5575"/>
    <w:rsid w:val="000A5BA4"/>
    <w:rsid w:val="000A5E81"/>
    <w:rsid w:val="000A6B23"/>
    <w:rsid w:val="000A7644"/>
    <w:rsid w:val="000A767D"/>
    <w:rsid w:val="000B0AD9"/>
    <w:rsid w:val="000B0EA3"/>
    <w:rsid w:val="000B0F2C"/>
    <w:rsid w:val="000B302B"/>
    <w:rsid w:val="000B309A"/>
    <w:rsid w:val="000B3944"/>
    <w:rsid w:val="000B3F80"/>
    <w:rsid w:val="000B4F96"/>
    <w:rsid w:val="000B5270"/>
    <w:rsid w:val="000B556E"/>
    <w:rsid w:val="000B5C1F"/>
    <w:rsid w:val="000B67BB"/>
    <w:rsid w:val="000B6BEB"/>
    <w:rsid w:val="000B6D6B"/>
    <w:rsid w:val="000B7BA4"/>
    <w:rsid w:val="000B7DCC"/>
    <w:rsid w:val="000C4BEE"/>
    <w:rsid w:val="000C65AF"/>
    <w:rsid w:val="000C66CA"/>
    <w:rsid w:val="000C6A4C"/>
    <w:rsid w:val="000C6F26"/>
    <w:rsid w:val="000C7645"/>
    <w:rsid w:val="000C7C4D"/>
    <w:rsid w:val="000C7FDE"/>
    <w:rsid w:val="000D0035"/>
    <w:rsid w:val="000D00CC"/>
    <w:rsid w:val="000D09C1"/>
    <w:rsid w:val="000D235C"/>
    <w:rsid w:val="000D2D5F"/>
    <w:rsid w:val="000D38AC"/>
    <w:rsid w:val="000D3D4F"/>
    <w:rsid w:val="000D3D6D"/>
    <w:rsid w:val="000D438A"/>
    <w:rsid w:val="000D4473"/>
    <w:rsid w:val="000D48B4"/>
    <w:rsid w:val="000D5121"/>
    <w:rsid w:val="000D5A82"/>
    <w:rsid w:val="000D6024"/>
    <w:rsid w:val="000D6AA2"/>
    <w:rsid w:val="000D6E10"/>
    <w:rsid w:val="000D7025"/>
    <w:rsid w:val="000D7459"/>
    <w:rsid w:val="000D791E"/>
    <w:rsid w:val="000E031F"/>
    <w:rsid w:val="000E09BC"/>
    <w:rsid w:val="000E0BA5"/>
    <w:rsid w:val="000E0D17"/>
    <w:rsid w:val="000E0E71"/>
    <w:rsid w:val="000E1D3F"/>
    <w:rsid w:val="000E23F1"/>
    <w:rsid w:val="000E2439"/>
    <w:rsid w:val="000E2D42"/>
    <w:rsid w:val="000E2E4A"/>
    <w:rsid w:val="000E3124"/>
    <w:rsid w:val="000E3587"/>
    <w:rsid w:val="000E3CFE"/>
    <w:rsid w:val="000E3DCC"/>
    <w:rsid w:val="000E4351"/>
    <w:rsid w:val="000E55EF"/>
    <w:rsid w:val="000E60B7"/>
    <w:rsid w:val="000E658A"/>
    <w:rsid w:val="000E6FDF"/>
    <w:rsid w:val="000E700C"/>
    <w:rsid w:val="000E753C"/>
    <w:rsid w:val="000E7BD6"/>
    <w:rsid w:val="000E7CC3"/>
    <w:rsid w:val="000E7DB4"/>
    <w:rsid w:val="000F01A7"/>
    <w:rsid w:val="000F0290"/>
    <w:rsid w:val="000F063A"/>
    <w:rsid w:val="000F0C2A"/>
    <w:rsid w:val="000F1501"/>
    <w:rsid w:val="000F1CF6"/>
    <w:rsid w:val="000F1F88"/>
    <w:rsid w:val="000F259C"/>
    <w:rsid w:val="000F385F"/>
    <w:rsid w:val="000F4FA1"/>
    <w:rsid w:val="000F598A"/>
    <w:rsid w:val="000F5AD6"/>
    <w:rsid w:val="000F5C7A"/>
    <w:rsid w:val="000F624B"/>
    <w:rsid w:val="000F6FE9"/>
    <w:rsid w:val="000F7B28"/>
    <w:rsid w:val="00100323"/>
    <w:rsid w:val="00100DA1"/>
    <w:rsid w:val="00101BE5"/>
    <w:rsid w:val="00101F97"/>
    <w:rsid w:val="001020BA"/>
    <w:rsid w:val="001022B6"/>
    <w:rsid w:val="001022EF"/>
    <w:rsid w:val="00102B34"/>
    <w:rsid w:val="001030C5"/>
    <w:rsid w:val="001031BF"/>
    <w:rsid w:val="00104994"/>
    <w:rsid w:val="00105328"/>
    <w:rsid w:val="00106457"/>
    <w:rsid w:val="00107214"/>
    <w:rsid w:val="0010768E"/>
    <w:rsid w:val="00110042"/>
    <w:rsid w:val="00111645"/>
    <w:rsid w:val="00111E15"/>
    <w:rsid w:val="00111F6A"/>
    <w:rsid w:val="0011233A"/>
    <w:rsid w:val="00112CF9"/>
    <w:rsid w:val="00112ECF"/>
    <w:rsid w:val="00113380"/>
    <w:rsid w:val="00114C52"/>
    <w:rsid w:val="00115389"/>
    <w:rsid w:val="00115DC5"/>
    <w:rsid w:val="00117A5A"/>
    <w:rsid w:val="00117EC2"/>
    <w:rsid w:val="0012072E"/>
    <w:rsid w:val="00120C73"/>
    <w:rsid w:val="00120F63"/>
    <w:rsid w:val="00121303"/>
    <w:rsid w:val="001213B7"/>
    <w:rsid w:val="001213DE"/>
    <w:rsid w:val="00122786"/>
    <w:rsid w:val="001231AB"/>
    <w:rsid w:val="00123C8A"/>
    <w:rsid w:val="001241D3"/>
    <w:rsid w:val="00124DC3"/>
    <w:rsid w:val="001252DD"/>
    <w:rsid w:val="00125319"/>
    <w:rsid w:val="00125CC6"/>
    <w:rsid w:val="0013067C"/>
    <w:rsid w:val="00130C94"/>
    <w:rsid w:val="00130CCB"/>
    <w:rsid w:val="00130E7D"/>
    <w:rsid w:val="00131ACC"/>
    <w:rsid w:val="00131D07"/>
    <w:rsid w:val="00131D75"/>
    <w:rsid w:val="001320BE"/>
    <w:rsid w:val="001326F6"/>
    <w:rsid w:val="00132907"/>
    <w:rsid w:val="00132F22"/>
    <w:rsid w:val="0013358A"/>
    <w:rsid w:val="00133822"/>
    <w:rsid w:val="00133E71"/>
    <w:rsid w:val="001340BB"/>
    <w:rsid w:val="001340F4"/>
    <w:rsid w:val="001342A6"/>
    <w:rsid w:val="001348DC"/>
    <w:rsid w:val="00134E75"/>
    <w:rsid w:val="001364EC"/>
    <w:rsid w:val="00136CB9"/>
    <w:rsid w:val="001373B9"/>
    <w:rsid w:val="0013768F"/>
    <w:rsid w:val="00140E78"/>
    <w:rsid w:val="001414C1"/>
    <w:rsid w:val="0014153F"/>
    <w:rsid w:val="00141A58"/>
    <w:rsid w:val="00142723"/>
    <w:rsid w:val="00142797"/>
    <w:rsid w:val="00142813"/>
    <w:rsid w:val="00142D07"/>
    <w:rsid w:val="00143869"/>
    <w:rsid w:val="001443CF"/>
    <w:rsid w:val="00144899"/>
    <w:rsid w:val="00145220"/>
    <w:rsid w:val="0014532B"/>
    <w:rsid w:val="0014537E"/>
    <w:rsid w:val="00146044"/>
    <w:rsid w:val="00146F87"/>
    <w:rsid w:val="0014756F"/>
    <w:rsid w:val="00147E3F"/>
    <w:rsid w:val="00147E6F"/>
    <w:rsid w:val="00147EEA"/>
    <w:rsid w:val="00151058"/>
    <w:rsid w:val="001515BF"/>
    <w:rsid w:val="00151838"/>
    <w:rsid w:val="00151948"/>
    <w:rsid w:val="00151F8D"/>
    <w:rsid w:val="001525CE"/>
    <w:rsid w:val="0015353E"/>
    <w:rsid w:val="0015391F"/>
    <w:rsid w:val="00153B79"/>
    <w:rsid w:val="00153BD7"/>
    <w:rsid w:val="00153C34"/>
    <w:rsid w:val="001542A7"/>
    <w:rsid w:val="001542D3"/>
    <w:rsid w:val="00154AFB"/>
    <w:rsid w:val="00157142"/>
    <w:rsid w:val="00157C06"/>
    <w:rsid w:val="00160D9D"/>
    <w:rsid w:val="00161838"/>
    <w:rsid w:val="00162E0A"/>
    <w:rsid w:val="00163118"/>
    <w:rsid w:val="00163395"/>
    <w:rsid w:val="0016414B"/>
    <w:rsid w:val="00164410"/>
    <w:rsid w:val="00164974"/>
    <w:rsid w:val="00164D4A"/>
    <w:rsid w:val="00164F08"/>
    <w:rsid w:val="00165455"/>
    <w:rsid w:val="00166265"/>
    <w:rsid w:val="001667C5"/>
    <w:rsid w:val="001668A5"/>
    <w:rsid w:val="00166B5D"/>
    <w:rsid w:val="00166C8F"/>
    <w:rsid w:val="00166E22"/>
    <w:rsid w:val="00166FF7"/>
    <w:rsid w:val="00167270"/>
    <w:rsid w:val="0016734E"/>
    <w:rsid w:val="001674BA"/>
    <w:rsid w:val="001676FA"/>
    <w:rsid w:val="00170030"/>
    <w:rsid w:val="001703A9"/>
    <w:rsid w:val="001705D2"/>
    <w:rsid w:val="0017066F"/>
    <w:rsid w:val="00170866"/>
    <w:rsid w:val="00170CC4"/>
    <w:rsid w:val="0017166B"/>
    <w:rsid w:val="00171792"/>
    <w:rsid w:val="001721A3"/>
    <w:rsid w:val="00172490"/>
    <w:rsid w:val="0017263E"/>
    <w:rsid w:val="0017312A"/>
    <w:rsid w:val="00173370"/>
    <w:rsid w:val="00173873"/>
    <w:rsid w:val="001739DA"/>
    <w:rsid w:val="00173B4A"/>
    <w:rsid w:val="001741BC"/>
    <w:rsid w:val="0017420B"/>
    <w:rsid w:val="0017439E"/>
    <w:rsid w:val="00174B14"/>
    <w:rsid w:val="00174F35"/>
    <w:rsid w:val="00175547"/>
    <w:rsid w:val="00175D7F"/>
    <w:rsid w:val="00175F1A"/>
    <w:rsid w:val="00175FA7"/>
    <w:rsid w:val="00176AFC"/>
    <w:rsid w:val="00176B8E"/>
    <w:rsid w:val="001770DA"/>
    <w:rsid w:val="001801FF"/>
    <w:rsid w:val="00180541"/>
    <w:rsid w:val="001807F2"/>
    <w:rsid w:val="00180999"/>
    <w:rsid w:val="00180DAC"/>
    <w:rsid w:val="00181D76"/>
    <w:rsid w:val="00181E16"/>
    <w:rsid w:val="00181EC8"/>
    <w:rsid w:val="00182097"/>
    <w:rsid w:val="001828C2"/>
    <w:rsid w:val="00182B4F"/>
    <w:rsid w:val="00183391"/>
    <w:rsid w:val="001837D2"/>
    <w:rsid w:val="0018387C"/>
    <w:rsid w:val="001839B2"/>
    <w:rsid w:val="00183CD3"/>
    <w:rsid w:val="001843BA"/>
    <w:rsid w:val="00184629"/>
    <w:rsid w:val="0018476B"/>
    <w:rsid w:val="00184FA4"/>
    <w:rsid w:val="00185512"/>
    <w:rsid w:val="00186753"/>
    <w:rsid w:val="00187092"/>
    <w:rsid w:val="001874FC"/>
    <w:rsid w:val="001875E7"/>
    <w:rsid w:val="001877A8"/>
    <w:rsid w:val="00191290"/>
    <w:rsid w:val="00192B84"/>
    <w:rsid w:val="00192C54"/>
    <w:rsid w:val="00193A3A"/>
    <w:rsid w:val="00194133"/>
    <w:rsid w:val="0019447E"/>
    <w:rsid w:val="00194A19"/>
    <w:rsid w:val="00194B15"/>
    <w:rsid w:val="00194FA2"/>
    <w:rsid w:val="00195C33"/>
    <w:rsid w:val="00195D8C"/>
    <w:rsid w:val="001962A4"/>
    <w:rsid w:val="001962C6"/>
    <w:rsid w:val="00197320"/>
    <w:rsid w:val="00197C61"/>
    <w:rsid w:val="00197D46"/>
    <w:rsid w:val="00197E56"/>
    <w:rsid w:val="001A0B9F"/>
    <w:rsid w:val="001A1067"/>
    <w:rsid w:val="001A1E40"/>
    <w:rsid w:val="001A25A4"/>
    <w:rsid w:val="001A3613"/>
    <w:rsid w:val="001A3644"/>
    <w:rsid w:val="001A3986"/>
    <w:rsid w:val="001A518F"/>
    <w:rsid w:val="001A5897"/>
    <w:rsid w:val="001A5E2D"/>
    <w:rsid w:val="001A6126"/>
    <w:rsid w:val="001A6597"/>
    <w:rsid w:val="001A65DE"/>
    <w:rsid w:val="001A6625"/>
    <w:rsid w:val="001A6889"/>
    <w:rsid w:val="001A7280"/>
    <w:rsid w:val="001B044C"/>
    <w:rsid w:val="001B3000"/>
    <w:rsid w:val="001B3517"/>
    <w:rsid w:val="001B3DCC"/>
    <w:rsid w:val="001B4224"/>
    <w:rsid w:val="001B44D6"/>
    <w:rsid w:val="001B4712"/>
    <w:rsid w:val="001B47C7"/>
    <w:rsid w:val="001B5AF3"/>
    <w:rsid w:val="001B5CE1"/>
    <w:rsid w:val="001B62E4"/>
    <w:rsid w:val="001B66F6"/>
    <w:rsid w:val="001B6B21"/>
    <w:rsid w:val="001B7054"/>
    <w:rsid w:val="001C022A"/>
    <w:rsid w:val="001C04A1"/>
    <w:rsid w:val="001C10E8"/>
    <w:rsid w:val="001C1185"/>
    <w:rsid w:val="001C167F"/>
    <w:rsid w:val="001C17EC"/>
    <w:rsid w:val="001C27C4"/>
    <w:rsid w:val="001C2BDC"/>
    <w:rsid w:val="001C2D88"/>
    <w:rsid w:val="001C3FA6"/>
    <w:rsid w:val="001C46ED"/>
    <w:rsid w:val="001C52CC"/>
    <w:rsid w:val="001C53F8"/>
    <w:rsid w:val="001C5A3A"/>
    <w:rsid w:val="001C5F3D"/>
    <w:rsid w:val="001C61BE"/>
    <w:rsid w:val="001C7A48"/>
    <w:rsid w:val="001C7D4E"/>
    <w:rsid w:val="001D004B"/>
    <w:rsid w:val="001D0265"/>
    <w:rsid w:val="001D055E"/>
    <w:rsid w:val="001D0A4D"/>
    <w:rsid w:val="001D13D7"/>
    <w:rsid w:val="001D1A43"/>
    <w:rsid w:val="001D1B74"/>
    <w:rsid w:val="001D21A9"/>
    <w:rsid w:val="001D25DA"/>
    <w:rsid w:val="001D3862"/>
    <w:rsid w:val="001D3B96"/>
    <w:rsid w:val="001D3F6C"/>
    <w:rsid w:val="001D5531"/>
    <w:rsid w:val="001D5621"/>
    <w:rsid w:val="001D58AA"/>
    <w:rsid w:val="001D5AF5"/>
    <w:rsid w:val="001D6019"/>
    <w:rsid w:val="001D611E"/>
    <w:rsid w:val="001D6167"/>
    <w:rsid w:val="001D631A"/>
    <w:rsid w:val="001D796C"/>
    <w:rsid w:val="001D7AE6"/>
    <w:rsid w:val="001E0258"/>
    <w:rsid w:val="001E156A"/>
    <w:rsid w:val="001E1763"/>
    <w:rsid w:val="001E2139"/>
    <w:rsid w:val="001E2423"/>
    <w:rsid w:val="001E28A0"/>
    <w:rsid w:val="001E418B"/>
    <w:rsid w:val="001E4867"/>
    <w:rsid w:val="001E4D1F"/>
    <w:rsid w:val="001E5463"/>
    <w:rsid w:val="001E565F"/>
    <w:rsid w:val="001E5B95"/>
    <w:rsid w:val="001E61C7"/>
    <w:rsid w:val="001E6348"/>
    <w:rsid w:val="001E6D06"/>
    <w:rsid w:val="001E6FA8"/>
    <w:rsid w:val="001E738B"/>
    <w:rsid w:val="001E750E"/>
    <w:rsid w:val="001F0DB3"/>
    <w:rsid w:val="001F0F4C"/>
    <w:rsid w:val="001F1F15"/>
    <w:rsid w:val="001F2208"/>
    <w:rsid w:val="001F3148"/>
    <w:rsid w:val="001F42E5"/>
    <w:rsid w:val="001F47FD"/>
    <w:rsid w:val="001F4ADB"/>
    <w:rsid w:val="001F4AEA"/>
    <w:rsid w:val="001F4C4D"/>
    <w:rsid w:val="001F4C56"/>
    <w:rsid w:val="001F5C30"/>
    <w:rsid w:val="001F60DD"/>
    <w:rsid w:val="001F7BDB"/>
    <w:rsid w:val="001F7E58"/>
    <w:rsid w:val="00200DCE"/>
    <w:rsid w:val="00201BBE"/>
    <w:rsid w:val="00201ED0"/>
    <w:rsid w:val="0020242D"/>
    <w:rsid w:val="00202D36"/>
    <w:rsid w:val="00202D7F"/>
    <w:rsid w:val="00203094"/>
    <w:rsid w:val="0020329A"/>
    <w:rsid w:val="00203561"/>
    <w:rsid w:val="002038BA"/>
    <w:rsid w:val="002056E8"/>
    <w:rsid w:val="002059E7"/>
    <w:rsid w:val="002063FD"/>
    <w:rsid w:val="00206E29"/>
    <w:rsid w:val="00206F30"/>
    <w:rsid w:val="00207F13"/>
    <w:rsid w:val="002107E1"/>
    <w:rsid w:val="00210A96"/>
    <w:rsid w:val="0021189D"/>
    <w:rsid w:val="00211BFD"/>
    <w:rsid w:val="00212830"/>
    <w:rsid w:val="00212BFD"/>
    <w:rsid w:val="00212FC8"/>
    <w:rsid w:val="00214052"/>
    <w:rsid w:val="0021415C"/>
    <w:rsid w:val="0021482C"/>
    <w:rsid w:val="0021483E"/>
    <w:rsid w:val="002158DB"/>
    <w:rsid w:val="00216094"/>
    <w:rsid w:val="002162B4"/>
    <w:rsid w:val="0021646C"/>
    <w:rsid w:val="00216925"/>
    <w:rsid w:val="002175A7"/>
    <w:rsid w:val="00220108"/>
    <w:rsid w:val="00220919"/>
    <w:rsid w:val="00221565"/>
    <w:rsid w:val="00221CFE"/>
    <w:rsid w:val="00222297"/>
    <w:rsid w:val="002225F6"/>
    <w:rsid w:val="00222B50"/>
    <w:rsid w:val="00223006"/>
    <w:rsid w:val="002230B7"/>
    <w:rsid w:val="00223135"/>
    <w:rsid w:val="002238CA"/>
    <w:rsid w:val="00223B29"/>
    <w:rsid w:val="00223DB8"/>
    <w:rsid w:val="00223E20"/>
    <w:rsid w:val="00224249"/>
    <w:rsid w:val="00224E4E"/>
    <w:rsid w:val="002254DA"/>
    <w:rsid w:val="00225717"/>
    <w:rsid w:val="00225927"/>
    <w:rsid w:val="00225D05"/>
    <w:rsid w:val="00226968"/>
    <w:rsid w:val="0022715A"/>
    <w:rsid w:val="00227DF7"/>
    <w:rsid w:val="00230037"/>
    <w:rsid w:val="00230114"/>
    <w:rsid w:val="00230704"/>
    <w:rsid w:val="002316D1"/>
    <w:rsid w:val="00231913"/>
    <w:rsid w:val="00231E84"/>
    <w:rsid w:val="0023292A"/>
    <w:rsid w:val="00233F4C"/>
    <w:rsid w:val="00235D84"/>
    <w:rsid w:val="0023609C"/>
    <w:rsid w:val="0023610F"/>
    <w:rsid w:val="00236D94"/>
    <w:rsid w:val="00236F1A"/>
    <w:rsid w:val="00236FFC"/>
    <w:rsid w:val="00237015"/>
    <w:rsid w:val="0023797D"/>
    <w:rsid w:val="002379E1"/>
    <w:rsid w:val="00237CE3"/>
    <w:rsid w:val="00237E38"/>
    <w:rsid w:val="002404E0"/>
    <w:rsid w:val="00240927"/>
    <w:rsid w:val="00240AAF"/>
    <w:rsid w:val="002415B9"/>
    <w:rsid w:val="00241D92"/>
    <w:rsid w:val="002428CE"/>
    <w:rsid w:val="00242FE7"/>
    <w:rsid w:val="00243BAF"/>
    <w:rsid w:val="00243D19"/>
    <w:rsid w:val="00243EFC"/>
    <w:rsid w:val="0024487C"/>
    <w:rsid w:val="002456E3"/>
    <w:rsid w:val="002464BC"/>
    <w:rsid w:val="00246C14"/>
    <w:rsid w:val="0024725E"/>
    <w:rsid w:val="00247510"/>
    <w:rsid w:val="00247A9F"/>
    <w:rsid w:val="00247C69"/>
    <w:rsid w:val="00250748"/>
    <w:rsid w:val="00251572"/>
    <w:rsid w:val="002515AF"/>
    <w:rsid w:val="00251E62"/>
    <w:rsid w:val="0025209D"/>
    <w:rsid w:val="00252132"/>
    <w:rsid w:val="00252F4C"/>
    <w:rsid w:val="002530A7"/>
    <w:rsid w:val="002534BF"/>
    <w:rsid w:val="002536AE"/>
    <w:rsid w:val="002543C7"/>
    <w:rsid w:val="002549F5"/>
    <w:rsid w:val="002552ED"/>
    <w:rsid w:val="0025567B"/>
    <w:rsid w:val="00255C38"/>
    <w:rsid w:val="00255CAC"/>
    <w:rsid w:val="00255FAC"/>
    <w:rsid w:val="002570BA"/>
    <w:rsid w:val="00257229"/>
    <w:rsid w:val="002573C5"/>
    <w:rsid w:val="002577BB"/>
    <w:rsid w:val="0026111C"/>
    <w:rsid w:val="00261626"/>
    <w:rsid w:val="0026163E"/>
    <w:rsid w:val="00261C2A"/>
    <w:rsid w:val="00262357"/>
    <w:rsid w:val="00262C2C"/>
    <w:rsid w:val="00263736"/>
    <w:rsid w:val="00263E9F"/>
    <w:rsid w:val="00264990"/>
    <w:rsid w:val="00264C4E"/>
    <w:rsid w:val="00264CDB"/>
    <w:rsid w:val="00264DDA"/>
    <w:rsid w:val="002656F6"/>
    <w:rsid w:val="00265F0F"/>
    <w:rsid w:val="0026620B"/>
    <w:rsid w:val="002662A1"/>
    <w:rsid w:val="00266515"/>
    <w:rsid w:val="0026669B"/>
    <w:rsid w:val="00267200"/>
    <w:rsid w:val="0026721D"/>
    <w:rsid w:val="00267B9C"/>
    <w:rsid w:val="00267F7A"/>
    <w:rsid w:val="0027002B"/>
    <w:rsid w:val="002709A5"/>
    <w:rsid w:val="00270B32"/>
    <w:rsid w:val="00270CD7"/>
    <w:rsid w:val="002713F4"/>
    <w:rsid w:val="0027180C"/>
    <w:rsid w:val="00272F3D"/>
    <w:rsid w:val="00273CCC"/>
    <w:rsid w:val="002741FE"/>
    <w:rsid w:val="002750E3"/>
    <w:rsid w:val="00276056"/>
    <w:rsid w:val="00276900"/>
    <w:rsid w:val="00277079"/>
    <w:rsid w:val="002772B5"/>
    <w:rsid w:val="0027781B"/>
    <w:rsid w:val="00280099"/>
    <w:rsid w:val="00280422"/>
    <w:rsid w:val="002808FC"/>
    <w:rsid w:val="0028097C"/>
    <w:rsid w:val="00282AD0"/>
    <w:rsid w:val="00283495"/>
    <w:rsid w:val="002835EF"/>
    <w:rsid w:val="00283B1E"/>
    <w:rsid w:val="0028432B"/>
    <w:rsid w:val="0028460D"/>
    <w:rsid w:val="002848E2"/>
    <w:rsid w:val="002854A9"/>
    <w:rsid w:val="00285571"/>
    <w:rsid w:val="00285CC6"/>
    <w:rsid w:val="002860A7"/>
    <w:rsid w:val="00286473"/>
    <w:rsid w:val="002865A1"/>
    <w:rsid w:val="00286F49"/>
    <w:rsid w:val="0028744F"/>
    <w:rsid w:val="0029094E"/>
    <w:rsid w:val="002912A6"/>
    <w:rsid w:val="00291300"/>
    <w:rsid w:val="002914DC"/>
    <w:rsid w:val="00291FFB"/>
    <w:rsid w:val="00292A0E"/>
    <w:rsid w:val="00293126"/>
    <w:rsid w:val="00293361"/>
    <w:rsid w:val="00293807"/>
    <w:rsid w:val="002940BF"/>
    <w:rsid w:val="00294310"/>
    <w:rsid w:val="00295040"/>
    <w:rsid w:val="002951B1"/>
    <w:rsid w:val="002955CB"/>
    <w:rsid w:val="00295814"/>
    <w:rsid w:val="00295C1B"/>
    <w:rsid w:val="00295D7F"/>
    <w:rsid w:val="002962EF"/>
    <w:rsid w:val="00296386"/>
    <w:rsid w:val="002975C2"/>
    <w:rsid w:val="002A0679"/>
    <w:rsid w:val="002A1060"/>
    <w:rsid w:val="002A14C4"/>
    <w:rsid w:val="002A1926"/>
    <w:rsid w:val="002A1BFA"/>
    <w:rsid w:val="002A27CF"/>
    <w:rsid w:val="002A3602"/>
    <w:rsid w:val="002A4398"/>
    <w:rsid w:val="002A4C00"/>
    <w:rsid w:val="002A4F38"/>
    <w:rsid w:val="002A56F3"/>
    <w:rsid w:val="002A596B"/>
    <w:rsid w:val="002A6781"/>
    <w:rsid w:val="002A6DDB"/>
    <w:rsid w:val="002A6FEB"/>
    <w:rsid w:val="002A72E5"/>
    <w:rsid w:val="002A757F"/>
    <w:rsid w:val="002A7FD7"/>
    <w:rsid w:val="002B1286"/>
    <w:rsid w:val="002B22B2"/>
    <w:rsid w:val="002B2369"/>
    <w:rsid w:val="002B2A52"/>
    <w:rsid w:val="002B2DF5"/>
    <w:rsid w:val="002B33A6"/>
    <w:rsid w:val="002B386F"/>
    <w:rsid w:val="002B47FD"/>
    <w:rsid w:val="002B4F91"/>
    <w:rsid w:val="002B5020"/>
    <w:rsid w:val="002B57F3"/>
    <w:rsid w:val="002B5ED8"/>
    <w:rsid w:val="002B640E"/>
    <w:rsid w:val="002B6711"/>
    <w:rsid w:val="002B6C76"/>
    <w:rsid w:val="002B6DE2"/>
    <w:rsid w:val="002B7641"/>
    <w:rsid w:val="002C0156"/>
    <w:rsid w:val="002C048C"/>
    <w:rsid w:val="002C0930"/>
    <w:rsid w:val="002C0DF3"/>
    <w:rsid w:val="002C0E0B"/>
    <w:rsid w:val="002C113C"/>
    <w:rsid w:val="002C1467"/>
    <w:rsid w:val="002C1E92"/>
    <w:rsid w:val="002C2F8A"/>
    <w:rsid w:val="002C402F"/>
    <w:rsid w:val="002C4621"/>
    <w:rsid w:val="002C4A72"/>
    <w:rsid w:val="002C5484"/>
    <w:rsid w:val="002C5589"/>
    <w:rsid w:val="002C5931"/>
    <w:rsid w:val="002C5BCD"/>
    <w:rsid w:val="002C5EE6"/>
    <w:rsid w:val="002C60C7"/>
    <w:rsid w:val="002C641D"/>
    <w:rsid w:val="002C6445"/>
    <w:rsid w:val="002C67E4"/>
    <w:rsid w:val="002C6F8F"/>
    <w:rsid w:val="002C782F"/>
    <w:rsid w:val="002D06E0"/>
    <w:rsid w:val="002D1452"/>
    <w:rsid w:val="002D15CE"/>
    <w:rsid w:val="002D21F6"/>
    <w:rsid w:val="002D26E7"/>
    <w:rsid w:val="002D274C"/>
    <w:rsid w:val="002D371F"/>
    <w:rsid w:val="002D376B"/>
    <w:rsid w:val="002D3E57"/>
    <w:rsid w:val="002D4246"/>
    <w:rsid w:val="002D43BB"/>
    <w:rsid w:val="002D4576"/>
    <w:rsid w:val="002D45D3"/>
    <w:rsid w:val="002D4DAF"/>
    <w:rsid w:val="002D4F30"/>
    <w:rsid w:val="002D5188"/>
    <w:rsid w:val="002D5B26"/>
    <w:rsid w:val="002D5D00"/>
    <w:rsid w:val="002D633A"/>
    <w:rsid w:val="002D65BA"/>
    <w:rsid w:val="002D740A"/>
    <w:rsid w:val="002D77D7"/>
    <w:rsid w:val="002D7D52"/>
    <w:rsid w:val="002E0155"/>
    <w:rsid w:val="002E089F"/>
    <w:rsid w:val="002E0A9A"/>
    <w:rsid w:val="002E1817"/>
    <w:rsid w:val="002E1D55"/>
    <w:rsid w:val="002E23C8"/>
    <w:rsid w:val="002E26A7"/>
    <w:rsid w:val="002E2977"/>
    <w:rsid w:val="002E3792"/>
    <w:rsid w:val="002E3F88"/>
    <w:rsid w:val="002E43E1"/>
    <w:rsid w:val="002E497E"/>
    <w:rsid w:val="002E59D6"/>
    <w:rsid w:val="002E59E1"/>
    <w:rsid w:val="002E5C9D"/>
    <w:rsid w:val="002E5D62"/>
    <w:rsid w:val="002E5EFF"/>
    <w:rsid w:val="002E5FAB"/>
    <w:rsid w:val="002E6172"/>
    <w:rsid w:val="002E69BE"/>
    <w:rsid w:val="002E6EB1"/>
    <w:rsid w:val="002E758B"/>
    <w:rsid w:val="002E77DB"/>
    <w:rsid w:val="002E7C82"/>
    <w:rsid w:val="002F0228"/>
    <w:rsid w:val="002F04F2"/>
    <w:rsid w:val="002F1E58"/>
    <w:rsid w:val="002F30B1"/>
    <w:rsid w:val="002F3263"/>
    <w:rsid w:val="002F34C1"/>
    <w:rsid w:val="002F36A1"/>
    <w:rsid w:val="002F3E31"/>
    <w:rsid w:val="002F4137"/>
    <w:rsid w:val="002F47ED"/>
    <w:rsid w:val="002F4ABA"/>
    <w:rsid w:val="002F51AC"/>
    <w:rsid w:val="002F54DD"/>
    <w:rsid w:val="002F5C26"/>
    <w:rsid w:val="002F68DD"/>
    <w:rsid w:val="002F73BF"/>
    <w:rsid w:val="002F7B6C"/>
    <w:rsid w:val="00300443"/>
    <w:rsid w:val="0030081C"/>
    <w:rsid w:val="00300C95"/>
    <w:rsid w:val="003010D7"/>
    <w:rsid w:val="003010FC"/>
    <w:rsid w:val="00301144"/>
    <w:rsid w:val="00301644"/>
    <w:rsid w:val="00301FF8"/>
    <w:rsid w:val="00302422"/>
    <w:rsid w:val="00302771"/>
    <w:rsid w:val="00302C62"/>
    <w:rsid w:val="00302E3B"/>
    <w:rsid w:val="003037EC"/>
    <w:rsid w:val="00303D18"/>
    <w:rsid w:val="003044E3"/>
    <w:rsid w:val="0030555E"/>
    <w:rsid w:val="003055F3"/>
    <w:rsid w:val="0030599F"/>
    <w:rsid w:val="00305EB6"/>
    <w:rsid w:val="0030677B"/>
    <w:rsid w:val="0030749C"/>
    <w:rsid w:val="00307764"/>
    <w:rsid w:val="00310D78"/>
    <w:rsid w:val="00311666"/>
    <w:rsid w:val="003116CE"/>
    <w:rsid w:val="00312202"/>
    <w:rsid w:val="00312243"/>
    <w:rsid w:val="003124DD"/>
    <w:rsid w:val="00312AC0"/>
    <w:rsid w:val="00312CBB"/>
    <w:rsid w:val="0031344A"/>
    <w:rsid w:val="00313DAD"/>
    <w:rsid w:val="003145CE"/>
    <w:rsid w:val="003149A3"/>
    <w:rsid w:val="0031525E"/>
    <w:rsid w:val="00315B9D"/>
    <w:rsid w:val="00315BC2"/>
    <w:rsid w:val="00316404"/>
    <w:rsid w:val="0031694B"/>
    <w:rsid w:val="003170FD"/>
    <w:rsid w:val="00317573"/>
    <w:rsid w:val="00320683"/>
    <w:rsid w:val="00321036"/>
    <w:rsid w:val="00321D32"/>
    <w:rsid w:val="003224D6"/>
    <w:rsid w:val="003230F8"/>
    <w:rsid w:val="0032447F"/>
    <w:rsid w:val="00324BC7"/>
    <w:rsid w:val="00325ADF"/>
    <w:rsid w:val="0032633E"/>
    <w:rsid w:val="00327169"/>
    <w:rsid w:val="003273CC"/>
    <w:rsid w:val="00327607"/>
    <w:rsid w:val="00331AD3"/>
    <w:rsid w:val="00332284"/>
    <w:rsid w:val="00332467"/>
    <w:rsid w:val="00332515"/>
    <w:rsid w:val="003327D4"/>
    <w:rsid w:val="00332B14"/>
    <w:rsid w:val="00332C61"/>
    <w:rsid w:val="00333026"/>
    <w:rsid w:val="0033362B"/>
    <w:rsid w:val="00333F25"/>
    <w:rsid w:val="00333F7E"/>
    <w:rsid w:val="00334399"/>
    <w:rsid w:val="003343B0"/>
    <w:rsid w:val="003348A5"/>
    <w:rsid w:val="00335922"/>
    <w:rsid w:val="00335B45"/>
    <w:rsid w:val="00336567"/>
    <w:rsid w:val="00336930"/>
    <w:rsid w:val="00336E96"/>
    <w:rsid w:val="003372A2"/>
    <w:rsid w:val="003378EA"/>
    <w:rsid w:val="00337A5C"/>
    <w:rsid w:val="00337B1F"/>
    <w:rsid w:val="00340583"/>
    <w:rsid w:val="0034087B"/>
    <w:rsid w:val="00341190"/>
    <w:rsid w:val="003411C4"/>
    <w:rsid w:val="0034299B"/>
    <w:rsid w:val="00343280"/>
    <w:rsid w:val="0034378D"/>
    <w:rsid w:val="0034393A"/>
    <w:rsid w:val="00343B3D"/>
    <w:rsid w:val="00344127"/>
    <w:rsid w:val="003447B1"/>
    <w:rsid w:val="00345258"/>
    <w:rsid w:val="00345E91"/>
    <w:rsid w:val="003464F2"/>
    <w:rsid w:val="0034735A"/>
    <w:rsid w:val="00347B9B"/>
    <w:rsid w:val="00347C31"/>
    <w:rsid w:val="0035053B"/>
    <w:rsid w:val="003509DD"/>
    <w:rsid w:val="00350D44"/>
    <w:rsid w:val="003513B8"/>
    <w:rsid w:val="00351ED8"/>
    <w:rsid w:val="003526A7"/>
    <w:rsid w:val="00352CA9"/>
    <w:rsid w:val="00352CCD"/>
    <w:rsid w:val="00353484"/>
    <w:rsid w:val="003539BF"/>
    <w:rsid w:val="003539F0"/>
    <w:rsid w:val="00355228"/>
    <w:rsid w:val="003554A2"/>
    <w:rsid w:val="00355A68"/>
    <w:rsid w:val="00356626"/>
    <w:rsid w:val="00356B2E"/>
    <w:rsid w:val="00357A7F"/>
    <w:rsid w:val="00357D03"/>
    <w:rsid w:val="00360657"/>
    <w:rsid w:val="003608D4"/>
    <w:rsid w:val="00360939"/>
    <w:rsid w:val="00360F0C"/>
    <w:rsid w:val="00361064"/>
    <w:rsid w:val="0036198D"/>
    <w:rsid w:val="003628CA"/>
    <w:rsid w:val="00363599"/>
    <w:rsid w:val="003638DB"/>
    <w:rsid w:val="00363DC7"/>
    <w:rsid w:val="00363EAB"/>
    <w:rsid w:val="0036410D"/>
    <w:rsid w:val="003644EA"/>
    <w:rsid w:val="0036598B"/>
    <w:rsid w:val="00367AA8"/>
    <w:rsid w:val="00370B57"/>
    <w:rsid w:val="0037223C"/>
    <w:rsid w:val="003722AF"/>
    <w:rsid w:val="00372F0D"/>
    <w:rsid w:val="00373258"/>
    <w:rsid w:val="00374181"/>
    <w:rsid w:val="00375FB8"/>
    <w:rsid w:val="0037678D"/>
    <w:rsid w:val="0037692C"/>
    <w:rsid w:val="00376CD0"/>
    <w:rsid w:val="00376CED"/>
    <w:rsid w:val="00377EAF"/>
    <w:rsid w:val="00380046"/>
    <w:rsid w:val="003818F8"/>
    <w:rsid w:val="00381CE0"/>
    <w:rsid w:val="00381E04"/>
    <w:rsid w:val="00382388"/>
    <w:rsid w:val="003832F4"/>
    <w:rsid w:val="003835ED"/>
    <w:rsid w:val="00383C17"/>
    <w:rsid w:val="003848DC"/>
    <w:rsid w:val="00385464"/>
    <w:rsid w:val="00385C5F"/>
    <w:rsid w:val="00385D32"/>
    <w:rsid w:val="00385F9A"/>
    <w:rsid w:val="003864EF"/>
    <w:rsid w:val="0038665E"/>
    <w:rsid w:val="00387A8E"/>
    <w:rsid w:val="00387CE0"/>
    <w:rsid w:val="00387E24"/>
    <w:rsid w:val="003902D5"/>
    <w:rsid w:val="00390401"/>
    <w:rsid w:val="00390578"/>
    <w:rsid w:val="003908D3"/>
    <w:rsid w:val="003912A4"/>
    <w:rsid w:val="00391373"/>
    <w:rsid w:val="00391483"/>
    <w:rsid w:val="00391567"/>
    <w:rsid w:val="0039185A"/>
    <w:rsid w:val="00392048"/>
    <w:rsid w:val="0039450E"/>
    <w:rsid w:val="00394865"/>
    <w:rsid w:val="00395542"/>
    <w:rsid w:val="00395A26"/>
    <w:rsid w:val="00395BB6"/>
    <w:rsid w:val="003963A1"/>
    <w:rsid w:val="00396913"/>
    <w:rsid w:val="003971BD"/>
    <w:rsid w:val="00397610"/>
    <w:rsid w:val="00397E84"/>
    <w:rsid w:val="00397EEB"/>
    <w:rsid w:val="003A0A8E"/>
    <w:rsid w:val="003A0D1F"/>
    <w:rsid w:val="003A0D2F"/>
    <w:rsid w:val="003A135F"/>
    <w:rsid w:val="003A13DE"/>
    <w:rsid w:val="003A197C"/>
    <w:rsid w:val="003A1FB6"/>
    <w:rsid w:val="003A20B2"/>
    <w:rsid w:val="003A2948"/>
    <w:rsid w:val="003A2CB8"/>
    <w:rsid w:val="003A2F46"/>
    <w:rsid w:val="003A3022"/>
    <w:rsid w:val="003A313A"/>
    <w:rsid w:val="003A32E1"/>
    <w:rsid w:val="003A3CD1"/>
    <w:rsid w:val="003A5484"/>
    <w:rsid w:val="003A5C14"/>
    <w:rsid w:val="003A5ECF"/>
    <w:rsid w:val="003A64CF"/>
    <w:rsid w:val="003A78E7"/>
    <w:rsid w:val="003A7908"/>
    <w:rsid w:val="003B0460"/>
    <w:rsid w:val="003B0495"/>
    <w:rsid w:val="003B0670"/>
    <w:rsid w:val="003B0D3B"/>
    <w:rsid w:val="003B1759"/>
    <w:rsid w:val="003B196A"/>
    <w:rsid w:val="003B199B"/>
    <w:rsid w:val="003B1A92"/>
    <w:rsid w:val="003B2659"/>
    <w:rsid w:val="003B3640"/>
    <w:rsid w:val="003B3849"/>
    <w:rsid w:val="003B3B4F"/>
    <w:rsid w:val="003B41EE"/>
    <w:rsid w:val="003B4744"/>
    <w:rsid w:val="003B47BA"/>
    <w:rsid w:val="003B4948"/>
    <w:rsid w:val="003B4EC4"/>
    <w:rsid w:val="003B5D04"/>
    <w:rsid w:val="003B5DD6"/>
    <w:rsid w:val="003B6699"/>
    <w:rsid w:val="003B6789"/>
    <w:rsid w:val="003B6EC8"/>
    <w:rsid w:val="003B7531"/>
    <w:rsid w:val="003B7A73"/>
    <w:rsid w:val="003C0539"/>
    <w:rsid w:val="003C1DF1"/>
    <w:rsid w:val="003C2A6C"/>
    <w:rsid w:val="003C2BA9"/>
    <w:rsid w:val="003C3153"/>
    <w:rsid w:val="003C4217"/>
    <w:rsid w:val="003C48C9"/>
    <w:rsid w:val="003C4AE7"/>
    <w:rsid w:val="003C52DA"/>
    <w:rsid w:val="003C545A"/>
    <w:rsid w:val="003C695D"/>
    <w:rsid w:val="003C6CDA"/>
    <w:rsid w:val="003C6F48"/>
    <w:rsid w:val="003C7022"/>
    <w:rsid w:val="003C75AA"/>
    <w:rsid w:val="003C75C0"/>
    <w:rsid w:val="003C7E65"/>
    <w:rsid w:val="003D01FF"/>
    <w:rsid w:val="003D1F7E"/>
    <w:rsid w:val="003D2F3C"/>
    <w:rsid w:val="003D3434"/>
    <w:rsid w:val="003D39B6"/>
    <w:rsid w:val="003D3F94"/>
    <w:rsid w:val="003D4287"/>
    <w:rsid w:val="003D464D"/>
    <w:rsid w:val="003D5AB4"/>
    <w:rsid w:val="003D5FC4"/>
    <w:rsid w:val="003D6CD4"/>
    <w:rsid w:val="003D7006"/>
    <w:rsid w:val="003E03B6"/>
    <w:rsid w:val="003E0907"/>
    <w:rsid w:val="003E1801"/>
    <w:rsid w:val="003E1D64"/>
    <w:rsid w:val="003E227F"/>
    <w:rsid w:val="003E2315"/>
    <w:rsid w:val="003E242C"/>
    <w:rsid w:val="003E2B2C"/>
    <w:rsid w:val="003E383B"/>
    <w:rsid w:val="003E3E35"/>
    <w:rsid w:val="003E4866"/>
    <w:rsid w:val="003E51F7"/>
    <w:rsid w:val="003E5792"/>
    <w:rsid w:val="003E6E94"/>
    <w:rsid w:val="003E7378"/>
    <w:rsid w:val="003E7A05"/>
    <w:rsid w:val="003F095C"/>
    <w:rsid w:val="003F103D"/>
    <w:rsid w:val="003F1C68"/>
    <w:rsid w:val="003F216C"/>
    <w:rsid w:val="003F258E"/>
    <w:rsid w:val="003F378E"/>
    <w:rsid w:val="003F3FF6"/>
    <w:rsid w:val="003F423C"/>
    <w:rsid w:val="003F4E8C"/>
    <w:rsid w:val="003F5145"/>
    <w:rsid w:val="003F5269"/>
    <w:rsid w:val="003F5DAB"/>
    <w:rsid w:val="003F5F0F"/>
    <w:rsid w:val="003F65FA"/>
    <w:rsid w:val="003F74BA"/>
    <w:rsid w:val="00400355"/>
    <w:rsid w:val="00400361"/>
    <w:rsid w:val="0040234D"/>
    <w:rsid w:val="004033AF"/>
    <w:rsid w:val="00403482"/>
    <w:rsid w:val="00403670"/>
    <w:rsid w:val="0040393B"/>
    <w:rsid w:val="00403DEF"/>
    <w:rsid w:val="00403EF9"/>
    <w:rsid w:val="0040497D"/>
    <w:rsid w:val="00405BEB"/>
    <w:rsid w:val="00405D1A"/>
    <w:rsid w:val="00406056"/>
    <w:rsid w:val="004068E6"/>
    <w:rsid w:val="00406D8D"/>
    <w:rsid w:val="00406FCC"/>
    <w:rsid w:val="0040738E"/>
    <w:rsid w:val="00407954"/>
    <w:rsid w:val="00410C4F"/>
    <w:rsid w:val="0041111F"/>
    <w:rsid w:val="00411618"/>
    <w:rsid w:val="004117EC"/>
    <w:rsid w:val="00412200"/>
    <w:rsid w:val="00412A8F"/>
    <w:rsid w:val="00412BE5"/>
    <w:rsid w:val="00412F16"/>
    <w:rsid w:val="004130A0"/>
    <w:rsid w:val="0041326F"/>
    <w:rsid w:val="0041484D"/>
    <w:rsid w:val="0041617F"/>
    <w:rsid w:val="004170D1"/>
    <w:rsid w:val="00417F2F"/>
    <w:rsid w:val="00420019"/>
    <w:rsid w:val="00420090"/>
    <w:rsid w:val="0042021D"/>
    <w:rsid w:val="004214A0"/>
    <w:rsid w:val="00421927"/>
    <w:rsid w:val="00421A37"/>
    <w:rsid w:val="00421ABE"/>
    <w:rsid w:val="00421B51"/>
    <w:rsid w:val="00421D80"/>
    <w:rsid w:val="004223AD"/>
    <w:rsid w:val="00422632"/>
    <w:rsid w:val="00422AE5"/>
    <w:rsid w:val="00422B19"/>
    <w:rsid w:val="0042403A"/>
    <w:rsid w:val="00424203"/>
    <w:rsid w:val="00424254"/>
    <w:rsid w:val="00424279"/>
    <w:rsid w:val="00424A8C"/>
    <w:rsid w:val="00424C56"/>
    <w:rsid w:val="00424DD1"/>
    <w:rsid w:val="004256D6"/>
    <w:rsid w:val="00425726"/>
    <w:rsid w:val="00425A70"/>
    <w:rsid w:val="00426081"/>
    <w:rsid w:val="00426607"/>
    <w:rsid w:val="004275D1"/>
    <w:rsid w:val="0043017B"/>
    <w:rsid w:val="00430212"/>
    <w:rsid w:val="004313CF"/>
    <w:rsid w:val="00431632"/>
    <w:rsid w:val="0043171C"/>
    <w:rsid w:val="004325A5"/>
    <w:rsid w:val="00433140"/>
    <w:rsid w:val="00434069"/>
    <w:rsid w:val="00434AF4"/>
    <w:rsid w:val="00434C55"/>
    <w:rsid w:val="0043506F"/>
    <w:rsid w:val="00437ABA"/>
    <w:rsid w:val="004402A5"/>
    <w:rsid w:val="0044066B"/>
    <w:rsid w:val="00441302"/>
    <w:rsid w:val="004413B5"/>
    <w:rsid w:val="0044149B"/>
    <w:rsid w:val="004418B6"/>
    <w:rsid w:val="00441FC1"/>
    <w:rsid w:val="004428D5"/>
    <w:rsid w:val="00442AEE"/>
    <w:rsid w:val="004430F4"/>
    <w:rsid w:val="004435A0"/>
    <w:rsid w:val="00443999"/>
    <w:rsid w:val="004441DD"/>
    <w:rsid w:val="0044428F"/>
    <w:rsid w:val="00444AAF"/>
    <w:rsid w:val="00444DFF"/>
    <w:rsid w:val="00445023"/>
    <w:rsid w:val="004451D9"/>
    <w:rsid w:val="00445410"/>
    <w:rsid w:val="00445A49"/>
    <w:rsid w:val="00445DBE"/>
    <w:rsid w:val="00445FDE"/>
    <w:rsid w:val="004465BA"/>
    <w:rsid w:val="00446649"/>
    <w:rsid w:val="00446FC6"/>
    <w:rsid w:val="00447203"/>
    <w:rsid w:val="00447C6D"/>
    <w:rsid w:val="00450B65"/>
    <w:rsid w:val="00451098"/>
    <w:rsid w:val="00451BA0"/>
    <w:rsid w:val="00452CA7"/>
    <w:rsid w:val="004538E9"/>
    <w:rsid w:val="00453B90"/>
    <w:rsid w:val="00453E1A"/>
    <w:rsid w:val="00454CDD"/>
    <w:rsid w:val="00456E7E"/>
    <w:rsid w:val="004570FA"/>
    <w:rsid w:val="00457815"/>
    <w:rsid w:val="004604A3"/>
    <w:rsid w:val="004608DA"/>
    <w:rsid w:val="00460B12"/>
    <w:rsid w:val="00460BF8"/>
    <w:rsid w:val="004619F4"/>
    <w:rsid w:val="00461A24"/>
    <w:rsid w:val="00462191"/>
    <w:rsid w:val="00462DE7"/>
    <w:rsid w:val="0046364C"/>
    <w:rsid w:val="00464266"/>
    <w:rsid w:val="00464943"/>
    <w:rsid w:val="00465A45"/>
    <w:rsid w:val="00465C7B"/>
    <w:rsid w:val="00465E19"/>
    <w:rsid w:val="0046642F"/>
    <w:rsid w:val="00467D10"/>
    <w:rsid w:val="00470F20"/>
    <w:rsid w:val="00471C0B"/>
    <w:rsid w:val="00471F4F"/>
    <w:rsid w:val="00472B64"/>
    <w:rsid w:val="00473C3B"/>
    <w:rsid w:val="004742EF"/>
    <w:rsid w:val="004751D2"/>
    <w:rsid w:val="0047598A"/>
    <w:rsid w:val="004769A5"/>
    <w:rsid w:val="00477612"/>
    <w:rsid w:val="004776A0"/>
    <w:rsid w:val="0047784B"/>
    <w:rsid w:val="00477A82"/>
    <w:rsid w:val="00477E3F"/>
    <w:rsid w:val="00477E66"/>
    <w:rsid w:val="00480877"/>
    <w:rsid w:val="00481341"/>
    <w:rsid w:val="004823B0"/>
    <w:rsid w:val="00483E53"/>
    <w:rsid w:val="00484509"/>
    <w:rsid w:val="004848BE"/>
    <w:rsid w:val="00484D39"/>
    <w:rsid w:val="00484F2E"/>
    <w:rsid w:val="004851D4"/>
    <w:rsid w:val="004854BA"/>
    <w:rsid w:val="00485E82"/>
    <w:rsid w:val="0048724A"/>
    <w:rsid w:val="004877FC"/>
    <w:rsid w:val="00487C00"/>
    <w:rsid w:val="00487C5E"/>
    <w:rsid w:val="00487D45"/>
    <w:rsid w:val="00487E76"/>
    <w:rsid w:val="0049000A"/>
    <w:rsid w:val="00491078"/>
    <w:rsid w:val="00491661"/>
    <w:rsid w:val="004918EE"/>
    <w:rsid w:val="00491C7B"/>
    <w:rsid w:val="00492160"/>
    <w:rsid w:val="00492B29"/>
    <w:rsid w:val="00493266"/>
    <w:rsid w:val="00494474"/>
    <w:rsid w:val="00495A1E"/>
    <w:rsid w:val="00495B13"/>
    <w:rsid w:val="004962A8"/>
    <w:rsid w:val="00496385"/>
    <w:rsid w:val="00496742"/>
    <w:rsid w:val="004967E3"/>
    <w:rsid w:val="00496976"/>
    <w:rsid w:val="00496A1D"/>
    <w:rsid w:val="00496A5F"/>
    <w:rsid w:val="00497313"/>
    <w:rsid w:val="004A098E"/>
    <w:rsid w:val="004A0E41"/>
    <w:rsid w:val="004A1408"/>
    <w:rsid w:val="004A18C8"/>
    <w:rsid w:val="004A1BE4"/>
    <w:rsid w:val="004A1EB0"/>
    <w:rsid w:val="004A1FCB"/>
    <w:rsid w:val="004A2717"/>
    <w:rsid w:val="004A2D0C"/>
    <w:rsid w:val="004A2F4E"/>
    <w:rsid w:val="004A31B9"/>
    <w:rsid w:val="004A3269"/>
    <w:rsid w:val="004A3960"/>
    <w:rsid w:val="004A3BC2"/>
    <w:rsid w:val="004A3D87"/>
    <w:rsid w:val="004A4BFC"/>
    <w:rsid w:val="004A4F15"/>
    <w:rsid w:val="004A5358"/>
    <w:rsid w:val="004A6101"/>
    <w:rsid w:val="004A62D0"/>
    <w:rsid w:val="004A6987"/>
    <w:rsid w:val="004A6DF8"/>
    <w:rsid w:val="004A6FAE"/>
    <w:rsid w:val="004A7A52"/>
    <w:rsid w:val="004B0532"/>
    <w:rsid w:val="004B0C53"/>
    <w:rsid w:val="004B0CEB"/>
    <w:rsid w:val="004B0DF2"/>
    <w:rsid w:val="004B1E1C"/>
    <w:rsid w:val="004B235F"/>
    <w:rsid w:val="004B3531"/>
    <w:rsid w:val="004B41BC"/>
    <w:rsid w:val="004B426E"/>
    <w:rsid w:val="004B44E8"/>
    <w:rsid w:val="004B4D63"/>
    <w:rsid w:val="004B5FCB"/>
    <w:rsid w:val="004B6007"/>
    <w:rsid w:val="004B66A8"/>
    <w:rsid w:val="004B6EC5"/>
    <w:rsid w:val="004B7920"/>
    <w:rsid w:val="004C04F1"/>
    <w:rsid w:val="004C0C3F"/>
    <w:rsid w:val="004C1370"/>
    <w:rsid w:val="004C140D"/>
    <w:rsid w:val="004C164B"/>
    <w:rsid w:val="004C1701"/>
    <w:rsid w:val="004C19FD"/>
    <w:rsid w:val="004C1B24"/>
    <w:rsid w:val="004C1E14"/>
    <w:rsid w:val="004C2B60"/>
    <w:rsid w:val="004C385A"/>
    <w:rsid w:val="004C3A2D"/>
    <w:rsid w:val="004C4206"/>
    <w:rsid w:val="004C4EB4"/>
    <w:rsid w:val="004C52D2"/>
    <w:rsid w:val="004C5884"/>
    <w:rsid w:val="004C5A28"/>
    <w:rsid w:val="004C6FEA"/>
    <w:rsid w:val="004C74EC"/>
    <w:rsid w:val="004D09F6"/>
    <w:rsid w:val="004D18C3"/>
    <w:rsid w:val="004D2130"/>
    <w:rsid w:val="004D219C"/>
    <w:rsid w:val="004D2699"/>
    <w:rsid w:val="004D27F1"/>
    <w:rsid w:val="004D3477"/>
    <w:rsid w:val="004D3A67"/>
    <w:rsid w:val="004D415F"/>
    <w:rsid w:val="004D43D9"/>
    <w:rsid w:val="004D441B"/>
    <w:rsid w:val="004D4975"/>
    <w:rsid w:val="004D4C24"/>
    <w:rsid w:val="004D5859"/>
    <w:rsid w:val="004D5BD3"/>
    <w:rsid w:val="004D7FAC"/>
    <w:rsid w:val="004E018E"/>
    <w:rsid w:val="004E021A"/>
    <w:rsid w:val="004E060F"/>
    <w:rsid w:val="004E06E8"/>
    <w:rsid w:val="004E0A6A"/>
    <w:rsid w:val="004E0C3A"/>
    <w:rsid w:val="004E1841"/>
    <w:rsid w:val="004E234E"/>
    <w:rsid w:val="004E23DA"/>
    <w:rsid w:val="004E2C14"/>
    <w:rsid w:val="004E3987"/>
    <w:rsid w:val="004E4BE9"/>
    <w:rsid w:val="004E5480"/>
    <w:rsid w:val="004E58D0"/>
    <w:rsid w:val="004E598E"/>
    <w:rsid w:val="004E6DCB"/>
    <w:rsid w:val="004E7F53"/>
    <w:rsid w:val="004E7FB6"/>
    <w:rsid w:val="004F0458"/>
    <w:rsid w:val="004F09FC"/>
    <w:rsid w:val="004F0C5D"/>
    <w:rsid w:val="004F0EA3"/>
    <w:rsid w:val="004F12F3"/>
    <w:rsid w:val="004F1312"/>
    <w:rsid w:val="004F1BA3"/>
    <w:rsid w:val="004F21CA"/>
    <w:rsid w:val="004F2C75"/>
    <w:rsid w:val="004F2DF8"/>
    <w:rsid w:val="004F3229"/>
    <w:rsid w:val="004F4143"/>
    <w:rsid w:val="004F6A97"/>
    <w:rsid w:val="004F71AE"/>
    <w:rsid w:val="004F7F0F"/>
    <w:rsid w:val="005000C7"/>
    <w:rsid w:val="00501049"/>
    <w:rsid w:val="00501215"/>
    <w:rsid w:val="00502CBF"/>
    <w:rsid w:val="00502E95"/>
    <w:rsid w:val="005032F6"/>
    <w:rsid w:val="0050345E"/>
    <w:rsid w:val="005035DF"/>
    <w:rsid w:val="00504177"/>
    <w:rsid w:val="00504BC6"/>
    <w:rsid w:val="00504DB1"/>
    <w:rsid w:val="00505335"/>
    <w:rsid w:val="005058BB"/>
    <w:rsid w:val="00505E62"/>
    <w:rsid w:val="00505ECE"/>
    <w:rsid w:val="00506B7E"/>
    <w:rsid w:val="00506CDC"/>
    <w:rsid w:val="00506EE0"/>
    <w:rsid w:val="00507620"/>
    <w:rsid w:val="00511132"/>
    <w:rsid w:val="00512157"/>
    <w:rsid w:val="005130ED"/>
    <w:rsid w:val="005133F4"/>
    <w:rsid w:val="0051380B"/>
    <w:rsid w:val="00514174"/>
    <w:rsid w:val="00514FFB"/>
    <w:rsid w:val="00515CD3"/>
    <w:rsid w:val="00515D1C"/>
    <w:rsid w:val="00516651"/>
    <w:rsid w:val="005176B5"/>
    <w:rsid w:val="0051797D"/>
    <w:rsid w:val="00520691"/>
    <w:rsid w:val="00520985"/>
    <w:rsid w:val="00520D44"/>
    <w:rsid w:val="005213BD"/>
    <w:rsid w:val="005217F7"/>
    <w:rsid w:val="0052193B"/>
    <w:rsid w:val="005223AE"/>
    <w:rsid w:val="00522953"/>
    <w:rsid w:val="00522B8E"/>
    <w:rsid w:val="00523009"/>
    <w:rsid w:val="005230C3"/>
    <w:rsid w:val="00523749"/>
    <w:rsid w:val="00523A3B"/>
    <w:rsid w:val="00523C34"/>
    <w:rsid w:val="00524C00"/>
    <w:rsid w:val="005253BC"/>
    <w:rsid w:val="0052576E"/>
    <w:rsid w:val="00525964"/>
    <w:rsid w:val="00525D16"/>
    <w:rsid w:val="00525EA9"/>
    <w:rsid w:val="005264AA"/>
    <w:rsid w:val="00526734"/>
    <w:rsid w:val="00526856"/>
    <w:rsid w:val="00527E73"/>
    <w:rsid w:val="005305D9"/>
    <w:rsid w:val="005309DE"/>
    <w:rsid w:val="00530B81"/>
    <w:rsid w:val="00531FED"/>
    <w:rsid w:val="005321AE"/>
    <w:rsid w:val="005322CA"/>
    <w:rsid w:val="005323D9"/>
    <w:rsid w:val="00532CDE"/>
    <w:rsid w:val="0053301D"/>
    <w:rsid w:val="00534178"/>
    <w:rsid w:val="0053433B"/>
    <w:rsid w:val="00534BCF"/>
    <w:rsid w:val="005353BC"/>
    <w:rsid w:val="00535AD3"/>
    <w:rsid w:val="00535FDD"/>
    <w:rsid w:val="00540141"/>
    <w:rsid w:val="005408AC"/>
    <w:rsid w:val="00540A00"/>
    <w:rsid w:val="00541236"/>
    <w:rsid w:val="00541497"/>
    <w:rsid w:val="00541699"/>
    <w:rsid w:val="0054170A"/>
    <w:rsid w:val="00542071"/>
    <w:rsid w:val="00542147"/>
    <w:rsid w:val="00542CE8"/>
    <w:rsid w:val="00542E55"/>
    <w:rsid w:val="00543ADE"/>
    <w:rsid w:val="00544025"/>
    <w:rsid w:val="0054412A"/>
    <w:rsid w:val="00544823"/>
    <w:rsid w:val="005462D4"/>
    <w:rsid w:val="005463C0"/>
    <w:rsid w:val="00546C3B"/>
    <w:rsid w:val="00546D86"/>
    <w:rsid w:val="00547CCA"/>
    <w:rsid w:val="00547F74"/>
    <w:rsid w:val="00547F76"/>
    <w:rsid w:val="005509D2"/>
    <w:rsid w:val="00550BAF"/>
    <w:rsid w:val="00551520"/>
    <w:rsid w:val="00551908"/>
    <w:rsid w:val="00551AD2"/>
    <w:rsid w:val="00552196"/>
    <w:rsid w:val="0055259A"/>
    <w:rsid w:val="00552E48"/>
    <w:rsid w:val="00553066"/>
    <w:rsid w:val="005534C8"/>
    <w:rsid w:val="0055373B"/>
    <w:rsid w:val="00553A0E"/>
    <w:rsid w:val="00553CE8"/>
    <w:rsid w:val="00553F03"/>
    <w:rsid w:val="00553F3F"/>
    <w:rsid w:val="005544FE"/>
    <w:rsid w:val="00554A4B"/>
    <w:rsid w:val="00554A71"/>
    <w:rsid w:val="0055524B"/>
    <w:rsid w:val="0055598B"/>
    <w:rsid w:val="00556C6D"/>
    <w:rsid w:val="00556D20"/>
    <w:rsid w:val="005570F8"/>
    <w:rsid w:val="0055760E"/>
    <w:rsid w:val="00557DF2"/>
    <w:rsid w:val="00557EA0"/>
    <w:rsid w:val="0056184B"/>
    <w:rsid w:val="00563586"/>
    <w:rsid w:val="00564272"/>
    <w:rsid w:val="00564E44"/>
    <w:rsid w:val="0056575F"/>
    <w:rsid w:val="005671FD"/>
    <w:rsid w:val="00567719"/>
    <w:rsid w:val="005679F3"/>
    <w:rsid w:val="00570934"/>
    <w:rsid w:val="00571623"/>
    <w:rsid w:val="00571747"/>
    <w:rsid w:val="00572BC5"/>
    <w:rsid w:val="005730DD"/>
    <w:rsid w:val="005737BB"/>
    <w:rsid w:val="005748E4"/>
    <w:rsid w:val="00574B3F"/>
    <w:rsid w:val="00574F8E"/>
    <w:rsid w:val="00575A67"/>
    <w:rsid w:val="00575C4F"/>
    <w:rsid w:val="00580033"/>
    <w:rsid w:val="00581542"/>
    <w:rsid w:val="00581AFE"/>
    <w:rsid w:val="0058244F"/>
    <w:rsid w:val="00582A66"/>
    <w:rsid w:val="00583317"/>
    <w:rsid w:val="00583901"/>
    <w:rsid w:val="00583A6D"/>
    <w:rsid w:val="00583D77"/>
    <w:rsid w:val="005843D5"/>
    <w:rsid w:val="00584819"/>
    <w:rsid w:val="00585ABF"/>
    <w:rsid w:val="00585BCD"/>
    <w:rsid w:val="0058619D"/>
    <w:rsid w:val="00586351"/>
    <w:rsid w:val="005863F5"/>
    <w:rsid w:val="005867B6"/>
    <w:rsid w:val="00586E00"/>
    <w:rsid w:val="00586EA0"/>
    <w:rsid w:val="00587159"/>
    <w:rsid w:val="00590406"/>
    <w:rsid w:val="00590F25"/>
    <w:rsid w:val="00591A23"/>
    <w:rsid w:val="00591ED6"/>
    <w:rsid w:val="005920A2"/>
    <w:rsid w:val="005929A3"/>
    <w:rsid w:val="0059300E"/>
    <w:rsid w:val="00593E33"/>
    <w:rsid w:val="00593E67"/>
    <w:rsid w:val="00594121"/>
    <w:rsid w:val="00594255"/>
    <w:rsid w:val="00594547"/>
    <w:rsid w:val="005945B6"/>
    <w:rsid w:val="005946B4"/>
    <w:rsid w:val="00594D5D"/>
    <w:rsid w:val="0059546D"/>
    <w:rsid w:val="00596368"/>
    <w:rsid w:val="005966A7"/>
    <w:rsid w:val="00596F47"/>
    <w:rsid w:val="0059799F"/>
    <w:rsid w:val="005A0FE8"/>
    <w:rsid w:val="005A0FFE"/>
    <w:rsid w:val="005A142D"/>
    <w:rsid w:val="005A1F5F"/>
    <w:rsid w:val="005A2F68"/>
    <w:rsid w:val="005A2F9E"/>
    <w:rsid w:val="005A3770"/>
    <w:rsid w:val="005A3F68"/>
    <w:rsid w:val="005A4911"/>
    <w:rsid w:val="005A497A"/>
    <w:rsid w:val="005A5601"/>
    <w:rsid w:val="005A64E8"/>
    <w:rsid w:val="005A71F6"/>
    <w:rsid w:val="005A7A93"/>
    <w:rsid w:val="005A7B89"/>
    <w:rsid w:val="005B028B"/>
    <w:rsid w:val="005B06EE"/>
    <w:rsid w:val="005B0AB1"/>
    <w:rsid w:val="005B0B38"/>
    <w:rsid w:val="005B0D8E"/>
    <w:rsid w:val="005B2D3E"/>
    <w:rsid w:val="005B33DB"/>
    <w:rsid w:val="005B38DD"/>
    <w:rsid w:val="005B41E7"/>
    <w:rsid w:val="005B46DE"/>
    <w:rsid w:val="005B4861"/>
    <w:rsid w:val="005B50D8"/>
    <w:rsid w:val="005B6B7B"/>
    <w:rsid w:val="005B6EB5"/>
    <w:rsid w:val="005B7036"/>
    <w:rsid w:val="005C0132"/>
    <w:rsid w:val="005C026A"/>
    <w:rsid w:val="005C0335"/>
    <w:rsid w:val="005C06ED"/>
    <w:rsid w:val="005C1652"/>
    <w:rsid w:val="005C2074"/>
    <w:rsid w:val="005C316C"/>
    <w:rsid w:val="005C4138"/>
    <w:rsid w:val="005C46EB"/>
    <w:rsid w:val="005C47B6"/>
    <w:rsid w:val="005C491C"/>
    <w:rsid w:val="005C4C97"/>
    <w:rsid w:val="005C5445"/>
    <w:rsid w:val="005C54F9"/>
    <w:rsid w:val="005C5694"/>
    <w:rsid w:val="005C5A43"/>
    <w:rsid w:val="005C6520"/>
    <w:rsid w:val="005C6BCD"/>
    <w:rsid w:val="005C6D73"/>
    <w:rsid w:val="005C7149"/>
    <w:rsid w:val="005C734C"/>
    <w:rsid w:val="005C7400"/>
    <w:rsid w:val="005C7984"/>
    <w:rsid w:val="005D01A9"/>
    <w:rsid w:val="005D06D1"/>
    <w:rsid w:val="005D0A4A"/>
    <w:rsid w:val="005D15C6"/>
    <w:rsid w:val="005D19FD"/>
    <w:rsid w:val="005D241E"/>
    <w:rsid w:val="005D294B"/>
    <w:rsid w:val="005D3608"/>
    <w:rsid w:val="005D37D4"/>
    <w:rsid w:val="005D3BF0"/>
    <w:rsid w:val="005D3D74"/>
    <w:rsid w:val="005D4118"/>
    <w:rsid w:val="005D4B1C"/>
    <w:rsid w:val="005D4F00"/>
    <w:rsid w:val="005D50F5"/>
    <w:rsid w:val="005D5461"/>
    <w:rsid w:val="005D5855"/>
    <w:rsid w:val="005D5D15"/>
    <w:rsid w:val="005D5F81"/>
    <w:rsid w:val="005D72DC"/>
    <w:rsid w:val="005E024F"/>
    <w:rsid w:val="005E02BF"/>
    <w:rsid w:val="005E0C8F"/>
    <w:rsid w:val="005E114F"/>
    <w:rsid w:val="005E1773"/>
    <w:rsid w:val="005E2507"/>
    <w:rsid w:val="005E27CD"/>
    <w:rsid w:val="005E33BF"/>
    <w:rsid w:val="005E3BB5"/>
    <w:rsid w:val="005E5073"/>
    <w:rsid w:val="005E5092"/>
    <w:rsid w:val="005E5714"/>
    <w:rsid w:val="005E5D49"/>
    <w:rsid w:val="005E615B"/>
    <w:rsid w:val="005E748D"/>
    <w:rsid w:val="005E7E76"/>
    <w:rsid w:val="005F4983"/>
    <w:rsid w:val="005F502D"/>
    <w:rsid w:val="005F5102"/>
    <w:rsid w:val="005F55B4"/>
    <w:rsid w:val="005F56DC"/>
    <w:rsid w:val="005F57F1"/>
    <w:rsid w:val="005F5E7C"/>
    <w:rsid w:val="005F60A7"/>
    <w:rsid w:val="005F7472"/>
    <w:rsid w:val="005F7D93"/>
    <w:rsid w:val="006014CE"/>
    <w:rsid w:val="00601517"/>
    <w:rsid w:val="00601FF1"/>
    <w:rsid w:val="00602492"/>
    <w:rsid w:val="0060263E"/>
    <w:rsid w:val="00602D70"/>
    <w:rsid w:val="00603315"/>
    <w:rsid w:val="00603AFB"/>
    <w:rsid w:val="00603D4B"/>
    <w:rsid w:val="00604483"/>
    <w:rsid w:val="00604949"/>
    <w:rsid w:val="006052F1"/>
    <w:rsid w:val="00605814"/>
    <w:rsid w:val="0060658F"/>
    <w:rsid w:val="00607132"/>
    <w:rsid w:val="00607438"/>
    <w:rsid w:val="006078CD"/>
    <w:rsid w:val="00610305"/>
    <w:rsid w:val="00610A70"/>
    <w:rsid w:val="00610FD1"/>
    <w:rsid w:val="006114C1"/>
    <w:rsid w:val="00612321"/>
    <w:rsid w:val="006129BA"/>
    <w:rsid w:val="00612EF7"/>
    <w:rsid w:val="0061395E"/>
    <w:rsid w:val="0061520E"/>
    <w:rsid w:val="0061632E"/>
    <w:rsid w:val="0061747F"/>
    <w:rsid w:val="00617963"/>
    <w:rsid w:val="00617A0C"/>
    <w:rsid w:val="00617D9F"/>
    <w:rsid w:val="00620BC5"/>
    <w:rsid w:val="00620DE3"/>
    <w:rsid w:val="00621119"/>
    <w:rsid w:val="00621D50"/>
    <w:rsid w:val="006225D3"/>
    <w:rsid w:val="00622A70"/>
    <w:rsid w:val="0062353D"/>
    <w:rsid w:val="006235F6"/>
    <w:rsid w:val="0062392F"/>
    <w:rsid w:val="00623D1E"/>
    <w:rsid w:val="006247A2"/>
    <w:rsid w:val="00624F0E"/>
    <w:rsid w:val="00625374"/>
    <w:rsid w:val="00625B2F"/>
    <w:rsid w:val="00626302"/>
    <w:rsid w:val="00626B62"/>
    <w:rsid w:val="006276FB"/>
    <w:rsid w:val="00627EF0"/>
    <w:rsid w:val="00630489"/>
    <w:rsid w:val="00630732"/>
    <w:rsid w:val="00630AB7"/>
    <w:rsid w:val="00630D39"/>
    <w:rsid w:val="00631012"/>
    <w:rsid w:val="006316FF"/>
    <w:rsid w:val="006333E8"/>
    <w:rsid w:val="006337B5"/>
    <w:rsid w:val="006338A1"/>
    <w:rsid w:val="00633ADE"/>
    <w:rsid w:val="0063448D"/>
    <w:rsid w:val="00634DB9"/>
    <w:rsid w:val="006350D2"/>
    <w:rsid w:val="00635DAD"/>
    <w:rsid w:val="00635EE7"/>
    <w:rsid w:val="00635F26"/>
    <w:rsid w:val="006365EB"/>
    <w:rsid w:val="00636ED7"/>
    <w:rsid w:val="0063750A"/>
    <w:rsid w:val="0064060C"/>
    <w:rsid w:val="00641684"/>
    <w:rsid w:val="00642361"/>
    <w:rsid w:val="00642372"/>
    <w:rsid w:val="00642463"/>
    <w:rsid w:val="00643925"/>
    <w:rsid w:val="00643DA7"/>
    <w:rsid w:val="00644DDF"/>
    <w:rsid w:val="00645DCE"/>
    <w:rsid w:val="006461AB"/>
    <w:rsid w:val="00646C5A"/>
    <w:rsid w:val="00646E7C"/>
    <w:rsid w:val="0064764F"/>
    <w:rsid w:val="00650715"/>
    <w:rsid w:val="006513B3"/>
    <w:rsid w:val="00652A78"/>
    <w:rsid w:val="00652A8F"/>
    <w:rsid w:val="00653581"/>
    <w:rsid w:val="006535E6"/>
    <w:rsid w:val="00653A10"/>
    <w:rsid w:val="00653A24"/>
    <w:rsid w:val="00653C19"/>
    <w:rsid w:val="00653E50"/>
    <w:rsid w:val="00653FE7"/>
    <w:rsid w:val="0065483C"/>
    <w:rsid w:val="006551BA"/>
    <w:rsid w:val="006553A6"/>
    <w:rsid w:val="00655A1E"/>
    <w:rsid w:val="00655AAE"/>
    <w:rsid w:val="00655AE7"/>
    <w:rsid w:val="0065636A"/>
    <w:rsid w:val="006568FC"/>
    <w:rsid w:val="00656F52"/>
    <w:rsid w:val="00657426"/>
    <w:rsid w:val="00660568"/>
    <w:rsid w:val="0066092E"/>
    <w:rsid w:val="00660C42"/>
    <w:rsid w:val="00661082"/>
    <w:rsid w:val="006613A5"/>
    <w:rsid w:val="006613D4"/>
    <w:rsid w:val="006617B7"/>
    <w:rsid w:val="006628AC"/>
    <w:rsid w:val="00662E88"/>
    <w:rsid w:val="00663483"/>
    <w:rsid w:val="0066388E"/>
    <w:rsid w:val="00664293"/>
    <w:rsid w:val="00664C63"/>
    <w:rsid w:val="00665794"/>
    <w:rsid w:val="0066595F"/>
    <w:rsid w:val="006659BF"/>
    <w:rsid w:val="00665B29"/>
    <w:rsid w:val="00666056"/>
    <w:rsid w:val="006660DB"/>
    <w:rsid w:val="006675E5"/>
    <w:rsid w:val="006701B8"/>
    <w:rsid w:val="0067031A"/>
    <w:rsid w:val="006703CA"/>
    <w:rsid w:val="00670563"/>
    <w:rsid w:val="00670730"/>
    <w:rsid w:val="00670BC0"/>
    <w:rsid w:val="00671998"/>
    <w:rsid w:val="00671A3E"/>
    <w:rsid w:val="0067249E"/>
    <w:rsid w:val="00673646"/>
    <w:rsid w:val="00673CDA"/>
    <w:rsid w:val="0067400B"/>
    <w:rsid w:val="006744D1"/>
    <w:rsid w:val="0067475A"/>
    <w:rsid w:val="00674802"/>
    <w:rsid w:val="0067490E"/>
    <w:rsid w:val="006749A2"/>
    <w:rsid w:val="00674BED"/>
    <w:rsid w:val="00674ECD"/>
    <w:rsid w:val="006756EA"/>
    <w:rsid w:val="00675C2C"/>
    <w:rsid w:val="00676274"/>
    <w:rsid w:val="00676354"/>
    <w:rsid w:val="00676CE0"/>
    <w:rsid w:val="00680845"/>
    <w:rsid w:val="00680CC4"/>
    <w:rsid w:val="00681B82"/>
    <w:rsid w:val="00681E5A"/>
    <w:rsid w:val="00682541"/>
    <w:rsid w:val="00682E11"/>
    <w:rsid w:val="00683C72"/>
    <w:rsid w:val="006844F1"/>
    <w:rsid w:val="00684A76"/>
    <w:rsid w:val="00684B92"/>
    <w:rsid w:val="00684D17"/>
    <w:rsid w:val="0068641F"/>
    <w:rsid w:val="00687108"/>
    <w:rsid w:val="00687D64"/>
    <w:rsid w:val="00690599"/>
    <w:rsid w:val="006909AB"/>
    <w:rsid w:val="00691432"/>
    <w:rsid w:val="00691CB0"/>
    <w:rsid w:val="00691FFA"/>
    <w:rsid w:val="00692CF6"/>
    <w:rsid w:val="00692E69"/>
    <w:rsid w:val="00693662"/>
    <w:rsid w:val="006939A6"/>
    <w:rsid w:val="00693BF9"/>
    <w:rsid w:val="006949C2"/>
    <w:rsid w:val="006957DB"/>
    <w:rsid w:val="0069638E"/>
    <w:rsid w:val="00696828"/>
    <w:rsid w:val="00697051"/>
    <w:rsid w:val="0069734C"/>
    <w:rsid w:val="006976F0"/>
    <w:rsid w:val="006979B6"/>
    <w:rsid w:val="006A02E6"/>
    <w:rsid w:val="006A083A"/>
    <w:rsid w:val="006A112B"/>
    <w:rsid w:val="006A1AEB"/>
    <w:rsid w:val="006A1BE1"/>
    <w:rsid w:val="006A1CC9"/>
    <w:rsid w:val="006A1FDB"/>
    <w:rsid w:val="006A37E7"/>
    <w:rsid w:val="006A3C04"/>
    <w:rsid w:val="006A47DF"/>
    <w:rsid w:val="006A48F4"/>
    <w:rsid w:val="006A4BA7"/>
    <w:rsid w:val="006A5B69"/>
    <w:rsid w:val="006A6C03"/>
    <w:rsid w:val="006B022B"/>
    <w:rsid w:val="006B02A8"/>
    <w:rsid w:val="006B0351"/>
    <w:rsid w:val="006B1A1A"/>
    <w:rsid w:val="006B2BA3"/>
    <w:rsid w:val="006B2E6B"/>
    <w:rsid w:val="006B2EE9"/>
    <w:rsid w:val="006B3759"/>
    <w:rsid w:val="006B3A2D"/>
    <w:rsid w:val="006B59E9"/>
    <w:rsid w:val="006B62AE"/>
    <w:rsid w:val="006B635D"/>
    <w:rsid w:val="006B6EF4"/>
    <w:rsid w:val="006B6FBE"/>
    <w:rsid w:val="006B7B45"/>
    <w:rsid w:val="006B7B7E"/>
    <w:rsid w:val="006C0160"/>
    <w:rsid w:val="006C01AF"/>
    <w:rsid w:val="006C1719"/>
    <w:rsid w:val="006C1A26"/>
    <w:rsid w:val="006C1EEB"/>
    <w:rsid w:val="006C2190"/>
    <w:rsid w:val="006C38A8"/>
    <w:rsid w:val="006C3ACC"/>
    <w:rsid w:val="006C3FD2"/>
    <w:rsid w:val="006C483B"/>
    <w:rsid w:val="006C4841"/>
    <w:rsid w:val="006C4B58"/>
    <w:rsid w:val="006C6024"/>
    <w:rsid w:val="006C6271"/>
    <w:rsid w:val="006C634C"/>
    <w:rsid w:val="006C6A76"/>
    <w:rsid w:val="006C7048"/>
    <w:rsid w:val="006C73C9"/>
    <w:rsid w:val="006C7F3C"/>
    <w:rsid w:val="006C7F4F"/>
    <w:rsid w:val="006D0B2F"/>
    <w:rsid w:val="006D0BAF"/>
    <w:rsid w:val="006D0D74"/>
    <w:rsid w:val="006D21B7"/>
    <w:rsid w:val="006D2E88"/>
    <w:rsid w:val="006D3B03"/>
    <w:rsid w:val="006D4211"/>
    <w:rsid w:val="006D4577"/>
    <w:rsid w:val="006D54D3"/>
    <w:rsid w:val="006D57FF"/>
    <w:rsid w:val="006D584E"/>
    <w:rsid w:val="006D5EC2"/>
    <w:rsid w:val="006D6360"/>
    <w:rsid w:val="006D6520"/>
    <w:rsid w:val="006D6E3F"/>
    <w:rsid w:val="006D7877"/>
    <w:rsid w:val="006D7F31"/>
    <w:rsid w:val="006E006B"/>
    <w:rsid w:val="006E1891"/>
    <w:rsid w:val="006E1907"/>
    <w:rsid w:val="006E3031"/>
    <w:rsid w:val="006E3538"/>
    <w:rsid w:val="006E4A76"/>
    <w:rsid w:val="006E4BAB"/>
    <w:rsid w:val="006E52AE"/>
    <w:rsid w:val="006E5BB7"/>
    <w:rsid w:val="006E5C4F"/>
    <w:rsid w:val="006E6007"/>
    <w:rsid w:val="006E6EAE"/>
    <w:rsid w:val="006E6FF7"/>
    <w:rsid w:val="006E7054"/>
    <w:rsid w:val="006E7956"/>
    <w:rsid w:val="006F0026"/>
    <w:rsid w:val="006F062E"/>
    <w:rsid w:val="006F0CDB"/>
    <w:rsid w:val="006F0FD9"/>
    <w:rsid w:val="006F1B9B"/>
    <w:rsid w:val="006F23E9"/>
    <w:rsid w:val="006F259A"/>
    <w:rsid w:val="006F25E5"/>
    <w:rsid w:val="006F29B7"/>
    <w:rsid w:val="006F31E1"/>
    <w:rsid w:val="006F3497"/>
    <w:rsid w:val="006F41DA"/>
    <w:rsid w:val="006F48EF"/>
    <w:rsid w:val="006F4C5B"/>
    <w:rsid w:val="006F4E5D"/>
    <w:rsid w:val="006F52CB"/>
    <w:rsid w:val="006F5454"/>
    <w:rsid w:val="006F572A"/>
    <w:rsid w:val="006F57DE"/>
    <w:rsid w:val="006F614A"/>
    <w:rsid w:val="006F70F7"/>
    <w:rsid w:val="007000A5"/>
    <w:rsid w:val="007003AA"/>
    <w:rsid w:val="0070047A"/>
    <w:rsid w:val="00700833"/>
    <w:rsid w:val="00701999"/>
    <w:rsid w:val="00702685"/>
    <w:rsid w:val="00702A32"/>
    <w:rsid w:val="00703893"/>
    <w:rsid w:val="00704168"/>
    <w:rsid w:val="00704F5D"/>
    <w:rsid w:val="00705A48"/>
    <w:rsid w:val="00705BA0"/>
    <w:rsid w:val="00706050"/>
    <w:rsid w:val="007065FB"/>
    <w:rsid w:val="00706850"/>
    <w:rsid w:val="00706CFC"/>
    <w:rsid w:val="0070721E"/>
    <w:rsid w:val="0070742B"/>
    <w:rsid w:val="00707BA5"/>
    <w:rsid w:val="00710789"/>
    <w:rsid w:val="007107B9"/>
    <w:rsid w:val="00710A58"/>
    <w:rsid w:val="00710DF2"/>
    <w:rsid w:val="007118B8"/>
    <w:rsid w:val="00711BCF"/>
    <w:rsid w:val="0071206F"/>
    <w:rsid w:val="00712B60"/>
    <w:rsid w:val="0071504F"/>
    <w:rsid w:val="00715380"/>
    <w:rsid w:val="00715E14"/>
    <w:rsid w:val="00716DA7"/>
    <w:rsid w:val="007171CA"/>
    <w:rsid w:val="00717CC9"/>
    <w:rsid w:val="00720006"/>
    <w:rsid w:val="007206DD"/>
    <w:rsid w:val="0072085F"/>
    <w:rsid w:val="00720909"/>
    <w:rsid w:val="00720C30"/>
    <w:rsid w:val="00721CD1"/>
    <w:rsid w:val="00722C4E"/>
    <w:rsid w:val="0072312F"/>
    <w:rsid w:val="00723970"/>
    <w:rsid w:val="007247A6"/>
    <w:rsid w:val="00725203"/>
    <w:rsid w:val="00725BBE"/>
    <w:rsid w:val="00727342"/>
    <w:rsid w:val="00727D0E"/>
    <w:rsid w:val="00727F01"/>
    <w:rsid w:val="007307AA"/>
    <w:rsid w:val="0073092A"/>
    <w:rsid w:val="007319CB"/>
    <w:rsid w:val="00732235"/>
    <w:rsid w:val="0073248F"/>
    <w:rsid w:val="007324D4"/>
    <w:rsid w:val="00732911"/>
    <w:rsid w:val="00732BF7"/>
    <w:rsid w:val="00733D53"/>
    <w:rsid w:val="0073450D"/>
    <w:rsid w:val="00734626"/>
    <w:rsid w:val="0073475B"/>
    <w:rsid w:val="007350BD"/>
    <w:rsid w:val="00735361"/>
    <w:rsid w:val="007354D8"/>
    <w:rsid w:val="00735BA0"/>
    <w:rsid w:val="00735DDF"/>
    <w:rsid w:val="00735F27"/>
    <w:rsid w:val="007368C2"/>
    <w:rsid w:val="00736B89"/>
    <w:rsid w:val="00736D7B"/>
    <w:rsid w:val="0073711D"/>
    <w:rsid w:val="00737FD3"/>
    <w:rsid w:val="007411D6"/>
    <w:rsid w:val="00741587"/>
    <w:rsid w:val="00741C6C"/>
    <w:rsid w:val="0074210F"/>
    <w:rsid w:val="007422CF"/>
    <w:rsid w:val="00743315"/>
    <w:rsid w:val="00743AD9"/>
    <w:rsid w:val="00743F7B"/>
    <w:rsid w:val="00744335"/>
    <w:rsid w:val="00744A48"/>
    <w:rsid w:val="00745090"/>
    <w:rsid w:val="00745262"/>
    <w:rsid w:val="00745E1D"/>
    <w:rsid w:val="00746728"/>
    <w:rsid w:val="00746798"/>
    <w:rsid w:val="00746FDE"/>
    <w:rsid w:val="007470B9"/>
    <w:rsid w:val="0074758D"/>
    <w:rsid w:val="007476C1"/>
    <w:rsid w:val="00750678"/>
    <w:rsid w:val="00750B45"/>
    <w:rsid w:val="00750F14"/>
    <w:rsid w:val="007511CC"/>
    <w:rsid w:val="00751443"/>
    <w:rsid w:val="00751721"/>
    <w:rsid w:val="00751A55"/>
    <w:rsid w:val="0075207E"/>
    <w:rsid w:val="00752089"/>
    <w:rsid w:val="007531A0"/>
    <w:rsid w:val="00753736"/>
    <w:rsid w:val="00754352"/>
    <w:rsid w:val="007547C9"/>
    <w:rsid w:val="00754AA7"/>
    <w:rsid w:val="00754D55"/>
    <w:rsid w:val="00755878"/>
    <w:rsid w:val="0075647A"/>
    <w:rsid w:val="007568DC"/>
    <w:rsid w:val="00756A3C"/>
    <w:rsid w:val="00756C35"/>
    <w:rsid w:val="00757582"/>
    <w:rsid w:val="00761E57"/>
    <w:rsid w:val="0076235F"/>
    <w:rsid w:val="00763236"/>
    <w:rsid w:val="00763817"/>
    <w:rsid w:val="00763C39"/>
    <w:rsid w:val="00763EE0"/>
    <w:rsid w:val="007643C0"/>
    <w:rsid w:val="00765A36"/>
    <w:rsid w:val="007661D2"/>
    <w:rsid w:val="007675FD"/>
    <w:rsid w:val="00767D58"/>
    <w:rsid w:val="007706FD"/>
    <w:rsid w:val="00770801"/>
    <w:rsid w:val="007714DF"/>
    <w:rsid w:val="00771CD0"/>
    <w:rsid w:val="00772337"/>
    <w:rsid w:val="00774621"/>
    <w:rsid w:val="00774690"/>
    <w:rsid w:val="00774805"/>
    <w:rsid w:val="0077654B"/>
    <w:rsid w:val="00776CA7"/>
    <w:rsid w:val="00776E22"/>
    <w:rsid w:val="00781F7D"/>
    <w:rsid w:val="00782073"/>
    <w:rsid w:val="00783530"/>
    <w:rsid w:val="007844C8"/>
    <w:rsid w:val="0078467D"/>
    <w:rsid w:val="007850DE"/>
    <w:rsid w:val="007857B1"/>
    <w:rsid w:val="00786881"/>
    <w:rsid w:val="00787C48"/>
    <w:rsid w:val="0079093A"/>
    <w:rsid w:val="00791133"/>
    <w:rsid w:val="00791143"/>
    <w:rsid w:val="00792223"/>
    <w:rsid w:val="007928BB"/>
    <w:rsid w:val="00792C03"/>
    <w:rsid w:val="00792D10"/>
    <w:rsid w:val="00793944"/>
    <w:rsid w:val="00793B10"/>
    <w:rsid w:val="007946AF"/>
    <w:rsid w:val="00794A68"/>
    <w:rsid w:val="007959B8"/>
    <w:rsid w:val="00795A01"/>
    <w:rsid w:val="00796717"/>
    <w:rsid w:val="00796C3B"/>
    <w:rsid w:val="00797351"/>
    <w:rsid w:val="0079743D"/>
    <w:rsid w:val="00797772"/>
    <w:rsid w:val="00797B13"/>
    <w:rsid w:val="00797DA2"/>
    <w:rsid w:val="007A1530"/>
    <w:rsid w:val="007A17F1"/>
    <w:rsid w:val="007A1859"/>
    <w:rsid w:val="007A27A6"/>
    <w:rsid w:val="007A3259"/>
    <w:rsid w:val="007A38B9"/>
    <w:rsid w:val="007A3E16"/>
    <w:rsid w:val="007A4FCA"/>
    <w:rsid w:val="007A519B"/>
    <w:rsid w:val="007A5FED"/>
    <w:rsid w:val="007A7CFF"/>
    <w:rsid w:val="007A7D90"/>
    <w:rsid w:val="007B0039"/>
    <w:rsid w:val="007B01CF"/>
    <w:rsid w:val="007B1446"/>
    <w:rsid w:val="007B150C"/>
    <w:rsid w:val="007B20B4"/>
    <w:rsid w:val="007B3CEF"/>
    <w:rsid w:val="007B3F99"/>
    <w:rsid w:val="007B4D5C"/>
    <w:rsid w:val="007B4FFD"/>
    <w:rsid w:val="007B590C"/>
    <w:rsid w:val="007B60BD"/>
    <w:rsid w:val="007B7A92"/>
    <w:rsid w:val="007B7E9F"/>
    <w:rsid w:val="007C0C12"/>
    <w:rsid w:val="007C12E8"/>
    <w:rsid w:val="007C2CB2"/>
    <w:rsid w:val="007C2E23"/>
    <w:rsid w:val="007C3139"/>
    <w:rsid w:val="007C3565"/>
    <w:rsid w:val="007C367A"/>
    <w:rsid w:val="007C42BB"/>
    <w:rsid w:val="007C45CA"/>
    <w:rsid w:val="007C46A0"/>
    <w:rsid w:val="007C5070"/>
    <w:rsid w:val="007C51B6"/>
    <w:rsid w:val="007C663D"/>
    <w:rsid w:val="007D008E"/>
    <w:rsid w:val="007D07C4"/>
    <w:rsid w:val="007D0AF0"/>
    <w:rsid w:val="007D224B"/>
    <w:rsid w:val="007D3A1A"/>
    <w:rsid w:val="007D4E85"/>
    <w:rsid w:val="007D50EF"/>
    <w:rsid w:val="007D5363"/>
    <w:rsid w:val="007D5C7E"/>
    <w:rsid w:val="007D653A"/>
    <w:rsid w:val="007D676A"/>
    <w:rsid w:val="007D69E1"/>
    <w:rsid w:val="007D6A1E"/>
    <w:rsid w:val="007E0064"/>
    <w:rsid w:val="007E0102"/>
    <w:rsid w:val="007E04A2"/>
    <w:rsid w:val="007E09E9"/>
    <w:rsid w:val="007E0A8F"/>
    <w:rsid w:val="007E0B3E"/>
    <w:rsid w:val="007E12A2"/>
    <w:rsid w:val="007E12D3"/>
    <w:rsid w:val="007E13EB"/>
    <w:rsid w:val="007E2155"/>
    <w:rsid w:val="007E2310"/>
    <w:rsid w:val="007E3446"/>
    <w:rsid w:val="007E3FA7"/>
    <w:rsid w:val="007E4D1E"/>
    <w:rsid w:val="007E66D0"/>
    <w:rsid w:val="007E6835"/>
    <w:rsid w:val="007E6F46"/>
    <w:rsid w:val="007E781C"/>
    <w:rsid w:val="007F04B2"/>
    <w:rsid w:val="007F095D"/>
    <w:rsid w:val="007F1DAE"/>
    <w:rsid w:val="007F24B9"/>
    <w:rsid w:val="007F26C7"/>
    <w:rsid w:val="007F3388"/>
    <w:rsid w:val="007F33B1"/>
    <w:rsid w:val="007F347D"/>
    <w:rsid w:val="007F3571"/>
    <w:rsid w:val="007F3E2A"/>
    <w:rsid w:val="007F497A"/>
    <w:rsid w:val="007F4D6C"/>
    <w:rsid w:val="007F5CA4"/>
    <w:rsid w:val="007F5CF0"/>
    <w:rsid w:val="007F5DC6"/>
    <w:rsid w:val="007F5EAC"/>
    <w:rsid w:val="007F6251"/>
    <w:rsid w:val="007F6461"/>
    <w:rsid w:val="007F6BAE"/>
    <w:rsid w:val="007F6F77"/>
    <w:rsid w:val="007F7B5C"/>
    <w:rsid w:val="007F7D2F"/>
    <w:rsid w:val="00801B8F"/>
    <w:rsid w:val="00801D0F"/>
    <w:rsid w:val="0080256F"/>
    <w:rsid w:val="00802BF1"/>
    <w:rsid w:val="00802FF1"/>
    <w:rsid w:val="008034DB"/>
    <w:rsid w:val="008041E6"/>
    <w:rsid w:val="008041FF"/>
    <w:rsid w:val="00805C60"/>
    <w:rsid w:val="00805D68"/>
    <w:rsid w:val="00806471"/>
    <w:rsid w:val="00807263"/>
    <w:rsid w:val="0080751A"/>
    <w:rsid w:val="0080752D"/>
    <w:rsid w:val="00807F81"/>
    <w:rsid w:val="008107D9"/>
    <w:rsid w:val="0081226D"/>
    <w:rsid w:val="00812349"/>
    <w:rsid w:val="008123CB"/>
    <w:rsid w:val="00812892"/>
    <w:rsid w:val="008129F2"/>
    <w:rsid w:val="008137C4"/>
    <w:rsid w:val="00813B83"/>
    <w:rsid w:val="008150EA"/>
    <w:rsid w:val="0081516B"/>
    <w:rsid w:val="00815355"/>
    <w:rsid w:val="00815C9B"/>
    <w:rsid w:val="00815EF5"/>
    <w:rsid w:val="00816175"/>
    <w:rsid w:val="008161FD"/>
    <w:rsid w:val="00816809"/>
    <w:rsid w:val="0081697F"/>
    <w:rsid w:val="00817C2F"/>
    <w:rsid w:val="00820059"/>
    <w:rsid w:val="00820AAF"/>
    <w:rsid w:val="00820D3A"/>
    <w:rsid w:val="00821900"/>
    <w:rsid w:val="00821A21"/>
    <w:rsid w:val="00821B0A"/>
    <w:rsid w:val="00821D52"/>
    <w:rsid w:val="00822140"/>
    <w:rsid w:val="00822285"/>
    <w:rsid w:val="00822350"/>
    <w:rsid w:val="00822352"/>
    <w:rsid w:val="0082284F"/>
    <w:rsid w:val="008228D5"/>
    <w:rsid w:val="00823081"/>
    <w:rsid w:val="0082315F"/>
    <w:rsid w:val="00824223"/>
    <w:rsid w:val="0082471D"/>
    <w:rsid w:val="00824957"/>
    <w:rsid w:val="00824986"/>
    <w:rsid w:val="00824FA1"/>
    <w:rsid w:val="00825E5A"/>
    <w:rsid w:val="00825F91"/>
    <w:rsid w:val="00826135"/>
    <w:rsid w:val="0082623F"/>
    <w:rsid w:val="0082649C"/>
    <w:rsid w:val="00827A57"/>
    <w:rsid w:val="00830BFA"/>
    <w:rsid w:val="00831827"/>
    <w:rsid w:val="008318D7"/>
    <w:rsid w:val="0083217B"/>
    <w:rsid w:val="00833015"/>
    <w:rsid w:val="0083304A"/>
    <w:rsid w:val="00833595"/>
    <w:rsid w:val="0083382A"/>
    <w:rsid w:val="00833E4F"/>
    <w:rsid w:val="00834071"/>
    <w:rsid w:val="008342FB"/>
    <w:rsid w:val="008348FA"/>
    <w:rsid w:val="0083555E"/>
    <w:rsid w:val="00837874"/>
    <w:rsid w:val="008409CC"/>
    <w:rsid w:val="00840BAF"/>
    <w:rsid w:val="008423A6"/>
    <w:rsid w:val="00842B65"/>
    <w:rsid w:val="00842CFE"/>
    <w:rsid w:val="00843259"/>
    <w:rsid w:val="0084352C"/>
    <w:rsid w:val="00844B24"/>
    <w:rsid w:val="00845105"/>
    <w:rsid w:val="00845C03"/>
    <w:rsid w:val="008465BB"/>
    <w:rsid w:val="008472A2"/>
    <w:rsid w:val="0085169E"/>
    <w:rsid w:val="00851C15"/>
    <w:rsid w:val="008523F3"/>
    <w:rsid w:val="00852846"/>
    <w:rsid w:val="0085398C"/>
    <w:rsid w:val="00853EF1"/>
    <w:rsid w:val="0085419D"/>
    <w:rsid w:val="008541D3"/>
    <w:rsid w:val="0085445A"/>
    <w:rsid w:val="00854BF1"/>
    <w:rsid w:val="00855207"/>
    <w:rsid w:val="00855270"/>
    <w:rsid w:val="008558F8"/>
    <w:rsid w:val="00855984"/>
    <w:rsid w:val="00857C2E"/>
    <w:rsid w:val="008600F0"/>
    <w:rsid w:val="008601F7"/>
    <w:rsid w:val="00860B35"/>
    <w:rsid w:val="00860EF7"/>
    <w:rsid w:val="00861A9E"/>
    <w:rsid w:val="008626B5"/>
    <w:rsid w:val="00862779"/>
    <w:rsid w:val="00862CE5"/>
    <w:rsid w:val="00863D5F"/>
    <w:rsid w:val="00863E40"/>
    <w:rsid w:val="00863E6E"/>
    <w:rsid w:val="0086406C"/>
    <w:rsid w:val="0086426F"/>
    <w:rsid w:val="008642EA"/>
    <w:rsid w:val="00864396"/>
    <w:rsid w:val="008648B1"/>
    <w:rsid w:val="00864CEE"/>
    <w:rsid w:val="00865929"/>
    <w:rsid w:val="00867467"/>
    <w:rsid w:val="00867A31"/>
    <w:rsid w:val="00870520"/>
    <w:rsid w:val="008707D7"/>
    <w:rsid w:val="008709FB"/>
    <w:rsid w:val="00872366"/>
    <w:rsid w:val="008725E4"/>
    <w:rsid w:val="00872FAD"/>
    <w:rsid w:val="008730D2"/>
    <w:rsid w:val="00873286"/>
    <w:rsid w:val="00873657"/>
    <w:rsid w:val="00873D2E"/>
    <w:rsid w:val="0087400B"/>
    <w:rsid w:val="0087440C"/>
    <w:rsid w:val="00874C19"/>
    <w:rsid w:val="00875114"/>
    <w:rsid w:val="008753AD"/>
    <w:rsid w:val="00875AFE"/>
    <w:rsid w:val="00875F91"/>
    <w:rsid w:val="00876985"/>
    <w:rsid w:val="00876A95"/>
    <w:rsid w:val="00876B69"/>
    <w:rsid w:val="00877AA9"/>
    <w:rsid w:val="008801C4"/>
    <w:rsid w:val="0088027D"/>
    <w:rsid w:val="008814F0"/>
    <w:rsid w:val="00881B29"/>
    <w:rsid w:val="00881C9D"/>
    <w:rsid w:val="00881F1B"/>
    <w:rsid w:val="00882C51"/>
    <w:rsid w:val="00882FEC"/>
    <w:rsid w:val="00883438"/>
    <w:rsid w:val="008837C5"/>
    <w:rsid w:val="00883A24"/>
    <w:rsid w:val="00884D6F"/>
    <w:rsid w:val="00885BE9"/>
    <w:rsid w:val="008868D1"/>
    <w:rsid w:val="008873C5"/>
    <w:rsid w:val="00887437"/>
    <w:rsid w:val="0088749C"/>
    <w:rsid w:val="00887C19"/>
    <w:rsid w:val="00887C8B"/>
    <w:rsid w:val="00887E81"/>
    <w:rsid w:val="008903B0"/>
    <w:rsid w:val="008907D3"/>
    <w:rsid w:val="008908AD"/>
    <w:rsid w:val="0089115F"/>
    <w:rsid w:val="0089174E"/>
    <w:rsid w:val="00891E6D"/>
    <w:rsid w:val="00891FFC"/>
    <w:rsid w:val="00892127"/>
    <w:rsid w:val="00894CE2"/>
    <w:rsid w:val="00895BA7"/>
    <w:rsid w:val="00895BCD"/>
    <w:rsid w:val="00895C33"/>
    <w:rsid w:val="00895EAD"/>
    <w:rsid w:val="00895EFD"/>
    <w:rsid w:val="00895FAD"/>
    <w:rsid w:val="00896D8A"/>
    <w:rsid w:val="008A0515"/>
    <w:rsid w:val="008A054E"/>
    <w:rsid w:val="008A074C"/>
    <w:rsid w:val="008A1ED6"/>
    <w:rsid w:val="008A2539"/>
    <w:rsid w:val="008A3343"/>
    <w:rsid w:val="008A38AE"/>
    <w:rsid w:val="008A3B12"/>
    <w:rsid w:val="008A4688"/>
    <w:rsid w:val="008A4969"/>
    <w:rsid w:val="008A4A3C"/>
    <w:rsid w:val="008A5036"/>
    <w:rsid w:val="008A58E0"/>
    <w:rsid w:val="008B07B3"/>
    <w:rsid w:val="008B09C5"/>
    <w:rsid w:val="008B0BD1"/>
    <w:rsid w:val="008B0E7D"/>
    <w:rsid w:val="008B24CA"/>
    <w:rsid w:val="008B257A"/>
    <w:rsid w:val="008B2B82"/>
    <w:rsid w:val="008B3365"/>
    <w:rsid w:val="008B4034"/>
    <w:rsid w:val="008B4602"/>
    <w:rsid w:val="008B4B6A"/>
    <w:rsid w:val="008B4D3C"/>
    <w:rsid w:val="008B5192"/>
    <w:rsid w:val="008B5333"/>
    <w:rsid w:val="008B5D53"/>
    <w:rsid w:val="008B60E6"/>
    <w:rsid w:val="008B7F3D"/>
    <w:rsid w:val="008B7F88"/>
    <w:rsid w:val="008C1539"/>
    <w:rsid w:val="008C1962"/>
    <w:rsid w:val="008C27CF"/>
    <w:rsid w:val="008C284D"/>
    <w:rsid w:val="008C2D32"/>
    <w:rsid w:val="008C3143"/>
    <w:rsid w:val="008C328D"/>
    <w:rsid w:val="008C33E1"/>
    <w:rsid w:val="008C38A8"/>
    <w:rsid w:val="008C3B27"/>
    <w:rsid w:val="008C4A7C"/>
    <w:rsid w:val="008C512F"/>
    <w:rsid w:val="008C5163"/>
    <w:rsid w:val="008C5225"/>
    <w:rsid w:val="008C63C3"/>
    <w:rsid w:val="008C6539"/>
    <w:rsid w:val="008C6976"/>
    <w:rsid w:val="008C6DDF"/>
    <w:rsid w:val="008C6F26"/>
    <w:rsid w:val="008C7830"/>
    <w:rsid w:val="008C7B77"/>
    <w:rsid w:val="008D0200"/>
    <w:rsid w:val="008D159E"/>
    <w:rsid w:val="008D16E0"/>
    <w:rsid w:val="008D1912"/>
    <w:rsid w:val="008D2189"/>
    <w:rsid w:val="008D2437"/>
    <w:rsid w:val="008D29F2"/>
    <w:rsid w:val="008D3159"/>
    <w:rsid w:val="008D3176"/>
    <w:rsid w:val="008D31C3"/>
    <w:rsid w:val="008D3647"/>
    <w:rsid w:val="008D38AC"/>
    <w:rsid w:val="008D3BAC"/>
    <w:rsid w:val="008D40EE"/>
    <w:rsid w:val="008D42DC"/>
    <w:rsid w:val="008D550E"/>
    <w:rsid w:val="008D58BF"/>
    <w:rsid w:val="008D63B1"/>
    <w:rsid w:val="008D65ED"/>
    <w:rsid w:val="008D66C1"/>
    <w:rsid w:val="008D6A6B"/>
    <w:rsid w:val="008D6D28"/>
    <w:rsid w:val="008D6F01"/>
    <w:rsid w:val="008D7D35"/>
    <w:rsid w:val="008D7E8A"/>
    <w:rsid w:val="008E0053"/>
    <w:rsid w:val="008E0D78"/>
    <w:rsid w:val="008E0DC3"/>
    <w:rsid w:val="008E1411"/>
    <w:rsid w:val="008E1F21"/>
    <w:rsid w:val="008E2322"/>
    <w:rsid w:val="008E2CC2"/>
    <w:rsid w:val="008E395A"/>
    <w:rsid w:val="008E4747"/>
    <w:rsid w:val="008E4909"/>
    <w:rsid w:val="008E4B48"/>
    <w:rsid w:val="008E55B7"/>
    <w:rsid w:val="008E59F5"/>
    <w:rsid w:val="008E7596"/>
    <w:rsid w:val="008F08C7"/>
    <w:rsid w:val="008F13B6"/>
    <w:rsid w:val="008F1775"/>
    <w:rsid w:val="008F1BC5"/>
    <w:rsid w:val="008F24C6"/>
    <w:rsid w:val="008F3021"/>
    <w:rsid w:val="008F3D05"/>
    <w:rsid w:val="008F43D6"/>
    <w:rsid w:val="008F4924"/>
    <w:rsid w:val="008F56E3"/>
    <w:rsid w:val="008F58CE"/>
    <w:rsid w:val="008F598A"/>
    <w:rsid w:val="008F6E59"/>
    <w:rsid w:val="008F756C"/>
    <w:rsid w:val="008F774C"/>
    <w:rsid w:val="008F7A5F"/>
    <w:rsid w:val="008F7E41"/>
    <w:rsid w:val="009001EE"/>
    <w:rsid w:val="00901302"/>
    <w:rsid w:val="00901BB6"/>
    <w:rsid w:val="00901E32"/>
    <w:rsid w:val="00901F77"/>
    <w:rsid w:val="00902515"/>
    <w:rsid w:val="00902C48"/>
    <w:rsid w:val="00903C62"/>
    <w:rsid w:val="00903F0C"/>
    <w:rsid w:val="00903FCB"/>
    <w:rsid w:val="00904DC6"/>
    <w:rsid w:val="009066A3"/>
    <w:rsid w:val="00906AE1"/>
    <w:rsid w:val="00906BFC"/>
    <w:rsid w:val="00907D56"/>
    <w:rsid w:val="00910B0D"/>
    <w:rsid w:val="00911043"/>
    <w:rsid w:val="009116A5"/>
    <w:rsid w:val="00911BD4"/>
    <w:rsid w:val="0091365C"/>
    <w:rsid w:val="00913946"/>
    <w:rsid w:val="00913D35"/>
    <w:rsid w:val="00914284"/>
    <w:rsid w:val="009144FB"/>
    <w:rsid w:val="00914895"/>
    <w:rsid w:val="00914D7A"/>
    <w:rsid w:val="009153D2"/>
    <w:rsid w:val="00915406"/>
    <w:rsid w:val="009154B3"/>
    <w:rsid w:val="00915772"/>
    <w:rsid w:val="0091608B"/>
    <w:rsid w:val="0091626F"/>
    <w:rsid w:val="00916AE8"/>
    <w:rsid w:val="0091791E"/>
    <w:rsid w:val="00917EBE"/>
    <w:rsid w:val="00920B88"/>
    <w:rsid w:val="00920D1B"/>
    <w:rsid w:val="00921037"/>
    <w:rsid w:val="0092199A"/>
    <w:rsid w:val="0092242C"/>
    <w:rsid w:val="009224AC"/>
    <w:rsid w:val="0092291F"/>
    <w:rsid w:val="00922EDC"/>
    <w:rsid w:val="00923DD2"/>
    <w:rsid w:val="009244F2"/>
    <w:rsid w:val="009246A5"/>
    <w:rsid w:val="00925113"/>
    <w:rsid w:val="00925DE2"/>
    <w:rsid w:val="0092609D"/>
    <w:rsid w:val="00927005"/>
    <w:rsid w:val="00927329"/>
    <w:rsid w:val="00930077"/>
    <w:rsid w:val="009306E5"/>
    <w:rsid w:val="009314D7"/>
    <w:rsid w:val="009316CE"/>
    <w:rsid w:val="00932501"/>
    <w:rsid w:val="00933951"/>
    <w:rsid w:val="00933AB7"/>
    <w:rsid w:val="009342D7"/>
    <w:rsid w:val="00934BDB"/>
    <w:rsid w:val="00934CE9"/>
    <w:rsid w:val="00935BC6"/>
    <w:rsid w:val="00936830"/>
    <w:rsid w:val="00936921"/>
    <w:rsid w:val="00937175"/>
    <w:rsid w:val="00937A27"/>
    <w:rsid w:val="00937CF8"/>
    <w:rsid w:val="009406EB"/>
    <w:rsid w:val="00940DA0"/>
    <w:rsid w:val="009410AB"/>
    <w:rsid w:val="009412C0"/>
    <w:rsid w:val="00943C55"/>
    <w:rsid w:val="00943DD3"/>
    <w:rsid w:val="00944989"/>
    <w:rsid w:val="00945E50"/>
    <w:rsid w:val="00946BDA"/>
    <w:rsid w:val="00946EF6"/>
    <w:rsid w:val="009474FF"/>
    <w:rsid w:val="009477C4"/>
    <w:rsid w:val="00947848"/>
    <w:rsid w:val="00947C1D"/>
    <w:rsid w:val="00950C5D"/>
    <w:rsid w:val="00951836"/>
    <w:rsid w:val="0095190C"/>
    <w:rsid w:val="00953725"/>
    <w:rsid w:val="009538B8"/>
    <w:rsid w:val="00953D0D"/>
    <w:rsid w:val="009548A6"/>
    <w:rsid w:val="00954C02"/>
    <w:rsid w:val="009550E2"/>
    <w:rsid w:val="00955BEE"/>
    <w:rsid w:val="00955FC9"/>
    <w:rsid w:val="00956443"/>
    <w:rsid w:val="00957AA7"/>
    <w:rsid w:val="009603F4"/>
    <w:rsid w:val="009605CF"/>
    <w:rsid w:val="009614CE"/>
    <w:rsid w:val="00961987"/>
    <w:rsid w:val="00961AAD"/>
    <w:rsid w:val="00961B0B"/>
    <w:rsid w:val="00961B39"/>
    <w:rsid w:val="0096267E"/>
    <w:rsid w:val="009629F5"/>
    <w:rsid w:val="00963237"/>
    <w:rsid w:val="00963BF6"/>
    <w:rsid w:val="00964891"/>
    <w:rsid w:val="009648E8"/>
    <w:rsid w:val="00964D92"/>
    <w:rsid w:val="009652DA"/>
    <w:rsid w:val="00965A88"/>
    <w:rsid w:val="00966B08"/>
    <w:rsid w:val="00966C77"/>
    <w:rsid w:val="00966C79"/>
    <w:rsid w:val="00967120"/>
    <w:rsid w:val="00967DF4"/>
    <w:rsid w:val="00970377"/>
    <w:rsid w:val="0097107C"/>
    <w:rsid w:val="009711B9"/>
    <w:rsid w:val="00972347"/>
    <w:rsid w:val="00972748"/>
    <w:rsid w:val="00973F76"/>
    <w:rsid w:val="00974717"/>
    <w:rsid w:val="009747A6"/>
    <w:rsid w:val="00974A66"/>
    <w:rsid w:val="00974BF8"/>
    <w:rsid w:val="00974CD2"/>
    <w:rsid w:val="00975C68"/>
    <w:rsid w:val="00975FFC"/>
    <w:rsid w:val="00976DE8"/>
    <w:rsid w:val="0097759E"/>
    <w:rsid w:val="00980794"/>
    <w:rsid w:val="00980BD7"/>
    <w:rsid w:val="00980E55"/>
    <w:rsid w:val="0098108A"/>
    <w:rsid w:val="00981BEF"/>
    <w:rsid w:val="00981F4A"/>
    <w:rsid w:val="009820F0"/>
    <w:rsid w:val="00982614"/>
    <w:rsid w:val="00982969"/>
    <w:rsid w:val="00982A0E"/>
    <w:rsid w:val="00984710"/>
    <w:rsid w:val="00984C7D"/>
    <w:rsid w:val="00985050"/>
    <w:rsid w:val="0098584D"/>
    <w:rsid w:val="00986021"/>
    <w:rsid w:val="0098613A"/>
    <w:rsid w:val="00986763"/>
    <w:rsid w:val="00986DD9"/>
    <w:rsid w:val="009872C0"/>
    <w:rsid w:val="009873F6"/>
    <w:rsid w:val="00987995"/>
    <w:rsid w:val="00991C5F"/>
    <w:rsid w:val="009926DF"/>
    <w:rsid w:val="00992929"/>
    <w:rsid w:val="00993575"/>
    <w:rsid w:val="00993A20"/>
    <w:rsid w:val="00994662"/>
    <w:rsid w:val="00994677"/>
    <w:rsid w:val="009946D8"/>
    <w:rsid w:val="009952FB"/>
    <w:rsid w:val="00995606"/>
    <w:rsid w:val="00995CA6"/>
    <w:rsid w:val="0099628B"/>
    <w:rsid w:val="00996F8A"/>
    <w:rsid w:val="009A09EE"/>
    <w:rsid w:val="009A10AF"/>
    <w:rsid w:val="009A25D6"/>
    <w:rsid w:val="009A2E4A"/>
    <w:rsid w:val="009A4F3D"/>
    <w:rsid w:val="009A532D"/>
    <w:rsid w:val="009A5414"/>
    <w:rsid w:val="009A5E8A"/>
    <w:rsid w:val="009A6A30"/>
    <w:rsid w:val="009A79DA"/>
    <w:rsid w:val="009B0854"/>
    <w:rsid w:val="009B08F5"/>
    <w:rsid w:val="009B0AD4"/>
    <w:rsid w:val="009B1CD5"/>
    <w:rsid w:val="009B200B"/>
    <w:rsid w:val="009B24A5"/>
    <w:rsid w:val="009B2560"/>
    <w:rsid w:val="009B29AD"/>
    <w:rsid w:val="009B2EC2"/>
    <w:rsid w:val="009B2F24"/>
    <w:rsid w:val="009B31DB"/>
    <w:rsid w:val="009B3408"/>
    <w:rsid w:val="009B3D5A"/>
    <w:rsid w:val="009B4301"/>
    <w:rsid w:val="009B50FB"/>
    <w:rsid w:val="009B5682"/>
    <w:rsid w:val="009B656A"/>
    <w:rsid w:val="009B7069"/>
    <w:rsid w:val="009B72C6"/>
    <w:rsid w:val="009B730F"/>
    <w:rsid w:val="009B74D5"/>
    <w:rsid w:val="009B7779"/>
    <w:rsid w:val="009B7D47"/>
    <w:rsid w:val="009C0034"/>
    <w:rsid w:val="009C0E52"/>
    <w:rsid w:val="009C0ECC"/>
    <w:rsid w:val="009C1BBA"/>
    <w:rsid w:val="009C1F4A"/>
    <w:rsid w:val="009C1FF0"/>
    <w:rsid w:val="009C2232"/>
    <w:rsid w:val="009C3084"/>
    <w:rsid w:val="009C312A"/>
    <w:rsid w:val="009C321A"/>
    <w:rsid w:val="009C3AC0"/>
    <w:rsid w:val="009C4214"/>
    <w:rsid w:val="009C4216"/>
    <w:rsid w:val="009C5060"/>
    <w:rsid w:val="009C54DF"/>
    <w:rsid w:val="009C5B09"/>
    <w:rsid w:val="009C63AB"/>
    <w:rsid w:val="009C6AA8"/>
    <w:rsid w:val="009C74FA"/>
    <w:rsid w:val="009D0258"/>
    <w:rsid w:val="009D050D"/>
    <w:rsid w:val="009D0684"/>
    <w:rsid w:val="009D3294"/>
    <w:rsid w:val="009D35EE"/>
    <w:rsid w:val="009D42E7"/>
    <w:rsid w:val="009D49ED"/>
    <w:rsid w:val="009D4A7B"/>
    <w:rsid w:val="009D4F12"/>
    <w:rsid w:val="009D7296"/>
    <w:rsid w:val="009D75EB"/>
    <w:rsid w:val="009D7725"/>
    <w:rsid w:val="009D78C3"/>
    <w:rsid w:val="009E02AF"/>
    <w:rsid w:val="009E07DA"/>
    <w:rsid w:val="009E160F"/>
    <w:rsid w:val="009E1BE8"/>
    <w:rsid w:val="009E2166"/>
    <w:rsid w:val="009E235B"/>
    <w:rsid w:val="009E2DD5"/>
    <w:rsid w:val="009E3869"/>
    <w:rsid w:val="009E3A81"/>
    <w:rsid w:val="009E3BFF"/>
    <w:rsid w:val="009E439C"/>
    <w:rsid w:val="009E5AC4"/>
    <w:rsid w:val="009E6096"/>
    <w:rsid w:val="009E6A48"/>
    <w:rsid w:val="009E6A73"/>
    <w:rsid w:val="009E6C36"/>
    <w:rsid w:val="009E7641"/>
    <w:rsid w:val="009F0D9B"/>
    <w:rsid w:val="009F3359"/>
    <w:rsid w:val="009F3A36"/>
    <w:rsid w:val="009F3F48"/>
    <w:rsid w:val="009F52FA"/>
    <w:rsid w:val="009F6368"/>
    <w:rsid w:val="009F69B8"/>
    <w:rsid w:val="009F725D"/>
    <w:rsid w:val="009F76A8"/>
    <w:rsid w:val="009F78B1"/>
    <w:rsid w:val="009F7B6E"/>
    <w:rsid w:val="00A00795"/>
    <w:rsid w:val="00A00D80"/>
    <w:rsid w:val="00A010F7"/>
    <w:rsid w:val="00A0177A"/>
    <w:rsid w:val="00A01A75"/>
    <w:rsid w:val="00A04420"/>
    <w:rsid w:val="00A04488"/>
    <w:rsid w:val="00A04CEC"/>
    <w:rsid w:val="00A04E86"/>
    <w:rsid w:val="00A04F5B"/>
    <w:rsid w:val="00A052F6"/>
    <w:rsid w:val="00A0580B"/>
    <w:rsid w:val="00A05F56"/>
    <w:rsid w:val="00A070D6"/>
    <w:rsid w:val="00A072A3"/>
    <w:rsid w:val="00A0755D"/>
    <w:rsid w:val="00A0790A"/>
    <w:rsid w:val="00A106DC"/>
    <w:rsid w:val="00A10E92"/>
    <w:rsid w:val="00A10EA0"/>
    <w:rsid w:val="00A1226F"/>
    <w:rsid w:val="00A12484"/>
    <w:rsid w:val="00A12735"/>
    <w:rsid w:val="00A12F3F"/>
    <w:rsid w:val="00A13244"/>
    <w:rsid w:val="00A1468E"/>
    <w:rsid w:val="00A15C66"/>
    <w:rsid w:val="00A172DC"/>
    <w:rsid w:val="00A173F4"/>
    <w:rsid w:val="00A17641"/>
    <w:rsid w:val="00A17B6F"/>
    <w:rsid w:val="00A21A30"/>
    <w:rsid w:val="00A21EA6"/>
    <w:rsid w:val="00A22630"/>
    <w:rsid w:val="00A23897"/>
    <w:rsid w:val="00A23A90"/>
    <w:rsid w:val="00A23DF0"/>
    <w:rsid w:val="00A2471F"/>
    <w:rsid w:val="00A24F48"/>
    <w:rsid w:val="00A25923"/>
    <w:rsid w:val="00A25C8C"/>
    <w:rsid w:val="00A25D30"/>
    <w:rsid w:val="00A25FC1"/>
    <w:rsid w:val="00A26356"/>
    <w:rsid w:val="00A2641E"/>
    <w:rsid w:val="00A26661"/>
    <w:rsid w:val="00A26ADA"/>
    <w:rsid w:val="00A26D3E"/>
    <w:rsid w:val="00A27EF0"/>
    <w:rsid w:val="00A304CB"/>
    <w:rsid w:val="00A30B55"/>
    <w:rsid w:val="00A31364"/>
    <w:rsid w:val="00A32D1B"/>
    <w:rsid w:val="00A3321C"/>
    <w:rsid w:val="00A334E1"/>
    <w:rsid w:val="00A3371D"/>
    <w:rsid w:val="00A339BC"/>
    <w:rsid w:val="00A346FE"/>
    <w:rsid w:val="00A34F6D"/>
    <w:rsid w:val="00A355C0"/>
    <w:rsid w:val="00A356A1"/>
    <w:rsid w:val="00A356C2"/>
    <w:rsid w:val="00A35A77"/>
    <w:rsid w:val="00A36208"/>
    <w:rsid w:val="00A36DAF"/>
    <w:rsid w:val="00A3726B"/>
    <w:rsid w:val="00A40259"/>
    <w:rsid w:val="00A4060F"/>
    <w:rsid w:val="00A40BEE"/>
    <w:rsid w:val="00A41843"/>
    <w:rsid w:val="00A418E0"/>
    <w:rsid w:val="00A41FB8"/>
    <w:rsid w:val="00A4392D"/>
    <w:rsid w:val="00A43ABE"/>
    <w:rsid w:val="00A44B84"/>
    <w:rsid w:val="00A44FB7"/>
    <w:rsid w:val="00A4522B"/>
    <w:rsid w:val="00A4565F"/>
    <w:rsid w:val="00A45BD0"/>
    <w:rsid w:val="00A460AD"/>
    <w:rsid w:val="00A47004"/>
    <w:rsid w:val="00A47B5E"/>
    <w:rsid w:val="00A47C5A"/>
    <w:rsid w:val="00A47F42"/>
    <w:rsid w:val="00A508EF"/>
    <w:rsid w:val="00A50EF6"/>
    <w:rsid w:val="00A51B6C"/>
    <w:rsid w:val="00A51FEF"/>
    <w:rsid w:val="00A526D2"/>
    <w:rsid w:val="00A52F9D"/>
    <w:rsid w:val="00A530CC"/>
    <w:rsid w:val="00A53289"/>
    <w:rsid w:val="00A53439"/>
    <w:rsid w:val="00A5404D"/>
    <w:rsid w:val="00A5451C"/>
    <w:rsid w:val="00A54623"/>
    <w:rsid w:val="00A5472C"/>
    <w:rsid w:val="00A54D59"/>
    <w:rsid w:val="00A566A4"/>
    <w:rsid w:val="00A56A4E"/>
    <w:rsid w:val="00A57023"/>
    <w:rsid w:val="00A57417"/>
    <w:rsid w:val="00A57587"/>
    <w:rsid w:val="00A6032A"/>
    <w:rsid w:val="00A61374"/>
    <w:rsid w:val="00A6144D"/>
    <w:rsid w:val="00A61FED"/>
    <w:rsid w:val="00A621D8"/>
    <w:rsid w:val="00A62237"/>
    <w:rsid w:val="00A63646"/>
    <w:rsid w:val="00A64B38"/>
    <w:rsid w:val="00A67990"/>
    <w:rsid w:val="00A7074B"/>
    <w:rsid w:val="00A7089F"/>
    <w:rsid w:val="00A70B44"/>
    <w:rsid w:val="00A73434"/>
    <w:rsid w:val="00A740A5"/>
    <w:rsid w:val="00A741B7"/>
    <w:rsid w:val="00A74457"/>
    <w:rsid w:val="00A746B2"/>
    <w:rsid w:val="00A75596"/>
    <w:rsid w:val="00A75725"/>
    <w:rsid w:val="00A76CE6"/>
    <w:rsid w:val="00A76EF5"/>
    <w:rsid w:val="00A77380"/>
    <w:rsid w:val="00A77492"/>
    <w:rsid w:val="00A77843"/>
    <w:rsid w:val="00A779AA"/>
    <w:rsid w:val="00A779DC"/>
    <w:rsid w:val="00A800E4"/>
    <w:rsid w:val="00A8052C"/>
    <w:rsid w:val="00A80E0A"/>
    <w:rsid w:val="00A811C7"/>
    <w:rsid w:val="00A811F1"/>
    <w:rsid w:val="00A81F01"/>
    <w:rsid w:val="00A81F12"/>
    <w:rsid w:val="00A828BD"/>
    <w:rsid w:val="00A8295C"/>
    <w:rsid w:val="00A82B61"/>
    <w:rsid w:val="00A83122"/>
    <w:rsid w:val="00A832B2"/>
    <w:rsid w:val="00A83729"/>
    <w:rsid w:val="00A83C57"/>
    <w:rsid w:val="00A842EE"/>
    <w:rsid w:val="00A84526"/>
    <w:rsid w:val="00A845EF"/>
    <w:rsid w:val="00A846F6"/>
    <w:rsid w:val="00A849C8"/>
    <w:rsid w:val="00A869E0"/>
    <w:rsid w:val="00A86EA4"/>
    <w:rsid w:val="00A87747"/>
    <w:rsid w:val="00A879A9"/>
    <w:rsid w:val="00A879E7"/>
    <w:rsid w:val="00A87AAF"/>
    <w:rsid w:val="00A87DC2"/>
    <w:rsid w:val="00A90EC0"/>
    <w:rsid w:val="00A912C4"/>
    <w:rsid w:val="00A91855"/>
    <w:rsid w:val="00A9208D"/>
    <w:rsid w:val="00A92130"/>
    <w:rsid w:val="00A924FE"/>
    <w:rsid w:val="00A92D03"/>
    <w:rsid w:val="00A937C1"/>
    <w:rsid w:val="00A9390B"/>
    <w:rsid w:val="00A93C6D"/>
    <w:rsid w:val="00A94AF2"/>
    <w:rsid w:val="00A95A3B"/>
    <w:rsid w:val="00A95EAC"/>
    <w:rsid w:val="00A96112"/>
    <w:rsid w:val="00A96186"/>
    <w:rsid w:val="00A970CE"/>
    <w:rsid w:val="00AA027A"/>
    <w:rsid w:val="00AA0338"/>
    <w:rsid w:val="00AA1004"/>
    <w:rsid w:val="00AA19F6"/>
    <w:rsid w:val="00AA1F1C"/>
    <w:rsid w:val="00AA22B8"/>
    <w:rsid w:val="00AA2828"/>
    <w:rsid w:val="00AA29FA"/>
    <w:rsid w:val="00AA2E8F"/>
    <w:rsid w:val="00AA3566"/>
    <w:rsid w:val="00AA3A2D"/>
    <w:rsid w:val="00AA4E19"/>
    <w:rsid w:val="00AA4FD5"/>
    <w:rsid w:val="00AA5820"/>
    <w:rsid w:val="00AA5C95"/>
    <w:rsid w:val="00AA5E71"/>
    <w:rsid w:val="00AA60F6"/>
    <w:rsid w:val="00AA61AE"/>
    <w:rsid w:val="00AA643C"/>
    <w:rsid w:val="00AA66B7"/>
    <w:rsid w:val="00AA6988"/>
    <w:rsid w:val="00AA6DA7"/>
    <w:rsid w:val="00AA760A"/>
    <w:rsid w:val="00AB0371"/>
    <w:rsid w:val="00AB0C46"/>
    <w:rsid w:val="00AB123E"/>
    <w:rsid w:val="00AB1712"/>
    <w:rsid w:val="00AB1DD0"/>
    <w:rsid w:val="00AB23EF"/>
    <w:rsid w:val="00AB2672"/>
    <w:rsid w:val="00AB2D89"/>
    <w:rsid w:val="00AB2E39"/>
    <w:rsid w:val="00AB3346"/>
    <w:rsid w:val="00AB3540"/>
    <w:rsid w:val="00AB38B9"/>
    <w:rsid w:val="00AB3E59"/>
    <w:rsid w:val="00AB3F0A"/>
    <w:rsid w:val="00AB4E8F"/>
    <w:rsid w:val="00AB656B"/>
    <w:rsid w:val="00AB6995"/>
    <w:rsid w:val="00AB6EA2"/>
    <w:rsid w:val="00AB7813"/>
    <w:rsid w:val="00AB7C3C"/>
    <w:rsid w:val="00AC0735"/>
    <w:rsid w:val="00AC14E3"/>
    <w:rsid w:val="00AC169A"/>
    <w:rsid w:val="00AC192C"/>
    <w:rsid w:val="00AC1D6D"/>
    <w:rsid w:val="00AC2031"/>
    <w:rsid w:val="00AC292E"/>
    <w:rsid w:val="00AC2AC3"/>
    <w:rsid w:val="00AC2C4F"/>
    <w:rsid w:val="00AC2F72"/>
    <w:rsid w:val="00AC3001"/>
    <w:rsid w:val="00AC31FD"/>
    <w:rsid w:val="00AC3A0B"/>
    <w:rsid w:val="00AC3A3E"/>
    <w:rsid w:val="00AC4120"/>
    <w:rsid w:val="00AC4FBD"/>
    <w:rsid w:val="00AC5849"/>
    <w:rsid w:val="00AC5992"/>
    <w:rsid w:val="00AC7149"/>
    <w:rsid w:val="00AC775B"/>
    <w:rsid w:val="00AC7A60"/>
    <w:rsid w:val="00AC7BBA"/>
    <w:rsid w:val="00AC7C89"/>
    <w:rsid w:val="00AD0228"/>
    <w:rsid w:val="00AD0759"/>
    <w:rsid w:val="00AD0963"/>
    <w:rsid w:val="00AD0A53"/>
    <w:rsid w:val="00AD0EB2"/>
    <w:rsid w:val="00AD1747"/>
    <w:rsid w:val="00AD1ED6"/>
    <w:rsid w:val="00AD1FA7"/>
    <w:rsid w:val="00AD2603"/>
    <w:rsid w:val="00AD2FD6"/>
    <w:rsid w:val="00AD3F86"/>
    <w:rsid w:val="00AD3FEC"/>
    <w:rsid w:val="00AD436B"/>
    <w:rsid w:val="00AD4669"/>
    <w:rsid w:val="00AD48A7"/>
    <w:rsid w:val="00AD4D89"/>
    <w:rsid w:val="00AD5B41"/>
    <w:rsid w:val="00AD5BE4"/>
    <w:rsid w:val="00AD6007"/>
    <w:rsid w:val="00AD6C79"/>
    <w:rsid w:val="00AD7D74"/>
    <w:rsid w:val="00AD7DAC"/>
    <w:rsid w:val="00AE0069"/>
    <w:rsid w:val="00AE0369"/>
    <w:rsid w:val="00AE03D8"/>
    <w:rsid w:val="00AE0C02"/>
    <w:rsid w:val="00AE3346"/>
    <w:rsid w:val="00AE3B11"/>
    <w:rsid w:val="00AE3CE8"/>
    <w:rsid w:val="00AE3E87"/>
    <w:rsid w:val="00AE41F0"/>
    <w:rsid w:val="00AE431C"/>
    <w:rsid w:val="00AE4FA1"/>
    <w:rsid w:val="00AE7278"/>
    <w:rsid w:val="00AE75E7"/>
    <w:rsid w:val="00AE7799"/>
    <w:rsid w:val="00AE7E07"/>
    <w:rsid w:val="00AF089B"/>
    <w:rsid w:val="00AF123C"/>
    <w:rsid w:val="00AF2C52"/>
    <w:rsid w:val="00AF3057"/>
    <w:rsid w:val="00AF3412"/>
    <w:rsid w:val="00AF34DB"/>
    <w:rsid w:val="00AF3B6C"/>
    <w:rsid w:val="00AF4359"/>
    <w:rsid w:val="00AF520E"/>
    <w:rsid w:val="00AF547D"/>
    <w:rsid w:val="00AF5634"/>
    <w:rsid w:val="00AF56A5"/>
    <w:rsid w:val="00AF5EEE"/>
    <w:rsid w:val="00AF6360"/>
    <w:rsid w:val="00AF758F"/>
    <w:rsid w:val="00AF759D"/>
    <w:rsid w:val="00AF76A5"/>
    <w:rsid w:val="00AF7EBA"/>
    <w:rsid w:val="00B00A4C"/>
    <w:rsid w:val="00B00C7E"/>
    <w:rsid w:val="00B00E48"/>
    <w:rsid w:val="00B00ED2"/>
    <w:rsid w:val="00B019EB"/>
    <w:rsid w:val="00B01D56"/>
    <w:rsid w:val="00B028C3"/>
    <w:rsid w:val="00B02912"/>
    <w:rsid w:val="00B0311A"/>
    <w:rsid w:val="00B04114"/>
    <w:rsid w:val="00B04119"/>
    <w:rsid w:val="00B04963"/>
    <w:rsid w:val="00B049F9"/>
    <w:rsid w:val="00B05AD1"/>
    <w:rsid w:val="00B05B82"/>
    <w:rsid w:val="00B06DDF"/>
    <w:rsid w:val="00B071A8"/>
    <w:rsid w:val="00B0779C"/>
    <w:rsid w:val="00B07B66"/>
    <w:rsid w:val="00B1056D"/>
    <w:rsid w:val="00B111FC"/>
    <w:rsid w:val="00B114BA"/>
    <w:rsid w:val="00B13668"/>
    <w:rsid w:val="00B136CC"/>
    <w:rsid w:val="00B13A63"/>
    <w:rsid w:val="00B1511C"/>
    <w:rsid w:val="00B15996"/>
    <w:rsid w:val="00B15E54"/>
    <w:rsid w:val="00B1605D"/>
    <w:rsid w:val="00B17624"/>
    <w:rsid w:val="00B17805"/>
    <w:rsid w:val="00B17913"/>
    <w:rsid w:val="00B17C59"/>
    <w:rsid w:val="00B17FC5"/>
    <w:rsid w:val="00B20693"/>
    <w:rsid w:val="00B20B00"/>
    <w:rsid w:val="00B20F38"/>
    <w:rsid w:val="00B21765"/>
    <w:rsid w:val="00B21963"/>
    <w:rsid w:val="00B21E05"/>
    <w:rsid w:val="00B22802"/>
    <w:rsid w:val="00B231C1"/>
    <w:rsid w:val="00B232FD"/>
    <w:rsid w:val="00B238B4"/>
    <w:rsid w:val="00B23EF1"/>
    <w:rsid w:val="00B2489A"/>
    <w:rsid w:val="00B25213"/>
    <w:rsid w:val="00B25271"/>
    <w:rsid w:val="00B26551"/>
    <w:rsid w:val="00B27D6B"/>
    <w:rsid w:val="00B30017"/>
    <w:rsid w:val="00B3062F"/>
    <w:rsid w:val="00B30F33"/>
    <w:rsid w:val="00B31032"/>
    <w:rsid w:val="00B312DE"/>
    <w:rsid w:val="00B3147B"/>
    <w:rsid w:val="00B315D4"/>
    <w:rsid w:val="00B316AC"/>
    <w:rsid w:val="00B31BD5"/>
    <w:rsid w:val="00B31EE6"/>
    <w:rsid w:val="00B3275B"/>
    <w:rsid w:val="00B32FCC"/>
    <w:rsid w:val="00B3322E"/>
    <w:rsid w:val="00B345A5"/>
    <w:rsid w:val="00B345BE"/>
    <w:rsid w:val="00B34F2B"/>
    <w:rsid w:val="00B35E3C"/>
    <w:rsid w:val="00B36595"/>
    <w:rsid w:val="00B368B0"/>
    <w:rsid w:val="00B37861"/>
    <w:rsid w:val="00B37899"/>
    <w:rsid w:val="00B37A71"/>
    <w:rsid w:val="00B37C06"/>
    <w:rsid w:val="00B37C82"/>
    <w:rsid w:val="00B41380"/>
    <w:rsid w:val="00B4156D"/>
    <w:rsid w:val="00B42778"/>
    <w:rsid w:val="00B42BD7"/>
    <w:rsid w:val="00B42C08"/>
    <w:rsid w:val="00B43442"/>
    <w:rsid w:val="00B44AF6"/>
    <w:rsid w:val="00B463F4"/>
    <w:rsid w:val="00B47E15"/>
    <w:rsid w:val="00B50428"/>
    <w:rsid w:val="00B50590"/>
    <w:rsid w:val="00B50A07"/>
    <w:rsid w:val="00B51323"/>
    <w:rsid w:val="00B51604"/>
    <w:rsid w:val="00B516AE"/>
    <w:rsid w:val="00B51856"/>
    <w:rsid w:val="00B523A1"/>
    <w:rsid w:val="00B52F90"/>
    <w:rsid w:val="00B530AB"/>
    <w:rsid w:val="00B54080"/>
    <w:rsid w:val="00B557E2"/>
    <w:rsid w:val="00B55C31"/>
    <w:rsid w:val="00B56157"/>
    <w:rsid w:val="00B56CD4"/>
    <w:rsid w:val="00B57B61"/>
    <w:rsid w:val="00B57F91"/>
    <w:rsid w:val="00B601E2"/>
    <w:rsid w:val="00B60370"/>
    <w:rsid w:val="00B6055E"/>
    <w:rsid w:val="00B61B8F"/>
    <w:rsid w:val="00B6281F"/>
    <w:rsid w:val="00B629D8"/>
    <w:rsid w:val="00B631E5"/>
    <w:rsid w:val="00B63389"/>
    <w:rsid w:val="00B634AF"/>
    <w:rsid w:val="00B63D9C"/>
    <w:rsid w:val="00B64996"/>
    <w:rsid w:val="00B665BF"/>
    <w:rsid w:val="00B67436"/>
    <w:rsid w:val="00B67ADE"/>
    <w:rsid w:val="00B70569"/>
    <w:rsid w:val="00B70804"/>
    <w:rsid w:val="00B708AB"/>
    <w:rsid w:val="00B70D04"/>
    <w:rsid w:val="00B70E8E"/>
    <w:rsid w:val="00B71345"/>
    <w:rsid w:val="00B7181C"/>
    <w:rsid w:val="00B727AC"/>
    <w:rsid w:val="00B72874"/>
    <w:rsid w:val="00B73B39"/>
    <w:rsid w:val="00B73B57"/>
    <w:rsid w:val="00B74535"/>
    <w:rsid w:val="00B74DE9"/>
    <w:rsid w:val="00B7529B"/>
    <w:rsid w:val="00B7581A"/>
    <w:rsid w:val="00B758A3"/>
    <w:rsid w:val="00B75A5E"/>
    <w:rsid w:val="00B76313"/>
    <w:rsid w:val="00B764CC"/>
    <w:rsid w:val="00B765B7"/>
    <w:rsid w:val="00B765D5"/>
    <w:rsid w:val="00B770F3"/>
    <w:rsid w:val="00B77180"/>
    <w:rsid w:val="00B774EB"/>
    <w:rsid w:val="00B77866"/>
    <w:rsid w:val="00B77BA1"/>
    <w:rsid w:val="00B80C45"/>
    <w:rsid w:val="00B80D42"/>
    <w:rsid w:val="00B81151"/>
    <w:rsid w:val="00B8290B"/>
    <w:rsid w:val="00B83089"/>
    <w:rsid w:val="00B83251"/>
    <w:rsid w:val="00B83D53"/>
    <w:rsid w:val="00B8425C"/>
    <w:rsid w:val="00B84CBF"/>
    <w:rsid w:val="00B8531C"/>
    <w:rsid w:val="00B8532E"/>
    <w:rsid w:val="00B863D2"/>
    <w:rsid w:val="00B86AAA"/>
    <w:rsid w:val="00B86B49"/>
    <w:rsid w:val="00B86E40"/>
    <w:rsid w:val="00B86EAD"/>
    <w:rsid w:val="00B87550"/>
    <w:rsid w:val="00B87808"/>
    <w:rsid w:val="00B87A1E"/>
    <w:rsid w:val="00B87ECD"/>
    <w:rsid w:val="00B90436"/>
    <w:rsid w:val="00B90D93"/>
    <w:rsid w:val="00B90EEF"/>
    <w:rsid w:val="00B924F7"/>
    <w:rsid w:val="00B92553"/>
    <w:rsid w:val="00B929F5"/>
    <w:rsid w:val="00B92E8F"/>
    <w:rsid w:val="00B939EF"/>
    <w:rsid w:val="00B93B26"/>
    <w:rsid w:val="00B93F76"/>
    <w:rsid w:val="00B94696"/>
    <w:rsid w:val="00B94BFF"/>
    <w:rsid w:val="00B94E16"/>
    <w:rsid w:val="00B951E3"/>
    <w:rsid w:val="00B97096"/>
    <w:rsid w:val="00B97BEA"/>
    <w:rsid w:val="00B97DAB"/>
    <w:rsid w:val="00B97E15"/>
    <w:rsid w:val="00B97F85"/>
    <w:rsid w:val="00BA008D"/>
    <w:rsid w:val="00BA068A"/>
    <w:rsid w:val="00BA086C"/>
    <w:rsid w:val="00BA09AF"/>
    <w:rsid w:val="00BA1587"/>
    <w:rsid w:val="00BA29EB"/>
    <w:rsid w:val="00BA2DA8"/>
    <w:rsid w:val="00BA322B"/>
    <w:rsid w:val="00BA378F"/>
    <w:rsid w:val="00BA3B49"/>
    <w:rsid w:val="00BA3F4F"/>
    <w:rsid w:val="00BA4108"/>
    <w:rsid w:val="00BA4B3E"/>
    <w:rsid w:val="00BA53C7"/>
    <w:rsid w:val="00BA545E"/>
    <w:rsid w:val="00BA589D"/>
    <w:rsid w:val="00BA5D9C"/>
    <w:rsid w:val="00BA6471"/>
    <w:rsid w:val="00BA6589"/>
    <w:rsid w:val="00BA6C70"/>
    <w:rsid w:val="00BA6FE3"/>
    <w:rsid w:val="00BB0768"/>
    <w:rsid w:val="00BB0806"/>
    <w:rsid w:val="00BB09B8"/>
    <w:rsid w:val="00BB0BA5"/>
    <w:rsid w:val="00BB1356"/>
    <w:rsid w:val="00BB1388"/>
    <w:rsid w:val="00BB1436"/>
    <w:rsid w:val="00BB1443"/>
    <w:rsid w:val="00BB1C44"/>
    <w:rsid w:val="00BB1CED"/>
    <w:rsid w:val="00BB1D2A"/>
    <w:rsid w:val="00BB3F05"/>
    <w:rsid w:val="00BB4665"/>
    <w:rsid w:val="00BB50F2"/>
    <w:rsid w:val="00BB54D5"/>
    <w:rsid w:val="00BB5B99"/>
    <w:rsid w:val="00BB5F5D"/>
    <w:rsid w:val="00BB60BC"/>
    <w:rsid w:val="00BB6346"/>
    <w:rsid w:val="00BB6390"/>
    <w:rsid w:val="00BB7A3E"/>
    <w:rsid w:val="00BC04F8"/>
    <w:rsid w:val="00BC0916"/>
    <w:rsid w:val="00BC0F5C"/>
    <w:rsid w:val="00BC1219"/>
    <w:rsid w:val="00BC128E"/>
    <w:rsid w:val="00BC1626"/>
    <w:rsid w:val="00BC1A5D"/>
    <w:rsid w:val="00BC1F86"/>
    <w:rsid w:val="00BC28BE"/>
    <w:rsid w:val="00BC3A9E"/>
    <w:rsid w:val="00BC3AA8"/>
    <w:rsid w:val="00BC3C29"/>
    <w:rsid w:val="00BC431A"/>
    <w:rsid w:val="00BC4F1E"/>
    <w:rsid w:val="00BC631B"/>
    <w:rsid w:val="00BC639A"/>
    <w:rsid w:val="00BC6713"/>
    <w:rsid w:val="00BC70F0"/>
    <w:rsid w:val="00BC7539"/>
    <w:rsid w:val="00BC75E7"/>
    <w:rsid w:val="00BC78AE"/>
    <w:rsid w:val="00BC78F0"/>
    <w:rsid w:val="00BD0474"/>
    <w:rsid w:val="00BD070D"/>
    <w:rsid w:val="00BD0843"/>
    <w:rsid w:val="00BD0E25"/>
    <w:rsid w:val="00BD19EF"/>
    <w:rsid w:val="00BD1E32"/>
    <w:rsid w:val="00BD1F6E"/>
    <w:rsid w:val="00BD2119"/>
    <w:rsid w:val="00BD23FC"/>
    <w:rsid w:val="00BD32CA"/>
    <w:rsid w:val="00BD5EDF"/>
    <w:rsid w:val="00BD6265"/>
    <w:rsid w:val="00BD629E"/>
    <w:rsid w:val="00BD6BE8"/>
    <w:rsid w:val="00BD739F"/>
    <w:rsid w:val="00BD7856"/>
    <w:rsid w:val="00BD7C3A"/>
    <w:rsid w:val="00BD7DFC"/>
    <w:rsid w:val="00BE067D"/>
    <w:rsid w:val="00BE0BB1"/>
    <w:rsid w:val="00BE19E0"/>
    <w:rsid w:val="00BE1CB3"/>
    <w:rsid w:val="00BE21F3"/>
    <w:rsid w:val="00BE2969"/>
    <w:rsid w:val="00BE2E01"/>
    <w:rsid w:val="00BE2F11"/>
    <w:rsid w:val="00BE39F4"/>
    <w:rsid w:val="00BE42EF"/>
    <w:rsid w:val="00BE49D8"/>
    <w:rsid w:val="00BE4BB7"/>
    <w:rsid w:val="00BE55CF"/>
    <w:rsid w:val="00BE5F1A"/>
    <w:rsid w:val="00BE7799"/>
    <w:rsid w:val="00BE7BB3"/>
    <w:rsid w:val="00BF00AF"/>
    <w:rsid w:val="00BF0557"/>
    <w:rsid w:val="00BF05E2"/>
    <w:rsid w:val="00BF08A6"/>
    <w:rsid w:val="00BF1372"/>
    <w:rsid w:val="00BF1712"/>
    <w:rsid w:val="00BF1FB1"/>
    <w:rsid w:val="00BF23A4"/>
    <w:rsid w:val="00BF23F2"/>
    <w:rsid w:val="00BF2BA8"/>
    <w:rsid w:val="00BF31DF"/>
    <w:rsid w:val="00BF33DE"/>
    <w:rsid w:val="00BF4506"/>
    <w:rsid w:val="00BF4B04"/>
    <w:rsid w:val="00BF4B1F"/>
    <w:rsid w:val="00BF557A"/>
    <w:rsid w:val="00BF5BC3"/>
    <w:rsid w:val="00BF6AB5"/>
    <w:rsid w:val="00C00031"/>
    <w:rsid w:val="00C005E8"/>
    <w:rsid w:val="00C0077A"/>
    <w:rsid w:val="00C01184"/>
    <w:rsid w:val="00C01658"/>
    <w:rsid w:val="00C01EC4"/>
    <w:rsid w:val="00C0211C"/>
    <w:rsid w:val="00C037B1"/>
    <w:rsid w:val="00C03BE3"/>
    <w:rsid w:val="00C04071"/>
    <w:rsid w:val="00C05249"/>
    <w:rsid w:val="00C052C4"/>
    <w:rsid w:val="00C05E67"/>
    <w:rsid w:val="00C0601C"/>
    <w:rsid w:val="00C0620C"/>
    <w:rsid w:val="00C06246"/>
    <w:rsid w:val="00C062C5"/>
    <w:rsid w:val="00C062E7"/>
    <w:rsid w:val="00C06360"/>
    <w:rsid w:val="00C069AE"/>
    <w:rsid w:val="00C07401"/>
    <w:rsid w:val="00C077CE"/>
    <w:rsid w:val="00C078BC"/>
    <w:rsid w:val="00C07B15"/>
    <w:rsid w:val="00C07C33"/>
    <w:rsid w:val="00C102A1"/>
    <w:rsid w:val="00C10493"/>
    <w:rsid w:val="00C107FF"/>
    <w:rsid w:val="00C10BEC"/>
    <w:rsid w:val="00C11539"/>
    <w:rsid w:val="00C11E97"/>
    <w:rsid w:val="00C124AE"/>
    <w:rsid w:val="00C1416D"/>
    <w:rsid w:val="00C14202"/>
    <w:rsid w:val="00C144BE"/>
    <w:rsid w:val="00C147B3"/>
    <w:rsid w:val="00C14AF0"/>
    <w:rsid w:val="00C14DAF"/>
    <w:rsid w:val="00C14EE5"/>
    <w:rsid w:val="00C15DBE"/>
    <w:rsid w:val="00C166DD"/>
    <w:rsid w:val="00C16732"/>
    <w:rsid w:val="00C16DB8"/>
    <w:rsid w:val="00C16EEB"/>
    <w:rsid w:val="00C170DE"/>
    <w:rsid w:val="00C17237"/>
    <w:rsid w:val="00C17379"/>
    <w:rsid w:val="00C176EF"/>
    <w:rsid w:val="00C17AC9"/>
    <w:rsid w:val="00C20E54"/>
    <w:rsid w:val="00C21259"/>
    <w:rsid w:val="00C21FF5"/>
    <w:rsid w:val="00C23AA5"/>
    <w:rsid w:val="00C23C9B"/>
    <w:rsid w:val="00C241C7"/>
    <w:rsid w:val="00C2429C"/>
    <w:rsid w:val="00C24428"/>
    <w:rsid w:val="00C246D4"/>
    <w:rsid w:val="00C24B99"/>
    <w:rsid w:val="00C24F74"/>
    <w:rsid w:val="00C25A3F"/>
    <w:rsid w:val="00C25CF5"/>
    <w:rsid w:val="00C274C1"/>
    <w:rsid w:val="00C27901"/>
    <w:rsid w:val="00C300E0"/>
    <w:rsid w:val="00C304A0"/>
    <w:rsid w:val="00C30910"/>
    <w:rsid w:val="00C30DE8"/>
    <w:rsid w:val="00C31C3C"/>
    <w:rsid w:val="00C32361"/>
    <w:rsid w:val="00C331A4"/>
    <w:rsid w:val="00C33280"/>
    <w:rsid w:val="00C333DA"/>
    <w:rsid w:val="00C33F61"/>
    <w:rsid w:val="00C350EF"/>
    <w:rsid w:val="00C35304"/>
    <w:rsid w:val="00C35491"/>
    <w:rsid w:val="00C35991"/>
    <w:rsid w:val="00C35A86"/>
    <w:rsid w:val="00C35B8A"/>
    <w:rsid w:val="00C35EC7"/>
    <w:rsid w:val="00C368B0"/>
    <w:rsid w:val="00C36BEB"/>
    <w:rsid w:val="00C36C7B"/>
    <w:rsid w:val="00C36E16"/>
    <w:rsid w:val="00C371C4"/>
    <w:rsid w:val="00C40056"/>
    <w:rsid w:val="00C40BA6"/>
    <w:rsid w:val="00C40FC9"/>
    <w:rsid w:val="00C41202"/>
    <w:rsid w:val="00C41905"/>
    <w:rsid w:val="00C4280C"/>
    <w:rsid w:val="00C4331B"/>
    <w:rsid w:val="00C434AE"/>
    <w:rsid w:val="00C43FED"/>
    <w:rsid w:val="00C43FF3"/>
    <w:rsid w:val="00C45EBD"/>
    <w:rsid w:val="00C45EC6"/>
    <w:rsid w:val="00C46CA7"/>
    <w:rsid w:val="00C4760F"/>
    <w:rsid w:val="00C502A9"/>
    <w:rsid w:val="00C504EE"/>
    <w:rsid w:val="00C505F5"/>
    <w:rsid w:val="00C5122F"/>
    <w:rsid w:val="00C51B29"/>
    <w:rsid w:val="00C52B71"/>
    <w:rsid w:val="00C52FB6"/>
    <w:rsid w:val="00C5412F"/>
    <w:rsid w:val="00C544C1"/>
    <w:rsid w:val="00C54DD2"/>
    <w:rsid w:val="00C55031"/>
    <w:rsid w:val="00C55F54"/>
    <w:rsid w:val="00C5637D"/>
    <w:rsid w:val="00C567BD"/>
    <w:rsid w:val="00C569DB"/>
    <w:rsid w:val="00C56D0D"/>
    <w:rsid w:val="00C575C6"/>
    <w:rsid w:val="00C600E1"/>
    <w:rsid w:val="00C60125"/>
    <w:rsid w:val="00C604F8"/>
    <w:rsid w:val="00C61236"/>
    <w:rsid w:val="00C61DE4"/>
    <w:rsid w:val="00C624A5"/>
    <w:rsid w:val="00C6289B"/>
    <w:rsid w:val="00C62D5B"/>
    <w:rsid w:val="00C636A9"/>
    <w:rsid w:val="00C63CCD"/>
    <w:rsid w:val="00C64A3C"/>
    <w:rsid w:val="00C66A80"/>
    <w:rsid w:val="00C67F88"/>
    <w:rsid w:val="00C704DA"/>
    <w:rsid w:val="00C706E5"/>
    <w:rsid w:val="00C71614"/>
    <w:rsid w:val="00C7203C"/>
    <w:rsid w:val="00C7215F"/>
    <w:rsid w:val="00C7277B"/>
    <w:rsid w:val="00C72C74"/>
    <w:rsid w:val="00C730FF"/>
    <w:rsid w:val="00C73491"/>
    <w:rsid w:val="00C73F2D"/>
    <w:rsid w:val="00C745E7"/>
    <w:rsid w:val="00C7489D"/>
    <w:rsid w:val="00C7512D"/>
    <w:rsid w:val="00C76DF7"/>
    <w:rsid w:val="00C77D4D"/>
    <w:rsid w:val="00C80501"/>
    <w:rsid w:val="00C806CF"/>
    <w:rsid w:val="00C80B3F"/>
    <w:rsid w:val="00C80C3D"/>
    <w:rsid w:val="00C81CB1"/>
    <w:rsid w:val="00C82C3B"/>
    <w:rsid w:val="00C82C46"/>
    <w:rsid w:val="00C82F37"/>
    <w:rsid w:val="00C83CD5"/>
    <w:rsid w:val="00C849F1"/>
    <w:rsid w:val="00C85DF6"/>
    <w:rsid w:val="00C90106"/>
    <w:rsid w:val="00C90950"/>
    <w:rsid w:val="00C90B0C"/>
    <w:rsid w:val="00C9162D"/>
    <w:rsid w:val="00C929D2"/>
    <w:rsid w:val="00C92A88"/>
    <w:rsid w:val="00C92B94"/>
    <w:rsid w:val="00C92BDE"/>
    <w:rsid w:val="00C92FF1"/>
    <w:rsid w:val="00C93277"/>
    <w:rsid w:val="00C937EC"/>
    <w:rsid w:val="00C93838"/>
    <w:rsid w:val="00C9391E"/>
    <w:rsid w:val="00C93CE4"/>
    <w:rsid w:val="00C9438C"/>
    <w:rsid w:val="00C94A06"/>
    <w:rsid w:val="00C94EFB"/>
    <w:rsid w:val="00C95507"/>
    <w:rsid w:val="00C955C6"/>
    <w:rsid w:val="00C96042"/>
    <w:rsid w:val="00C973A3"/>
    <w:rsid w:val="00CA1671"/>
    <w:rsid w:val="00CA2A74"/>
    <w:rsid w:val="00CA328A"/>
    <w:rsid w:val="00CA3A96"/>
    <w:rsid w:val="00CA3FF2"/>
    <w:rsid w:val="00CA4B22"/>
    <w:rsid w:val="00CA4DD9"/>
    <w:rsid w:val="00CA4DE3"/>
    <w:rsid w:val="00CA4E5D"/>
    <w:rsid w:val="00CA50A8"/>
    <w:rsid w:val="00CA62B6"/>
    <w:rsid w:val="00CA6623"/>
    <w:rsid w:val="00CA6764"/>
    <w:rsid w:val="00CA697F"/>
    <w:rsid w:val="00CA6BED"/>
    <w:rsid w:val="00CA70C1"/>
    <w:rsid w:val="00CA78A0"/>
    <w:rsid w:val="00CB03D4"/>
    <w:rsid w:val="00CB0C59"/>
    <w:rsid w:val="00CB1053"/>
    <w:rsid w:val="00CB12A0"/>
    <w:rsid w:val="00CB2922"/>
    <w:rsid w:val="00CB2D25"/>
    <w:rsid w:val="00CB47D5"/>
    <w:rsid w:val="00CB5734"/>
    <w:rsid w:val="00CB592E"/>
    <w:rsid w:val="00CB5FD5"/>
    <w:rsid w:val="00CB6A92"/>
    <w:rsid w:val="00CB6A95"/>
    <w:rsid w:val="00CC0DAF"/>
    <w:rsid w:val="00CC1861"/>
    <w:rsid w:val="00CC25CE"/>
    <w:rsid w:val="00CC26A1"/>
    <w:rsid w:val="00CC28CC"/>
    <w:rsid w:val="00CC29B1"/>
    <w:rsid w:val="00CC2F3B"/>
    <w:rsid w:val="00CC3B26"/>
    <w:rsid w:val="00CC3F7D"/>
    <w:rsid w:val="00CC4C8C"/>
    <w:rsid w:val="00CC544E"/>
    <w:rsid w:val="00CC5563"/>
    <w:rsid w:val="00CC55F8"/>
    <w:rsid w:val="00CC575E"/>
    <w:rsid w:val="00CC69FD"/>
    <w:rsid w:val="00CC6C78"/>
    <w:rsid w:val="00CC6F3B"/>
    <w:rsid w:val="00CC700A"/>
    <w:rsid w:val="00CD1431"/>
    <w:rsid w:val="00CD189F"/>
    <w:rsid w:val="00CD223F"/>
    <w:rsid w:val="00CD2FD1"/>
    <w:rsid w:val="00CD3530"/>
    <w:rsid w:val="00CD3CE1"/>
    <w:rsid w:val="00CD4504"/>
    <w:rsid w:val="00CD471F"/>
    <w:rsid w:val="00CD4DC0"/>
    <w:rsid w:val="00CD57DD"/>
    <w:rsid w:val="00CD57E3"/>
    <w:rsid w:val="00CD5915"/>
    <w:rsid w:val="00CD5D56"/>
    <w:rsid w:val="00CD7527"/>
    <w:rsid w:val="00CD7B0E"/>
    <w:rsid w:val="00CD7E87"/>
    <w:rsid w:val="00CE0420"/>
    <w:rsid w:val="00CE0838"/>
    <w:rsid w:val="00CE1F1E"/>
    <w:rsid w:val="00CE2A54"/>
    <w:rsid w:val="00CE3398"/>
    <w:rsid w:val="00CE3BC5"/>
    <w:rsid w:val="00CE454B"/>
    <w:rsid w:val="00CE5719"/>
    <w:rsid w:val="00CE577F"/>
    <w:rsid w:val="00CE5C4C"/>
    <w:rsid w:val="00CE5DA9"/>
    <w:rsid w:val="00CE62E7"/>
    <w:rsid w:val="00CE6434"/>
    <w:rsid w:val="00CE6F3C"/>
    <w:rsid w:val="00CE7028"/>
    <w:rsid w:val="00CE7193"/>
    <w:rsid w:val="00CE757F"/>
    <w:rsid w:val="00CE7679"/>
    <w:rsid w:val="00CE7CD8"/>
    <w:rsid w:val="00CF1190"/>
    <w:rsid w:val="00CF1804"/>
    <w:rsid w:val="00CF19CF"/>
    <w:rsid w:val="00CF1F90"/>
    <w:rsid w:val="00CF2107"/>
    <w:rsid w:val="00CF2736"/>
    <w:rsid w:val="00CF2B00"/>
    <w:rsid w:val="00CF3A47"/>
    <w:rsid w:val="00CF3BFB"/>
    <w:rsid w:val="00CF4529"/>
    <w:rsid w:val="00CF573F"/>
    <w:rsid w:val="00CF5AA0"/>
    <w:rsid w:val="00CF5E53"/>
    <w:rsid w:val="00CF6022"/>
    <w:rsid w:val="00CF6758"/>
    <w:rsid w:val="00CF678F"/>
    <w:rsid w:val="00CF6D64"/>
    <w:rsid w:val="00CF72B5"/>
    <w:rsid w:val="00CF7555"/>
    <w:rsid w:val="00CF7DF6"/>
    <w:rsid w:val="00CF7DF7"/>
    <w:rsid w:val="00D0032B"/>
    <w:rsid w:val="00D004E0"/>
    <w:rsid w:val="00D008C8"/>
    <w:rsid w:val="00D015F1"/>
    <w:rsid w:val="00D01AB7"/>
    <w:rsid w:val="00D02345"/>
    <w:rsid w:val="00D0246E"/>
    <w:rsid w:val="00D03B9F"/>
    <w:rsid w:val="00D042BC"/>
    <w:rsid w:val="00D04352"/>
    <w:rsid w:val="00D04418"/>
    <w:rsid w:val="00D04AAA"/>
    <w:rsid w:val="00D052FE"/>
    <w:rsid w:val="00D0547C"/>
    <w:rsid w:val="00D054E5"/>
    <w:rsid w:val="00D077A1"/>
    <w:rsid w:val="00D07B92"/>
    <w:rsid w:val="00D07D7A"/>
    <w:rsid w:val="00D102BA"/>
    <w:rsid w:val="00D10F00"/>
    <w:rsid w:val="00D10F3F"/>
    <w:rsid w:val="00D10FFB"/>
    <w:rsid w:val="00D11002"/>
    <w:rsid w:val="00D11BB9"/>
    <w:rsid w:val="00D11FBB"/>
    <w:rsid w:val="00D124F6"/>
    <w:rsid w:val="00D126A2"/>
    <w:rsid w:val="00D129AC"/>
    <w:rsid w:val="00D139ED"/>
    <w:rsid w:val="00D13A31"/>
    <w:rsid w:val="00D13FE7"/>
    <w:rsid w:val="00D14B20"/>
    <w:rsid w:val="00D15484"/>
    <w:rsid w:val="00D15819"/>
    <w:rsid w:val="00D15A6B"/>
    <w:rsid w:val="00D16505"/>
    <w:rsid w:val="00D1685D"/>
    <w:rsid w:val="00D17454"/>
    <w:rsid w:val="00D203B7"/>
    <w:rsid w:val="00D209B6"/>
    <w:rsid w:val="00D20D3E"/>
    <w:rsid w:val="00D220AC"/>
    <w:rsid w:val="00D22DB2"/>
    <w:rsid w:val="00D23E11"/>
    <w:rsid w:val="00D265A8"/>
    <w:rsid w:val="00D2688D"/>
    <w:rsid w:val="00D26C4A"/>
    <w:rsid w:val="00D276B6"/>
    <w:rsid w:val="00D27725"/>
    <w:rsid w:val="00D303DB"/>
    <w:rsid w:val="00D32C74"/>
    <w:rsid w:val="00D3335A"/>
    <w:rsid w:val="00D33C92"/>
    <w:rsid w:val="00D34005"/>
    <w:rsid w:val="00D348A4"/>
    <w:rsid w:val="00D3546D"/>
    <w:rsid w:val="00D357B1"/>
    <w:rsid w:val="00D367E0"/>
    <w:rsid w:val="00D377BE"/>
    <w:rsid w:val="00D379F6"/>
    <w:rsid w:val="00D401AC"/>
    <w:rsid w:val="00D403D6"/>
    <w:rsid w:val="00D40AE3"/>
    <w:rsid w:val="00D40B30"/>
    <w:rsid w:val="00D416D3"/>
    <w:rsid w:val="00D418EA"/>
    <w:rsid w:val="00D41922"/>
    <w:rsid w:val="00D420A4"/>
    <w:rsid w:val="00D423DE"/>
    <w:rsid w:val="00D43E4B"/>
    <w:rsid w:val="00D447E9"/>
    <w:rsid w:val="00D44817"/>
    <w:rsid w:val="00D44F06"/>
    <w:rsid w:val="00D45292"/>
    <w:rsid w:val="00D456F1"/>
    <w:rsid w:val="00D45A56"/>
    <w:rsid w:val="00D461E9"/>
    <w:rsid w:val="00D46440"/>
    <w:rsid w:val="00D46F1E"/>
    <w:rsid w:val="00D47C35"/>
    <w:rsid w:val="00D507A7"/>
    <w:rsid w:val="00D5091E"/>
    <w:rsid w:val="00D52CC0"/>
    <w:rsid w:val="00D53ED2"/>
    <w:rsid w:val="00D555AB"/>
    <w:rsid w:val="00D55CF0"/>
    <w:rsid w:val="00D561D7"/>
    <w:rsid w:val="00D569AE"/>
    <w:rsid w:val="00D569BF"/>
    <w:rsid w:val="00D56C47"/>
    <w:rsid w:val="00D57526"/>
    <w:rsid w:val="00D57AE4"/>
    <w:rsid w:val="00D6019D"/>
    <w:rsid w:val="00D602B9"/>
    <w:rsid w:val="00D60AEE"/>
    <w:rsid w:val="00D60E2A"/>
    <w:rsid w:val="00D60E31"/>
    <w:rsid w:val="00D61F81"/>
    <w:rsid w:val="00D62720"/>
    <w:rsid w:val="00D62B02"/>
    <w:rsid w:val="00D62C9E"/>
    <w:rsid w:val="00D63270"/>
    <w:rsid w:val="00D63589"/>
    <w:rsid w:val="00D6375C"/>
    <w:rsid w:val="00D64CDF"/>
    <w:rsid w:val="00D64F10"/>
    <w:rsid w:val="00D650A9"/>
    <w:rsid w:val="00D6522E"/>
    <w:rsid w:val="00D656AE"/>
    <w:rsid w:val="00D65FFC"/>
    <w:rsid w:val="00D66099"/>
    <w:rsid w:val="00D66301"/>
    <w:rsid w:val="00D67901"/>
    <w:rsid w:val="00D70186"/>
    <w:rsid w:val="00D717C8"/>
    <w:rsid w:val="00D737D2"/>
    <w:rsid w:val="00D73E4B"/>
    <w:rsid w:val="00D73F0D"/>
    <w:rsid w:val="00D7421C"/>
    <w:rsid w:val="00D745F9"/>
    <w:rsid w:val="00D75320"/>
    <w:rsid w:val="00D75AD9"/>
    <w:rsid w:val="00D764FD"/>
    <w:rsid w:val="00D76B88"/>
    <w:rsid w:val="00D76B9C"/>
    <w:rsid w:val="00D77E14"/>
    <w:rsid w:val="00D77FFA"/>
    <w:rsid w:val="00D80640"/>
    <w:rsid w:val="00D81689"/>
    <w:rsid w:val="00D81DC6"/>
    <w:rsid w:val="00D8248C"/>
    <w:rsid w:val="00D82C9C"/>
    <w:rsid w:val="00D832D1"/>
    <w:rsid w:val="00D83C94"/>
    <w:rsid w:val="00D8417B"/>
    <w:rsid w:val="00D84CB2"/>
    <w:rsid w:val="00D864BF"/>
    <w:rsid w:val="00D869A7"/>
    <w:rsid w:val="00D869EE"/>
    <w:rsid w:val="00D8715B"/>
    <w:rsid w:val="00D87980"/>
    <w:rsid w:val="00D87AC5"/>
    <w:rsid w:val="00D90FE8"/>
    <w:rsid w:val="00D91432"/>
    <w:rsid w:val="00D9159B"/>
    <w:rsid w:val="00D915BA"/>
    <w:rsid w:val="00D91921"/>
    <w:rsid w:val="00D9194E"/>
    <w:rsid w:val="00D919E6"/>
    <w:rsid w:val="00D91D95"/>
    <w:rsid w:val="00D932C4"/>
    <w:rsid w:val="00D934EA"/>
    <w:rsid w:val="00D936AE"/>
    <w:rsid w:val="00D9385E"/>
    <w:rsid w:val="00D93CAA"/>
    <w:rsid w:val="00D94624"/>
    <w:rsid w:val="00D946BA"/>
    <w:rsid w:val="00D95F17"/>
    <w:rsid w:val="00D962ED"/>
    <w:rsid w:val="00D9636D"/>
    <w:rsid w:val="00D96400"/>
    <w:rsid w:val="00D96841"/>
    <w:rsid w:val="00D973D6"/>
    <w:rsid w:val="00D97544"/>
    <w:rsid w:val="00D975DB"/>
    <w:rsid w:val="00D97CDE"/>
    <w:rsid w:val="00DA0BBE"/>
    <w:rsid w:val="00DA1A01"/>
    <w:rsid w:val="00DA2A6F"/>
    <w:rsid w:val="00DA307B"/>
    <w:rsid w:val="00DA3A3A"/>
    <w:rsid w:val="00DA3F74"/>
    <w:rsid w:val="00DA44B7"/>
    <w:rsid w:val="00DA476A"/>
    <w:rsid w:val="00DA47DC"/>
    <w:rsid w:val="00DA6FF2"/>
    <w:rsid w:val="00DA7022"/>
    <w:rsid w:val="00DA7468"/>
    <w:rsid w:val="00DA75CD"/>
    <w:rsid w:val="00DA7BA1"/>
    <w:rsid w:val="00DB0C3F"/>
    <w:rsid w:val="00DB13A5"/>
    <w:rsid w:val="00DB13E9"/>
    <w:rsid w:val="00DB1FA6"/>
    <w:rsid w:val="00DB2864"/>
    <w:rsid w:val="00DB4B7A"/>
    <w:rsid w:val="00DB55C5"/>
    <w:rsid w:val="00DB561A"/>
    <w:rsid w:val="00DB5695"/>
    <w:rsid w:val="00DB5D0D"/>
    <w:rsid w:val="00DB66A0"/>
    <w:rsid w:val="00DB6706"/>
    <w:rsid w:val="00DB6755"/>
    <w:rsid w:val="00DB69A2"/>
    <w:rsid w:val="00DB70A1"/>
    <w:rsid w:val="00DB729E"/>
    <w:rsid w:val="00DB771D"/>
    <w:rsid w:val="00DB7B39"/>
    <w:rsid w:val="00DB7EB4"/>
    <w:rsid w:val="00DC00D6"/>
    <w:rsid w:val="00DC08BA"/>
    <w:rsid w:val="00DC0D80"/>
    <w:rsid w:val="00DC129A"/>
    <w:rsid w:val="00DC1679"/>
    <w:rsid w:val="00DC1C34"/>
    <w:rsid w:val="00DC1C8B"/>
    <w:rsid w:val="00DC23EB"/>
    <w:rsid w:val="00DC3771"/>
    <w:rsid w:val="00DC43C3"/>
    <w:rsid w:val="00DC45A7"/>
    <w:rsid w:val="00DC4950"/>
    <w:rsid w:val="00DC4CAA"/>
    <w:rsid w:val="00DC5A7F"/>
    <w:rsid w:val="00DC6060"/>
    <w:rsid w:val="00DC60B5"/>
    <w:rsid w:val="00DC6673"/>
    <w:rsid w:val="00DC7D3B"/>
    <w:rsid w:val="00DD03C8"/>
    <w:rsid w:val="00DD08D3"/>
    <w:rsid w:val="00DD0A45"/>
    <w:rsid w:val="00DD0C07"/>
    <w:rsid w:val="00DD0E7F"/>
    <w:rsid w:val="00DD113F"/>
    <w:rsid w:val="00DD17CD"/>
    <w:rsid w:val="00DD1F53"/>
    <w:rsid w:val="00DD217E"/>
    <w:rsid w:val="00DD23C3"/>
    <w:rsid w:val="00DD292D"/>
    <w:rsid w:val="00DD2DE4"/>
    <w:rsid w:val="00DD3F82"/>
    <w:rsid w:val="00DD440E"/>
    <w:rsid w:val="00DD4D7F"/>
    <w:rsid w:val="00DD5260"/>
    <w:rsid w:val="00DD5A13"/>
    <w:rsid w:val="00DD5E4A"/>
    <w:rsid w:val="00DD5E99"/>
    <w:rsid w:val="00DD641D"/>
    <w:rsid w:val="00DD6701"/>
    <w:rsid w:val="00DD6E0A"/>
    <w:rsid w:val="00DD6E88"/>
    <w:rsid w:val="00DD6EB5"/>
    <w:rsid w:val="00DD7CA4"/>
    <w:rsid w:val="00DE10B5"/>
    <w:rsid w:val="00DE1B89"/>
    <w:rsid w:val="00DE245D"/>
    <w:rsid w:val="00DE37BA"/>
    <w:rsid w:val="00DE39D8"/>
    <w:rsid w:val="00DE42B9"/>
    <w:rsid w:val="00DE44E1"/>
    <w:rsid w:val="00DE4980"/>
    <w:rsid w:val="00DE4B3E"/>
    <w:rsid w:val="00DE503A"/>
    <w:rsid w:val="00DE5052"/>
    <w:rsid w:val="00DE65E7"/>
    <w:rsid w:val="00DE688A"/>
    <w:rsid w:val="00DE6A4B"/>
    <w:rsid w:val="00DE6BBE"/>
    <w:rsid w:val="00DE6E9C"/>
    <w:rsid w:val="00DF060B"/>
    <w:rsid w:val="00DF097B"/>
    <w:rsid w:val="00DF0CAA"/>
    <w:rsid w:val="00DF1953"/>
    <w:rsid w:val="00DF1F4B"/>
    <w:rsid w:val="00DF22C8"/>
    <w:rsid w:val="00DF3BE1"/>
    <w:rsid w:val="00DF3C63"/>
    <w:rsid w:val="00DF3D4A"/>
    <w:rsid w:val="00DF3D56"/>
    <w:rsid w:val="00DF3E92"/>
    <w:rsid w:val="00DF47A0"/>
    <w:rsid w:val="00DF5997"/>
    <w:rsid w:val="00DF5A17"/>
    <w:rsid w:val="00DF5B20"/>
    <w:rsid w:val="00DF5DA2"/>
    <w:rsid w:val="00DF65D5"/>
    <w:rsid w:val="00DF69AA"/>
    <w:rsid w:val="00DF6AC3"/>
    <w:rsid w:val="00DF6C56"/>
    <w:rsid w:val="00DF7887"/>
    <w:rsid w:val="00DF7EA5"/>
    <w:rsid w:val="00E0097F"/>
    <w:rsid w:val="00E034B7"/>
    <w:rsid w:val="00E03BE8"/>
    <w:rsid w:val="00E05854"/>
    <w:rsid w:val="00E05863"/>
    <w:rsid w:val="00E07100"/>
    <w:rsid w:val="00E07FEE"/>
    <w:rsid w:val="00E100F7"/>
    <w:rsid w:val="00E10564"/>
    <w:rsid w:val="00E106A9"/>
    <w:rsid w:val="00E1096F"/>
    <w:rsid w:val="00E128D7"/>
    <w:rsid w:val="00E13F99"/>
    <w:rsid w:val="00E14704"/>
    <w:rsid w:val="00E14D56"/>
    <w:rsid w:val="00E15F47"/>
    <w:rsid w:val="00E15F5C"/>
    <w:rsid w:val="00E1645B"/>
    <w:rsid w:val="00E1766F"/>
    <w:rsid w:val="00E17D8F"/>
    <w:rsid w:val="00E20564"/>
    <w:rsid w:val="00E20683"/>
    <w:rsid w:val="00E20EE3"/>
    <w:rsid w:val="00E212C8"/>
    <w:rsid w:val="00E212EF"/>
    <w:rsid w:val="00E213D0"/>
    <w:rsid w:val="00E21422"/>
    <w:rsid w:val="00E21C85"/>
    <w:rsid w:val="00E2368B"/>
    <w:rsid w:val="00E24E98"/>
    <w:rsid w:val="00E252B1"/>
    <w:rsid w:val="00E25401"/>
    <w:rsid w:val="00E25C1D"/>
    <w:rsid w:val="00E26016"/>
    <w:rsid w:val="00E26055"/>
    <w:rsid w:val="00E26475"/>
    <w:rsid w:val="00E26653"/>
    <w:rsid w:val="00E26739"/>
    <w:rsid w:val="00E26893"/>
    <w:rsid w:val="00E26A1E"/>
    <w:rsid w:val="00E27166"/>
    <w:rsid w:val="00E274E3"/>
    <w:rsid w:val="00E27861"/>
    <w:rsid w:val="00E27D33"/>
    <w:rsid w:val="00E301C9"/>
    <w:rsid w:val="00E30577"/>
    <w:rsid w:val="00E313CD"/>
    <w:rsid w:val="00E316F1"/>
    <w:rsid w:val="00E320BA"/>
    <w:rsid w:val="00E32671"/>
    <w:rsid w:val="00E32E46"/>
    <w:rsid w:val="00E34DAC"/>
    <w:rsid w:val="00E34E81"/>
    <w:rsid w:val="00E352BE"/>
    <w:rsid w:val="00E35315"/>
    <w:rsid w:val="00E35A83"/>
    <w:rsid w:val="00E367E9"/>
    <w:rsid w:val="00E36F7A"/>
    <w:rsid w:val="00E37175"/>
    <w:rsid w:val="00E379EB"/>
    <w:rsid w:val="00E41C04"/>
    <w:rsid w:val="00E41EE9"/>
    <w:rsid w:val="00E42431"/>
    <w:rsid w:val="00E4245E"/>
    <w:rsid w:val="00E4260F"/>
    <w:rsid w:val="00E428CA"/>
    <w:rsid w:val="00E4419D"/>
    <w:rsid w:val="00E441B0"/>
    <w:rsid w:val="00E444B4"/>
    <w:rsid w:val="00E44AF4"/>
    <w:rsid w:val="00E4558D"/>
    <w:rsid w:val="00E463BB"/>
    <w:rsid w:val="00E4727B"/>
    <w:rsid w:val="00E475BD"/>
    <w:rsid w:val="00E47808"/>
    <w:rsid w:val="00E47984"/>
    <w:rsid w:val="00E47DC9"/>
    <w:rsid w:val="00E500AA"/>
    <w:rsid w:val="00E51923"/>
    <w:rsid w:val="00E51F72"/>
    <w:rsid w:val="00E5210A"/>
    <w:rsid w:val="00E530FB"/>
    <w:rsid w:val="00E53210"/>
    <w:rsid w:val="00E533D4"/>
    <w:rsid w:val="00E54246"/>
    <w:rsid w:val="00E54851"/>
    <w:rsid w:val="00E56001"/>
    <w:rsid w:val="00E563A3"/>
    <w:rsid w:val="00E5672C"/>
    <w:rsid w:val="00E5693D"/>
    <w:rsid w:val="00E571DC"/>
    <w:rsid w:val="00E5753D"/>
    <w:rsid w:val="00E576B4"/>
    <w:rsid w:val="00E57F12"/>
    <w:rsid w:val="00E57F78"/>
    <w:rsid w:val="00E60008"/>
    <w:rsid w:val="00E60845"/>
    <w:rsid w:val="00E60FC3"/>
    <w:rsid w:val="00E615BA"/>
    <w:rsid w:val="00E61E09"/>
    <w:rsid w:val="00E62C58"/>
    <w:rsid w:val="00E6439B"/>
    <w:rsid w:val="00E65031"/>
    <w:rsid w:val="00E661AD"/>
    <w:rsid w:val="00E665E7"/>
    <w:rsid w:val="00E67484"/>
    <w:rsid w:val="00E6785D"/>
    <w:rsid w:val="00E70155"/>
    <w:rsid w:val="00E714C0"/>
    <w:rsid w:val="00E73C7C"/>
    <w:rsid w:val="00E73DBC"/>
    <w:rsid w:val="00E73EBB"/>
    <w:rsid w:val="00E741E8"/>
    <w:rsid w:val="00E74DC3"/>
    <w:rsid w:val="00E74F1C"/>
    <w:rsid w:val="00E750E3"/>
    <w:rsid w:val="00E75AD3"/>
    <w:rsid w:val="00E75B51"/>
    <w:rsid w:val="00E75DC9"/>
    <w:rsid w:val="00E75ED1"/>
    <w:rsid w:val="00E760B9"/>
    <w:rsid w:val="00E761F6"/>
    <w:rsid w:val="00E766A8"/>
    <w:rsid w:val="00E768E1"/>
    <w:rsid w:val="00E76A1B"/>
    <w:rsid w:val="00E77925"/>
    <w:rsid w:val="00E77BDE"/>
    <w:rsid w:val="00E77FDE"/>
    <w:rsid w:val="00E803B3"/>
    <w:rsid w:val="00E80C3C"/>
    <w:rsid w:val="00E8154D"/>
    <w:rsid w:val="00E81E0B"/>
    <w:rsid w:val="00E81ED2"/>
    <w:rsid w:val="00E82114"/>
    <w:rsid w:val="00E82476"/>
    <w:rsid w:val="00E839DB"/>
    <w:rsid w:val="00E83C77"/>
    <w:rsid w:val="00E8563F"/>
    <w:rsid w:val="00E85E08"/>
    <w:rsid w:val="00E8615F"/>
    <w:rsid w:val="00E86653"/>
    <w:rsid w:val="00E87117"/>
    <w:rsid w:val="00E91661"/>
    <w:rsid w:val="00E91BE6"/>
    <w:rsid w:val="00E92FE1"/>
    <w:rsid w:val="00E93070"/>
    <w:rsid w:val="00E9366C"/>
    <w:rsid w:val="00E9387C"/>
    <w:rsid w:val="00E93A47"/>
    <w:rsid w:val="00E94E7A"/>
    <w:rsid w:val="00E95ED5"/>
    <w:rsid w:val="00E960CC"/>
    <w:rsid w:val="00E96D9F"/>
    <w:rsid w:val="00E9759D"/>
    <w:rsid w:val="00EA015E"/>
    <w:rsid w:val="00EA023C"/>
    <w:rsid w:val="00EA0291"/>
    <w:rsid w:val="00EA1806"/>
    <w:rsid w:val="00EA1826"/>
    <w:rsid w:val="00EA1B36"/>
    <w:rsid w:val="00EA21A5"/>
    <w:rsid w:val="00EA22AE"/>
    <w:rsid w:val="00EA2602"/>
    <w:rsid w:val="00EA33DE"/>
    <w:rsid w:val="00EA4407"/>
    <w:rsid w:val="00EA4D17"/>
    <w:rsid w:val="00EA72A4"/>
    <w:rsid w:val="00EA73F1"/>
    <w:rsid w:val="00EA73FE"/>
    <w:rsid w:val="00EA7A6D"/>
    <w:rsid w:val="00EA7C87"/>
    <w:rsid w:val="00EA7E07"/>
    <w:rsid w:val="00EB0065"/>
    <w:rsid w:val="00EB04C6"/>
    <w:rsid w:val="00EB083B"/>
    <w:rsid w:val="00EB13BF"/>
    <w:rsid w:val="00EB1763"/>
    <w:rsid w:val="00EB1AB4"/>
    <w:rsid w:val="00EB1BEB"/>
    <w:rsid w:val="00EB231D"/>
    <w:rsid w:val="00EB25D6"/>
    <w:rsid w:val="00EB38FF"/>
    <w:rsid w:val="00EB3AD3"/>
    <w:rsid w:val="00EB41BD"/>
    <w:rsid w:val="00EB44C7"/>
    <w:rsid w:val="00EB5061"/>
    <w:rsid w:val="00EB518E"/>
    <w:rsid w:val="00EB57AE"/>
    <w:rsid w:val="00EB5993"/>
    <w:rsid w:val="00EB632F"/>
    <w:rsid w:val="00EB6F9B"/>
    <w:rsid w:val="00EC0302"/>
    <w:rsid w:val="00EC07EE"/>
    <w:rsid w:val="00EC0948"/>
    <w:rsid w:val="00EC0DD0"/>
    <w:rsid w:val="00EC15C5"/>
    <w:rsid w:val="00EC1C1D"/>
    <w:rsid w:val="00EC1DD2"/>
    <w:rsid w:val="00EC2555"/>
    <w:rsid w:val="00EC25BC"/>
    <w:rsid w:val="00EC2E8E"/>
    <w:rsid w:val="00EC3EE8"/>
    <w:rsid w:val="00EC40FD"/>
    <w:rsid w:val="00EC4426"/>
    <w:rsid w:val="00EC475F"/>
    <w:rsid w:val="00EC6156"/>
    <w:rsid w:val="00EC7035"/>
    <w:rsid w:val="00ED0B97"/>
    <w:rsid w:val="00ED1781"/>
    <w:rsid w:val="00ED2888"/>
    <w:rsid w:val="00ED2F5D"/>
    <w:rsid w:val="00ED3000"/>
    <w:rsid w:val="00ED37D2"/>
    <w:rsid w:val="00ED41E7"/>
    <w:rsid w:val="00ED4B07"/>
    <w:rsid w:val="00ED4EAF"/>
    <w:rsid w:val="00ED4F15"/>
    <w:rsid w:val="00ED5417"/>
    <w:rsid w:val="00ED6E7D"/>
    <w:rsid w:val="00ED7459"/>
    <w:rsid w:val="00ED7CDB"/>
    <w:rsid w:val="00EE06AC"/>
    <w:rsid w:val="00EE0931"/>
    <w:rsid w:val="00EE097E"/>
    <w:rsid w:val="00EE19A4"/>
    <w:rsid w:val="00EE19DC"/>
    <w:rsid w:val="00EE1FC1"/>
    <w:rsid w:val="00EE2960"/>
    <w:rsid w:val="00EE31DA"/>
    <w:rsid w:val="00EE3200"/>
    <w:rsid w:val="00EE33FB"/>
    <w:rsid w:val="00EE4637"/>
    <w:rsid w:val="00EE586B"/>
    <w:rsid w:val="00EE6807"/>
    <w:rsid w:val="00EE6D8C"/>
    <w:rsid w:val="00EE6E80"/>
    <w:rsid w:val="00EE7410"/>
    <w:rsid w:val="00EE7DB0"/>
    <w:rsid w:val="00EF076A"/>
    <w:rsid w:val="00EF128E"/>
    <w:rsid w:val="00EF3CFA"/>
    <w:rsid w:val="00EF3D6D"/>
    <w:rsid w:val="00EF4351"/>
    <w:rsid w:val="00EF4F10"/>
    <w:rsid w:val="00EF7902"/>
    <w:rsid w:val="00EF7BE4"/>
    <w:rsid w:val="00EF7C40"/>
    <w:rsid w:val="00EF7EB1"/>
    <w:rsid w:val="00F00631"/>
    <w:rsid w:val="00F0070F"/>
    <w:rsid w:val="00F010D7"/>
    <w:rsid w:val="00F0153A"/>
    <w:rsid w:val="00F01590"/>
    <w:rsid w:val="00F01DD7"/>
    <w:rsid w:val="00F021F2"/>
    <w:rsid w:val="00F02ED3"/>
    <w:rsid w:val="00F033E7"/>
    <w:rsid w:val="00F035A7"/>
    <w:rsid w:val="00F03D33"/>
    <w:rsid w:val="00F03EB4"/>
    <w:rsid w:val="00F049DD"/>
    <w:rsid w:val="00F049E8"/>
    <w:rsid w:val="00F0595F"/>
    <w:rsid w:val="00F05ABE"/>
    <w:rsid w:val="00F066AD"/>
    <w:rsid w:val="00F06C57"/>
    <w:rsid w:val="00F0762A"/>
    <w:rsid w:val="00F07CAD"/>
    <w:rsid w:val="00F07CBF"/>
    <w:rsid w:val="00F07E0D"/>
    <w:rsid w:val="00F1084E"/>
    <w:rsid w:val="00F10F21"/>
    <w:rsid w:val="00F11743"/>
    <w:rsid w:val="00F11D52"/>
    <w:rsid w:val="00F11D81"/>
    <w:rsid w:val="00F13206"/>
    <w:rsid w:val="00F13975"/>
    <w:rsid w:val="00F13F74"/>
    <w:rsid w:val="00F146C8"/>
    <w:rsid w:val="00F14B5B"/>
    <w:rsid w:val="00F14D5A"/>
    <w:rsid w:val="00F14F64"/>
    <w:rsid w:val="00F1543C"/>
    <w:rsid w:val="00F15F31"/>
    <w:rsid w:val="00F15FA0"/>
    <w:rsid w:val="00F20760"/>
    <w:rsid w:val="00F208E8"/>
    <w:rsid w:val="00F20BBF"/>
    <w:rsid w:val="00F2137C"/>
    <w:rsid w:val="00F21A59"/>
    <w:rsid w:val="00F21B1C"/>
    <w:rsid w:val="00F22675"/>
    <w:rsid w:val="00F22C61"/>
    <w:rsid w:val="00F22FF6"/>
    <w:rsid w:val="00F23342"/>
    <w:rsid w:val="00F245D3"/>
    <w:rsid w:val="00F249D0"/>
    <w:rsid w:val="00F24B25"/>
    <w:rsid w:val="00F24C58"/>
    <w:rsid w:val="00F24F6F"/>
    <w:rsid w:val="00F25844"/>
    <w:rsid w:val="00F25993"/>
    <w:rsid w:val="00F25A9A"/>
    <w:rsid w:val="00F25C5B"/>
    <w:rsid w:val="00F25E2E"/>
    <w:rsid w:val="00F2637C"/>
    <w:rsid w:val="00F26992"/>
    <w:rsid w:val="00F26B6F"/>
    <w:rsid w:val="00F271AC"/>
    <w:rsid w:val="00F27954"/>
    <w:rsid w:val="00F27B31"/>
    <w:rsid w:val="00F30178"/>
    <w:rsid w:val="00F30203"/>
    <w:rsid w:val="00F30742"/>
    <w:rsid w:val="00F3088A"/>
    <w:rsid w:val="00F309D7"/>
    <w:rsid w:val="00F30B12"/>
    <w:rsid w:val="00F31BE5"/>
    <w:rsid w:val="00F31FC4"/>
    <w:rsid w:val="00F32291"/>
    <w:rsid w:val="00F35450"/>
    <w:rsid w:val="00F35902"/>
    <w:rsid w:val="00F35FC0"/>
    <w:rsid w:val="00F36535"/>
    <w:rsid w:val="00F369B7"/>
    <w:rsid w:val="00F36AE0"/>
    <w:rsid w:val="00F41D68"/>
    <w:rsid w:val="00F423ED"/>
    <w:rsid w:val="00F4271F"/>
    <w:rsid w:val="00F42D04"/>
    <w:rsid w:val="00F43271"/>
    <w:rsid w:val="00F4328D"/>
    <w:rsid w:val="00F444DB"/>
    <w:rsid w:val="00F44615"/>
    <w:rsid w:val="00F44E03"/>
    <w:rsid w:val="00F45006"/>
    <w:rsid w:val="00F45108"/>
    <w:rsid w:val="00F45A27"/>
    <w:rsid w:val="00F46971"/>
    <w:rsid w:val="00F4715E"/>
    <w:rsid w:val="00F47983"/>
    <w:rsid w:val="00F47B3A"/>
    <w:rsid w:val="00F47C99"/>
    <w:rsid w:val="00F47FFE"/>
    <w:rsid w:val="00F503B1"/>
    <w:rsid w:val="00F50675"/>
    <w:rsid w:val="00F50D73"/>
    <w:rsid w:val="00F51052"/>
    <w:rsid w:val="00F51215"/>
    <w:rsid w:val="00F51C01"/>
    <w:rsid w:val="00F5251E"/>
    <w:rsid w:val="00F5317E"/>
    <w:rsid w:val="00F5322F"/>
    <w:rsid w:val="00F5368A"/>
    <w:rsid w:val="00F545A9"/>
    <w:rsid w:val="00F54A3F"/>
    <w:rsid w:val="00F54C30"/>
    <w:rsid w:val="00F54DD2"/>
    <w:rsid w:val="00F5602B"/>
    <w:rsid w:val="00F560C7"/>
    <w:rsid w:val="00F5615F"/>
    <w:rsid w:val="00F565E2"/>
    <w:rsid w:val="00F56E65"/>
    <w:rsid w:val="00F572D4"/>
    <w:rsid w:val="00F5762E"/>
    <w:rsid w:val="00F5779A"/>
    <w:rsid w:val="00F602BC"/>
    <w:rsid w:val="00F60421"/>
    <w:rsid w:val="00F60DEE"/>
    <w:rsid w:val="00F613CA"/>
    <w:rsid w:val="00F61ACD"/>
    <w:rsid w:val="00F61D98"/>
    <w:rsid w:val="00F621FD"/>
    <w:rsid w:val="00F622FB"/>
    <w:rsid w:val="00F629E2"/>
    <w:rsid w:val="00F636F4"/>
    <w:rsid w:val="00F63D72"/>
    <w:rsid w:val="00F64534"/>
    <w:rsid w:val="00F653FE"/>
    <w:rsid w:val="00F65BF4"/>
    <w:rsid w:val="00F66E30"/>
    <w:rsid w:val="00F700CD"/>
    <w:rsid w:val="00F709A1"/>
    <w:rsid w:val="00F70C70"/>
    <w:rsid w:val="00F71265"/>
    <w:rsid w:val="00F714F0"/>
    <w:rsid w:val="00F71BC9"/>
    <w:rsid w:val="00F71F1F"/>
    <w:rsid w:val="00F72703"/>
    <w:rsid w:val="00F73027"/>
    <w:rsid w:val="00F7343C"/>
    <w:rsid w:val="00F734EF"/>
    <w:rsid w:val="00F736CA"/>
    <w:rsid w:val="00F73C14"/>
    <w:rsid w:val="00F73D19"/>
    <w:rsid w:val="00F73D93"/>
    <w:rsid w:val="00F74133"/>
    <w:rsid w:val="00F74775"/>
    <w:rsid w:val="00F75446"/>
    <w:rsid w:val="00F7548D"/>
    <w:rsid w:val="00F7576B"/>
    <w:rsid w:val="00F75F9C"/>
    <w:rsid w:val="00F763DB"/>
    <w:rsid w:val="00F76C87"/>
    <w:rsid w:val="00F76E25"/>
    <w:rsid w:val="00F77B03"/>
    <w:rsid w:val="00F807B8"/>
    <w:rsid w:val="00F81243"/>
    <w:rsid w:val="00F8145E"/>
    <w:rsid w:val="00F8160A"/>
    <w:rsid w:val="00F81BB9"/>
    <w:rsid w:val="00F81ECF"/>
    <w:rsid w:val="00F82120"/>
    <w:rsid w:val="00F82141"/>
    <w:rsid w:val="00F82414"/>
    <w:rsid w:val="00F83561"/>
    <w:rsid w:val="00F83991"/>
    <w:rsid w:val="00F83DC5"/>
    <w:rsid w:val="00F83F75"/>
    <w:rsid w:val="00F84122"/>
    <w:rsid w:val="00F850AC"/>
    <w:rsid w:val="00F8541C"/>
    <w:rsid w:val="00F85F85"/>
    <w:rsid w:val="00F86D4F"/>
    <w:rsid w:val="00F8722F"/>
    <w:rsid w:val="00F87587"/>
    <w:rsid w:val="00F87822"/>
    <w:rsid w:val="00F87C07"/>
    <w:rsid w:val="00F90787"/>
    <w:rsid w:val="00F91230"/>
    <w:rsid w:val="00F9159F"/>
    <w:rsid w:val="00F91AB9"/>
    <w:rsid w:val="00F922A1"/>
    <w:rsid w:val="00F93452"/>
    <w:rsid w:val="00F934A0"/>
    <w:rsid w:val="00F944B4"/>
    <w:rsid w:val="00F95E6B"/>
    <w:rsid w:val="00F95E91"/>
    <w:rsid w:val="00F96058"/>
    <w:rsid w:val="00F9612E"/>
    <w:rsid w:val="00F966A4"/>
    <w:rsid w:val="00F9671A"/>
    <w:rsid w:val="00F96C3D"/>
    <w:rsid w:val="00F96CB7"/>
    <w:rsid w:val="00F97575"/>
    <w:rsid w:val="00F97E10"/>
    <w:rsid w:val="00FA0AAB"/>
    <w:rsid w:val="00FA1220"/>
    <w:rsid w:val="00FA15C5"/>
    <w:rsid w:val="00FA173A"/>
    <w:rsid w:val="00FA190E"/>
    <w:rsid w:val="00FA19AF"/>
    <w:rsid w:val="00FA20A3"/>
    <w:rsid w:val="00FA20DD"/>
    <w:rsid w:val="00FA26FF"/>
    <w:rsid w:val="00FA2944"/>
    <w:rsid w:val="00FA2C4C"/>
    <w:rsid w:val="00FA3211"/>
    <w:rsid w:val="00FA3975"/>
    <w:rsid w:val="00FA39A8"/>
    <w:rsid w:val="00FA4ACE"/>
    <w:rsid w:val="00FA5CE3"/>
    <w:rsid w:val="00FA6DC5"/>
    <w:rsid w:val="00FA723B"/>
    <w:rsid w:val="00FA7BC9"/>
    <w:rsid w:val="00FB0456"/>
    <w:rsid w:val="00FB05D9"/>
    <w:rsid w:val="00FB0C47"/>
    <w:rsid w:val="00FB23BE"/>
    <w:rsid w:val="00FB2446"/>
    <w:rsid w:val="00FB2669"/>
    <w:rsid w:val="00FB291A"/>
    <w:rsid w:val="00FB2F10"/>
    <w:rsid w:val="00FB383B"/>
    <w:rsid w:val="00FB3AD7"/>
    <w:rsid w:val="00FB3B8C"/>
    <w:rsid w:val="00FB3BBE"/>
    <w:rsid w:val="00FB40AD"/>
    <w:rsid w:val="00FB42D7"/>
    <w:rsid w:val="00FB4FE0"/>
    <w:rsid w:val="00FB55D4"/>
    <w:rsid w:val="00FB6286"/>
    <w:rsid w:val="00FB637C"/>
    <w:rsid w:val="00FB6806"/>
    <w:rsid w:val="00FB6907"/>
    <w:rsid w:val="00FC19B4"/>
    <w:rsid w:val="00FC1FE0"/>
    <w:rsid w:val="00FC2260"/>
    <w:rsid w:val="00FC244D"/>
    <w:rsid w:val="00FC27BE"/>
    <w:rsid w:val="00FC2DA3"/>
    <w:rsid w:val="00FC33D0"/>
    <w:rsid w:val="00FC356E"/>
    <w:rsid w:val="00FC3A5B"/>
    <w:rsid w:val="00FC3E64"/>
    <w:rsid w:val="00FC448E"/>
    <w:rsid w:val="00FC4864"/>
    <w:rsid w:val="00FC4FD5"/>
    <w:rsid w:val="00FC529E"/>
    <w:rsid w:val="00FC6096"/>
    <w:rsid w:val="00FC6DD1"/>
    <w:rsid w:val="00FC6DDB"/>
    <w:rsid w:val="00FC6EDC"/>
    <w:rsid w:val="00FC71A4"/>
    <w:rsid w:val="00FC7BB4"/>
    <w:rsid w:val="00FC7F7D"/>
    <w:rsid w:val="00FD0070"/>
    <w:rsid w:val="00FD0073"/>
    <w:rsid w:val="00FD18FE"/>
    <w:rsid w:val="00FD1DB5"/>
    <w:rsid w:val="00FD2E92"/>
    <w:rsid w:val="00FD32E8"/>
    <w:rsid w:val="00FD349A"/>
    <w:rsid w:val="00FD394C"/>
    <w:rsid w:val="00FD3E41"/>
    <w:rsid w:val="00FD4626"/>
    <w:rsid w:val="00FD4850"/>
    <w:rsid w:val="00FD5EED"/>
    <w:rsid w:val="00FE001B"/>
    <w:rsid w:val="00FE039E"/>
    <w:rsid w:val="00FE0756"/>
    <w:rsid w:val="00FE07B9"/>
    <w:rsid w:val="00FE0A7D"/>
    <w:rsid w:val="00FE22E4"/>
    <w:rsid w:val="00FE239C"/>
    <w:rsid w:val="00FE269B"/>
    <w:rsid w:val="00FE272F"/>
    <w:rsid w:val="00FE2931"/>
    <w:rsid w:val="00FE2AAE"/>
    <w:rsid w:val="00FE3EA0"/>
    <w:rsid w:val="00FE3F2E"/>
    <w:rsid w:val="00FE42B6"/>
    <w:rsid w:val="00FE4356"/>
    <w:rsid w:val="00FE4BB8"/>
    <w:rsid w:val="00FE51BB"/>
    <w:rsid w:val="00FE563B"/>
    <w:rsid w:val="00FE5E4B"/>
    <w:rsid w:val="00FE63FA"/>
    <w:rsid w:val="00FE7089"/>
    <w:rsid w:val="00FE72A3"/>
    <w:rsid w:val="00FE7776"/>
    <w:rsid w:val="00FE7DCB"/>
    <w:rsid w:val="00FE7E7E"/>
    <w:rsid w:val="00FF05F5"/>
    <w:rsid w:val="00FF0C94"/>
    <w:rsid w:val="00FF0DA1"/>
    <w:rsid w:val="00FF0FDA"/>
    <w:rsid w:val="00FF199B"/>
    <w:rsid w:val="00FF23DC"/>
    <w:rsid w:val="00FF24A2"/>
    <w:rsid w:val="00FF2915"/>
    <w:rsid w:val="00FF3335"/>
    <w:rsid w:val="00FF336F"/>
    <w:rsid w:val="00FF4099"/>
    <w:rsid w:val="00FF4221"/>
    <w:rsid w:val="00FF450E"/>
    <w:rsid w:val="00FF4C81"/>
    <w:rsid w:val="00FF5245"/>
    <w:rsid w:val="00FF5467"/>
    <w:rsid w:val="00FF6146"/>
    <w:rsid w:val="00FF61D8"/>
    <w:rsid w:val="00FF6681"/>
    <w:rsid w:val="00FF7C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505661-E2AB-4300-A307-C4A136E3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60EF7"/>
    <w:pPr>
      <w:widowControl w:val="0"/>
      <w:adjustRightInd w:val="0"/>
      <w:spacing w:line="372" w:lineRule="exact"/>
      <w:textAlignment w:val="center"/>
    </w:pPr>
    <w:rPr>
      <w:rFonts w:eastAsia="細明體"/>
    </w:rPr>
  </w:style>
  <w:style w:type="paragraph" w:styleId="11">
    <w:name w:val="heading 1"/>
    <w:basedOn w:val="a1"/>
    <w:link w:val="12"/>
    <w:uiPriority w:val="9"/>
    <w:qFormat/>
    <w:pPr>
      <w:widowControl/>
      <w:adjustRightInd/>
      <w:spacing w:before="100" w:beforeAutospacing="1" w:after="100" w:afterAutospacing="1" w:line="240" w:lineRule="auto"/>
      <w:textAlignment w:val="auto"/>
      <w:outlineLvl w:val="0"/>
    </w:pPr>
    <w:rPr>
      <w:rFonts w:ascii="Arial Unicode MS" w:eastAsia="Arial Unicode MS" w:hAnsi="Arial Unicode MS" w:cs="Arial Unicode MS"/>
      <w:b/>
      <w:bCs/>
      <w:kern w:val="36"/>
      <w:sz w:val="48"/>
      <w:szCs w:val="48"/>
    </w:rPr>
  </w:style>
  <w:style w:type="paragraph" w:styleId="21">
    <w:name w:val="heading 2"/>
    <w:basedOn w:val="a1"/>
    <w:next w:val="a1"/>
    <w:link w:val="22"/>
    <w:qFormat/>
    <w:rsid w:val="00286F49"/>
    <w:pPr>
      <w:keepNext/>
      <w:spacing w:after="240" w:line="720" w:lineRule="atLeast"/>
      <w:ind w:left="397"/>
      <w:textAlignment w:val="baseline"/>
      <w:outlineLvl w:val="1"/>
    </w:pPr>
    <w:rPr>
      <w:rFonts w:ascii="Book Antiqua" w:eastAsia="華康楷書體W5" w:hAnsi="Arial"/>
      <w:b/>
      <w:spacing w:val="10"/>
      <w:sz w:val="40"/>
    </w:rPr>
  </w:style>
  <w:style w:type="paragraph" w:styleId="3">
    <w:name w:val="heading 3"/>
    <w:basedOn w:val="a1"/>
    <w:next w:val="a1"/>
    <w:link w:val="30"/>
    <w:uiPriority w:val="9"/>
    <w:unhideWhenUsed/>
    <w:qFormat/>
    <w:rsid w:val="00E1645B"/>
    <w:pPr>
      <w:keepNext/>
      <w:spacing w:line="720" w:lineRule="atLeast"/>
      <w:outlineLvl w:val="2"/>
    </w:pPr>
    <w:rPr>
      <w:rFonts w:ascii="Cambria" w:eastAsia="新細明體" w:hAnsi="Cambria"/>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31">
    <w:name w:val="弟3行"/>
    <w:basedOn w:val="a1"/>
    <w:pPr>
      <w:spacing w:line="300" w:lineRule="exact"/>
    </w:pPr>
    <w:rPr>
      <w:rFonts w:eastAsia=".文鼎中楷"/>
      <w:sz w:val="36"/>
    </w:rPr>
  </w:style>
  <w:style w:type="paragraph" w:customStyle="1" w:styleId="a5">
    <w:name w:val="信內文"/>
    <w:basedOn w:val="31"/>
    <w:pPr>
      <w:spacing w:line="360" w:lineRule="auto"/>
    </w:pPr>
    <w:rPr>
      <w:rFonts w:ascii=".文鼎中楷"/>
      <w:spacing w:val="43"/>
    </w:rPr>
  </w:style>
  <w:style w:type="paragraph" w:styleId="a6">
    <w:name w:val="footer"/>
    <w:basedOn w:val="a1"/>
    <w:link w:val="a7"/>
    <w:uiPriority w:val="99"/>
    <w:pPr>
      <w:tabs>
        <w:tab w:val="center" w:pos="4153"/>
        <w:tab w:val="right" w:pos="8306"/>
      </w:tabs>
      <w:spacing w:line="360" w:lineRule="auto"/>
    </w:pPr>
    <w:rPr>
      <w:sz w:val="18"/>
    </w:rPr>
  </w:style>
  <w:style w:type="paragraph" w:styleId="a8">
    <w:name w:val="header"/>
    <w:basedOn w:val="a1"/>
    <w:link w:val="a9"/>
    <w:uiPriority w:val="99"/>
    <w:pPr>
      <w:tabs>
        <w:tab w:val="center" w:pos="4153"/>
        <w:tab w:val="right" w:pos="8306"/>
      </w:tabs>
    </w:pPr>
  </w:style>
  <w:style w:type="character" w:styleId="aa">
    <w:name w:val="page number"/>
    <w:rPr>
      <w:rFonts w:ascii="Times New Roman" w:hAnsi="Times New Roman" w:cs="Times New Roman"/>
    </w:rPr>
  </w:style>
  <w:style w:type="paragraph" w:customStyle="1" w:styleId="ab">
    <w:name w:val="主旨"/>
    <w:basedOn w:val="a1"/>
    <w:pPr>
      <w:spacing w:line="720" w:lineRule="exact"/>
      <w:ind w:left="1021" w:hanging="1021"/>
    </w:pPr>
    <w:rPr>
      <w:rFonts w:eastAsia=".文鼎中楷"/>
      <w:sz w:val="36"/>
    </w:rPr>
  </w:style>
  <w:style w:type="paragraph" w:customStyle="1" w:styleId="13">
    <w:name w:val="說明1"/>
    <w:basedOn w:val="ab"/>
  </w:style>
  <w:style w:type="paragraph" w:customStyle="1" w:styleId="ac">
    <w:name w:val="說明"/>
    <w:basedOn w:val="ab"/>
    <w:pPr>
      <w:ind w:left="1474" w:hanging="1474"/>
    </w:pPr>
  </w:style>
  <w:style w:type="paragraph" w:customStyle="1" w:styleId="ad">
    <w:name w:val="二"/>
    <w:basedOn w:val="ac"/>
    <w:pPr>
      <w:ind w:left="397" w:hanging="397"/>
    </w:pPr>
  </w:style>
  <w:style w:type="paragraph" w:customStyle="1" w:styleId="ae">
    <w:name w:val="(一)"/>
    <w:basedOn w:val="ad"/>
    <w:pPr>
      <w:ind w:left="794"/>
    </w:pPr>
  </w:style>
  <w:style w:type="paragraph" w:customStyle="1" w:styleId="af">
    <w:name w:val="案由"/>
    <w:basedOn w:val="a1"/>
    <w:pPr>
      <w:spacing w:line="680" w:lineRule="exact"/>
      <w:ind w:left="1134" w:hanging="1134"/>
      <w:jc w:val="both"/>
    </w:pPr>
    <w:rPr>
      <w:rFonts w:ascii="華康中楷體" w:eastAsia="華康中楷體"/>
      <w:spacing w:val="16"/>
      <w:sz w:val="36"/>
    </w:rPr>
  </w:style>
  <w:style w:type="paragraph" w:customStyle="1" w:styleId="af0">
    <w:name w:val="二、"/>
    <w:basedOn w:val="a1"/>
    <w:pPr>
      <w:spacing w:line="680" w:lineRule="exact"/>
      <w:ind w:left="1560" w:hanging="426"/>
      <w:jc w:val="both"/>
    </w:pPr>
    <w:rPr>
      <w:rFonts w:ascii="華康中楷體" w:eastAsia="華康中楷體"/>
      <w:spacing w:val="16"/>
      <w:sz w:val="36"/>
    </w:rPr>
  </w:style>
  <w:style w:type="paragraph" w:customStyle="1" w:styleId="14">
    <w:name w:val="本文縮排1"/>
    <w:basedOn w:val="a1"/>
    <w:pPr>
      <w:spacing w:line="680" w:lineRule="exact"/>
      <w:ind w:left="2002" w:hanging="420"/>
      <w:jc w:val="both"/>
      <w:textDirection w:val="lrTbV"/>
    </w:pPr>
    <w:rPr>
      <w:rFonts w:ascii="華康楷書體W5" w:eastAsia="華康楷書體W5"/>
      <w:spacing w:val="16"/>
      <w:sz w:val="36"/>
    </w:rPr>
  </w:style>
  <w:style w:type="paragraph" w:styleId="23">
    <w:name w:val="Body Text Indent 2"/>
    <w:basedOn w:val="a1"/>
    <w:pPr>
      <w:spacing w:line="640" w:lineRule="exact"/>
      <w:ind w:left="1120"/>
      <w:jc w:val="both"/>
      <w:textDirection w:val="lrTbV"/>
    </w:pPr>
    <w:rPr>
      <w:rFonts w:ascii="華康楷書體W5" w:eastAsia="華康楷書體W5"/>
      <w:spacing w:val="16"/>
      <w:sz w:val="36"/>
    </w:rPr>
  </w:style>
  <w:style w:type="paragraph" w:styleId="32">
    <w:name w:val="Body Text Indent 3"/>
    <w:basedOn w:val="a1"/>
    <w:pPr>
      <w:spacing w:line="680" w:lineRule="exact"/>
      <w:ind w:left="1134"/>
      <w:jc w:val="both"/>
      <w:textDirection w:val="lrTbV"/>
    </w:pPr>
    <w:rPr>
      <w:rFonts w:ascii="華康楷書體W5" w:eastAsia="華康楷書體W5"/>
      <w:spacing w:val="16"/>
      <w:sz w:val="36"/>
    </w:rPr>
  </w:style>
  <w:style w:type="paragraph" w:styleId="af1">
    <w:name w:val="Block Text"/>
    <w:basedOn w:val="a1"/>
    <w:pPr>
      <w:spacing w:line="680" w:lineRule="exact"/>
      <w:ind w:left="1596" w:right="-20" w:hanging="1596"/>
      <w:jc w:val="both"/>
      <w:textDirection w:val="lrTbV"/>
    </w:pPr>
    <w:rPr>
      <w:rFonts w:ascii="華康楷書體W5" w:eastAsia="華康楷書體W5"/>
      <w:spacing w:val="10"/>
      <w:sz w:val="36"/>
    </w:rPr>
  </w:style>
  <w:style w:type="paragraph" w:customStyle="1" w:styleId="BodyTextIndent31">
    <w:name w:val="Body Text Indent 31"/>
    <w:basedOn w:val="a1"/>
    <w:pPr>
      <w:autoSpaceDE w:val="0"/>
      <w:autoSpaceDN w:val="0"/>
      <w:spacing w:line="420" w:lineRule="exact"/>
      <w:ind w:left="624" w:hanging="624"/>
      <w:jc w:val="both"/>
      <w:textDirection w:val="lrTbV"/>
      <w:textAlignment w:val="baseline"/>
    </w:pPr>
    <w:rPr>
      <w:rFonts w:ascii="標楷體" w:eastAsia="標楷體"/>
      <w:sz w:val="32"/>
    </w:rPr>
  </w:style>
  <w:style w:type="paragraph" w:customStyle="1" w:styleId="af2">
    <w:name w:val="一、"/>
    <w:basedOn w:val="a1"/>
    <w:pPr>
      <w:spacing w:line="680" w:lineRule="exact"/>
      <w:ind w:left="425" w:hanging="425"/>
      <w:jc w:val="both"/>
    </w:pPr>
    <w:rPr>
      <w:rFonts w:ascii="華康楷書體W5" w:eastAsia="華康楷書體W5"/>
      <w:spacing w:val="16"/>
      <w:sz w:val="36"/>
    </w:rPr>
  </w:style>
  <w:style w:type="paragraph" w:styleId="Web">
    <w:name w:val="Normal (Web)"/>
    <w:basedOn w:val="a1"/>
    <w:uiPriority w:val="99"/>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
    <w:name w:val="bodytextindent31"/>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3">
    <w:name w:val="Plain Text"/>
    <w:basedOn w:val="a1"/>
    <w:semiHidden/>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0">
    <w:name w:val="bodytextindent310"/>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4">
    <w:name w:val="Body Text"/>
    <w:basedOn w:val="a1"/>
    <w:link w:val="af5"/>
    <w:pPr>
      <w:spacing w:before="50" w:line="560" w:lineRule="exact"/>
    </w:pPr>
    <w:rPr>
      <w:rFonts w:eastAsia="標楷體"/>
      <w:sz w:val="32"/>
    </w:rPr>
  </w:style>
  <w:style w:type="paragraph" w:styleId="HTML">
    <w:name w:val="HTML Preformatted"/>
    <w:basedOn w:val="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Arial Unicode MS" w:eastAsia="Arial Unicode MS" w:hAnsi="Arial Unicode MS"/>
    </w:rPr>
  </w:style>
  <w:style w:type="character" w:styleId="af6">
    <w:name w:val="Emphasis"/>
    <w:uiPriority w:val="20"/>
    <w:qFormat/>
    <w:rPr>
      <w:rFonts w:ascii="Times New Roman" w:hAnsi="Times New Roman" w:cs="Times New Roman"/>
      <w:color w:val="CC0033"/>
    </w:rPr>
  </w:style>
  <w:style w:type="character" w:styleId="af7">
    <w:name w:val="annotation reference"/>
    <w:semiHidden/>
    <w:rPr>
      <w:rFonts w:ascii="Times New Roman" w:hAnsi="Times New Roman" w:cs="Times New Roman"/>
      <w:sz w:val="18"/>
      <w:szCs w:val="18"/>
    </w:rPr>
  </w:style>
  <w:style w:type="paragraph" w:styleId="af8">
    <w:name w:val="annotation text"/>
    <w:basedOn w:val="a1"/>
    <w:link w:val="af9"/>
    <w:semiHidden/>
    <w:pPr>
      <w:adjustRightInd/>
      <w:spacing w:line="560" w:lineRule="exact"/>
      <w:textAlignment w:val="auto"/>
    </w:pPr>
    <w:rPr>
      <w:rFonts w:eastAsia="標楷體"/>
      <w:kern w:val="2"/>
      <w:sz w:val="32"/>
      <w:szCs w:val="24"/>
    </w:rPr>
  </w:style>
  <w:style w:type="character" w:customStyle="1" w:styleId="highlight">
    <w:name w:val="highlight"/>
    <w:rPr>
      <w:rFonts w:ascii="Times New Roman" w:hAnsi="Times New Roman" w:cs="Times New Roman"/>
    </w:rPr>
  </w:style>
  <w:style w:type="character" w:styleId="afa">
    <w:name w:val="Strong"/>
    <w:qFormat/>
    <w:rPr>
      <w:rFonts w:ascii="Times New Roman" w:hAnsi="Times New Roman" w:cs="Times New Roman"/>
      <w:b/>
      <w:bCs/>
    </w:rPr>
  </w:style>
  <w:style w:type="paragraph" w:customStyle="1" w:styleId="a0">
    <w:name w:val="一"/>
    <w:basedOn w:val="a1"/>
    <w:pPr>
      <w:numPr>
        <w:numId w:val="6"/>
      </w:numPr>
      <w:tabs>
        <w:tab w:val="left" w:leader="hyphen" w:pos="3402"/>
        <w:tab w:val="left" w:leader="hyphen" w:pos="6804"/>
        <w:tab w:val="left" w:leader="hyphen" w:pos="10206"/>
        <w:tab w:val="left" w:leader="hyphen" w:pos="13608"/>
      </w:tabs>
      <w:spacing w:before="50" w:line="560" w:lineRule="exact"/>
      <w:jc w:val="both"/>
      <w:textAlignment w:val="baseline"/>
    </w:pPr>
    <w:rPr>
      <w:rFonts w:eastAsia="標楷體"/>
      <w:spacing w:val="-10"/>
      <w:sz w:val="32"/>
      <w:szCs w:val="32"/>
    </w:rPr>
  </w:style>
  <w:style w:type="paragraph" w:customStyle="1" w:styleId="15">
    <w:name w:val="1"/>
    <w:basedOn w:val="ae"/>
    <w:pPr>
      <w:tabs>
        <w:tab w:val="left" w:leader="hyphen" w:pos="3402"/>
        <w:tab w:val="left" w:leader="hyphen" w:pos="6804"/>
        <w:tab w:val="left" w:leader="hyphen" w:pos="10206"/>
        <w:tab w:val="left" w:leader="hyphen" w:pos="13608"/>
      </w:tabs>
      <w:spacing w:before="50" w:line="240" w:lineRule="auto"/>
      <w:ind w:left="1440" w:hanging="540"/>
      <w:jc w:val="both"/>
      <w:textAlignment w:val="baseline"/>
    </w:pPr>
    <w:rPr>
      <w:rFonts w:eastAsia="標楷體"/>
      <w:spacing w:val="-22"/>
      <w:sz w:val="32"/>
      <w:szCs w:val="32"/>
    </w:rPr>
  </w:style>
  <w:style w:type="paragraph" w:styleId="afb">
    <w:name w:val="Body Text Indent"/>
    <w:basedOn w:val="a1"/>
    <w:pPr>
      <w:spacing w:before="100" w:line="540" w:lineRule="exact"/>
      <w:ind w:left="620"/>
      <w:jc w:val="both"/>
    </w:pPr>
    <w:rPr>
      <w:rFonts w:eastAsia="標楷體"/>
      <w:sz w:val="32"/>
    </w:rPr>
  </w:style>
  <w:style w:type="character" w:customStyle="1" w:styleId="cpt2">
    <w:name w:val="cpt2"/>
    <w:basedOn w:val="a2"/>
  </w:style>
  <w:style w:type="paragraph" w:customStyle="1" w:styleId="Default">
    <w:name w:val="Default"/>
    <w:uiPriority w:val="99"/>
    <w:pPr>
      <w:widowControl w:val="0"/>
      <w:autoSpaceDE w:val="0"/>
      <w:autoSpaceDN w:val="0"/>
      <w:adjustRightInd w:val="0"/>
    </w:pPr>
    <w:rPr>
      <w:rFonts w:ascii="標楷體" w:eastAsia="標楷體"/>
      <w:color w:val="000000"/>
      <w:sz w:val="24"/>
      <w:szCs w:val="24"/>
    </w:rPr>
  </w:style>
  <w:style w:type="character" w:customStyle="1" w:styleId="boldtitle1">
    <w:name w:val="boldtitle1"/>
    <w:rPr>
      <w:b/>
      <w:bCs/>
    </w:rPr>
  </w:style>
  <w:style w:type="paragraph" w:styleId="afc">
    <w:name w:val="footnote text"/>
    <w:basedOn w:val="a1"/>
    <w:link w:val="afd"/>
    <w:uiPriority w:val="99"/>
    <w:pPr>
      <w:adjustRightInd/>
      <w:snapToGrid w:val="0"/>
      <w:spacing w:line="240" w:lineRule="auto"/>
      <w:textAlignment w:val="auto"/>
    </w:pPr>
    <w:rPr>
      <w:rFonts w:eastAsia="新細明體"/>
      <w:kern w:val="2"/>
    </w:rPr>
  </w:style>
  <w:style w:type="character" w:styleId="afe">
    <w:name w:val="footnote reference"/>
    <w:uiPriority w:val="99"/>
    <w:rPr>
      <w:vertAlign w:val="superscript"/>
    </w:rPr>
  </w:style>
  <w:style w:type="paragraph" w:styleId="aff">
    <w:name w:val="annotation subject"/>
    <w:basedOn w:val="af8"/>
    <w:next w:val="af8"/>
    <w:link w:val="aff0"/>
    <w:uiPriority w:val="99"/>
    <w:semiHidden/>
    <w:unhideWhenUsed/>
    <w:rsid w:val="001A5E2D"/>
    <w:pPr>
      <w:adjustRightInd w:val="0"/>
      <w:spacing w:line="372" w:lineRule="exact"/>
      <w:textAlignment w:val="center"/>
    </w:pPr>
    <w:rPr>
      <w:rFonts w:eastAsia="細明體"/>
      <w:b/>
      <w:bCs/>
      <w:kern w:val="0"/>
      <w:sz w:val="20"/>
      <w:szCs w:val="20"/>
    </w:rPr>
  </w:style>
  <w:style w:type="character" w:customStyle="1" w:styleId="af9">
    <w:name w:val="註解文字 字元"/>
    <w:link w:val="af8"/>
    <w:semiHidden/>
    <w:rsid w:val="001A5E2D"/>
    <w:rPr>
      <w:rFonts w:eastAsia="標楷體"/>
      <w:kern w:val="2"/>
      <w:sz w:val="32"/>
      <w:szCs w:val="24"/>
    </w:rPr>
  </w:style>
  <w:style w:type="character" w:customStyle="1" w:styleId="aff0">
    <w:name w:val="註解主旨 字元"/>
    <w:link w:val="aff"/>
    <w:uiPriority w:val="99"/>
    <w:semiHidden/>
    <w:rsid w:val="001A5E2D"/>
    <w:rPr>
      <w:rFonts w:eastAsia="細明體"/>
      <w:b/>
      <w:bCs/>
      <w:kern w:val="2"/>
      <w:sz w:val="32"/>
      <w:szCs w:val="24"/>
    </w:rPr>
  </w:style>
  <w:style w:type="paragraph" w:styleId="aff1">
    <w:name w:val="Balloon Text"/>
    <w:basedOn w:val="a1"/>
    <w:link w:val="aff2"/>
    <w:unhideWhenUsed/>
    <w:rsid w:val="001A5E2D"/>
    <w:pPr>
      <w:spacing w:line="240" w:lineRule="auto"/>
    </w:pPr>
    <w:rPr>
      <w:rFonts w:ascii="Cambria" w:eastAsia="新細明體" w:hAnsi="Cambria"/>
      <w:sz w:val="18"/>
      <w:szCs w:val="18"/>
    </w:rPr>
  </w:style>
  <w:style w:type="character" w:customStyle="1" w:styleId="aff2">
    <w:name w:val="註解方塊文字 字元"/>
    <w:link w:val="aff1"/>
    <w:rsid w:val="001A5E2D"/>
    <w:rPr>
      <w:rFonts w:ascii="Cambria" w:eastAsia="新細明體" w:hAnsi="Cambria" w:cs="Times New Roman"/>
      <w:sz w:val="18"/>
      <w:szCs w:val="18"/>
    </w:rPr>
  </w:style>
  <w:style w:type="character" w:customStyle="1" w:styleId="30">
    <w:name w:val="標題 3 字元"/>
    <w:link w:val="3"/>
    <w:uiPriority w:val="9"/>
    <w:semiHidden/>
    <w:rsid w:val="00E1645B"/>
    <w:rPr>
      <w:rFonts w:ascii="Cambria" w:eastAsia="新細明體" w:hAnsi="Cambria" w:cs="Times New Roman"/>
      <w:b/>
      <w:bCs/>
      <w:sz w:val="36"/>
      <w:szCs w:val="36"/>
    </w:rPr>
  </w:style>
  <w:style w:type="character" w:customStyle="1" w:styleId="st1">
    <w:name w:val="st1"/>
    <w:rsid w:val="002B4F91"/>
  </w:style>
  <w:style w:type="character" w:customStyle="1" w:styleId="22">
    <w:name w:val="標題 2 字元"/>
    <w:link w:val="21"/>
    <w:rsid w:val="00286F49"/>
    <w:rPr>
      <w:rFonts w:ascii="Book Antiqua" w:eastAsia="華康楷書體W5" w:hAnsi="Arial"/>
      <w:b/>
      <w:spacing w:val="10"/>
      <w:sz w:val="40"/>
    </w:rPr>
  </w:style>
  <w:style w:type="paragraph" w:customStyle="1" w:styleId="aff3">
    <w:name w:val="表附註"/>
    <w:basedOn w:val="24"/>
    <w:rsid w:val="00286F49"/>
    <w:pPr>
      <w:spacing w:after="0" w:line="240" w:lineRule="atLeast"/>
      <w:ind w:left="0"/>
    </w:pPr>
    <w:rPr>
      <w:spacing w:val="0"/>
      <w:sz w:val="24"/>
    </w:rPr>
  </w:style>
  <w:style w:type="paragraph" w:customStyle="1" w:styleId="24">
    <w:name w:val="內文2"/>
    <w:basedOn w:val="a1"/>
    <w:rsid w:val="00286F49"/>
    <w:pPr>
      <w:spacing w:before="120" w:after="120" w:line="324" w:lineRule="auto"/>
      <w:ind w:left="1134"/>
      <w:jc w:val="both"/>
      <w:textAlignment w:val="baseline"/>
    </w:pPr>
    <w:rPr>
      <w:rFonts w:ascii="Book Antiqua" w:eastAsia="華康楷書體W5"/>
      <w:spacing w:val="10"/>
      <w:sz w:val="36"/>
    </w:rPr>
  </w:style>
  <w:style w:type="paragraph" w:customStyle="1" w:styleId="16">
    <w:name w:val="內文1"/>
    <w:basedOn w:val="a1"/>
    <w:rsid w:val="00286F49"/>
    <w:pPr>
      <w:spacing w:before="120" w:after="120" w:line="360" w:lineRule="auto"/>
      <w:ind w:left="964" w:firstLine="397"/>
      <w:jc w:val="both"/>
      <w:textAlignment w:val="baseline"/>
    </w:pPr>
    <w:rPr>
      <w:rFonts w:ascii="Book Antiqua" w:eastAsia="華康中楷體"/>
      <w:spacing w:val="10"/>
      <w:sz w:val="36"/>
    </w:rPr>
  </w:style>
  <w:style w:type="paragraph" w:customStyle="1" w:styleId="33">
    <w:name w:val="內文3"/>
    <w:basedOn w:val="16"/>
    <w:rsid w:val="00286F49"/>
    <w:pPr>
      <w:ind w:left="2042" w:hanging="1021"/>
    </w:pPr>
    <w:rPr>
      <w:rFonts w:eastAsia="華康楷書體W5"/>
    </w:rPr>
  </w:style>
  <w:style w:type="paragraph" w:customStyle="1" w:styleId="4">
    <w:name w:val="內文4"/>
    <w:basedOn w:val="33"/>
    <w:rsid w:val="00286F49"/>
    <w:pPr>
      <w:spacing w:line="680" w:lineRule="exact"/>
      <w:ind w:left="1645" w:hanging="624"/>
    </w:pPr>
  </w:style>
  <w:style w:type="paragraph" w:customStyle="1" w:styleId="5">
    <w:name w:val="內文5"/>
    <w:basedOn w:val="33"/>
    <w:rsid w:val="00286F49"/>
    <w:pPr>
      <w:spacing w:before="240"/>
      <w:ind w:left="1305" w:hanging="284"/>
    </w:pPr>
  </w:style>
  <w:style w:type="paragraph" w:customStyle="1" w:styleId="40">
    <w:name w:val="標題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6">
    <w:name w:val="內文6"/>
    <w:basedOn w:val="16"/>
    <w:rsid w:val="00286F49"/>
    <w:pPr>
      <w:spacing w:line="680" w:lineRule="exact"/>
      <w:ind w:left="567" w:firstLine="680"/>
    </w:pPr>
    <w:rPr>
      <w:rFonts w:eastAsia="華康楷書體W5"/>
    </w:rPr>
  </w:style>
  <w:style w:type="paragraph" w:customStyle="1" w:styleId="50">
    <w:name w:val="標題5"/>
    <w:basedOn w:val="40"/>
    <w:rsid w:val="00286F49"/>
    <w:pPr>
      <w:ind w:left="567"/>
    </w:pPr>
    <w:rPr>
      <w:rFonts w:ascii="Book Antiqua"/>
      <w:b w:val="0"/>
      <w:sz w:val="32"/>
    </w:rPr>
  </w:style>
  <w:style w:type="paragraph" w:customStyle="1" w:styleId="7">
    <w:name w:val="內文7"/>
    <w:basedOn w:val="4"/>
    <w:rsid w:val="00286F49"/>
    <w:pPr>
      <w:ind w:left="2211" w:hanging="964"/>
    </w:pPr>
  </w:style>
  <w:style w:type="paragraph" w:customStyle="1" w:styleId="60">
    <w:name w:val="標題6"/>
    <w:basedOn w:val="50"/>
    <w:rsid w:val="00286F49"/>
    <w:rPr>
      <w:b/>
    </w:rPr>
  </w:style>
  <w:style w:type="paragraph" w:customStyle="1" w:styleId="70">
    <w:name w:val="標題7"/>
    <w:basedOn w:val="3"/>
    <w:rsid w:val="00286F49"/>
    <w:pPr>
      <w:spacing w:before="120" w:after="360"/>
      <w:ind w:left="794" w:hanging="1247"/>
      <w:jc w:val="both"/>
      <w:textAlignment w:val="baseline"/>
      <w:outlineLvl w:val="9"/>
    </w:pPr>
    <w:rPr>
      <w:rFonts w:ascii="Arial" w:eastAsia="華康楷書體W5" w:hAnsi="Arial"/>
      <w:b w:val="0"/>
      <w:bCs w:val="0"/>
      <w:spacing w:val="10"/>
      <w:szCs w:val="20"/>
    </w:rPr>
  </w:style>
  <w:style w:type="paragraph" w:customStyle="1" w:styleId="8">
    <w:name w:val="內文8"/>
    <w:basedOn w:val="7"/>
    <w:rsid w:val="00286F49"/>
    <w:pPr>
      <w:spacing w:before="0" w:after="0"/>
    </w:pPr>
  </w:style>
  <w:style w:type="paragraph" w:customStyle="1" w:styleId="9">
    <w:name w:val="內文9"/>
    <w:basedOn w:val="4"/>
    <w:rsid w:val="00286F49"/>
    <w:pPr>
      <w:spacing w:before="0" w:after="0"/>
    </w:pPr>
  </w:style>
  <w:style w:type="paragraph" w:customStyle="1" w:styleId="17">
    <w:name w:val="樣式1"/>
    <w:basedOn w:val="a1"/>
    <w:rsid w:val="00286F49"/>
    <w:pPr>
      <w:spacing w:after="240" w:line="680" w:lineRule="exact"/>
      <w:ind w:left="1134" w:firstLine="567"/>
      <w:jc w:val="both"/>
      <w:textAlignment w:val="baseline"/>
    </w:pPr>
    <w:rPr>
      <w:rFonts w:ascii="Book Antiqua" w:eastAsia="華康楷書體W5"/>
      <w:spacing w:val="10"/>
      <w:sz w:val="36"/>
    </w:rPr>
  </w:style>
  <w:style w:type="paragraph" w:customStyle="1" w:styleId="80">
    <w:name w:val="標題8"/>
    <w:basedOn w:val="3"/>
    <w:rsid w:val="00286F49"/>
    <w:pPr>
      <w:spacing w:before="120" w:after="360"/>
      <w:ind w:left="1814" w:hanging="1247"/>
      <w:jc w:val="both"/>
      <w:textAlignment w:val="baseline"/>
      <w:outlineLvl w:val="9"/>
    </w:pPr>
    <w:rPr>
      <w:rFonts w:ascii="Arial" w:eastAsia="華康楷書體W5" w:hAnsi="Arial"/>
      <w:bCs w:val="0"/>
      <w:spacing w:val="10"/>
      <w:sz w:val="40"/>
      <w:szCs w:val="20"/>
    </w:rPr>
  </w:style>
  <w:style w:type="paragraph" w:customStyle="1" w:styleId="90">
    <w:name w:val="標題9"/>
    <w:basedOn w:val="70"/>
    <w:rsid w:val="00286F49"/>
    <w:pPr>
      <w:ind w:left="680" w:firstLine="0"/>
      <w:jc w:val="left"/>
    </w:pPr>
  </w:style>
  <w:style w:type="paragraph" w:customStyle="1" w:styleId="100">
    <w:name w:val="內文10"/>
    <w:basedOn w:val="6"/>
    <w:rsid w:val="00286F49"/>
    <w:pPr>
      <w:ind w:firstLine="454"/>
    </w:pPr>
  </w:style>
  <w:style w:type="paragraph" w:customStyle="1" w:styleId="110">
    <w:name w:val="內文11"/>
    <w:basedOn w:val="100"/>
    <w:rsid w:val="00286F49"/>
  </w:style>
  <w:style w:type="paragraph" w:customStyle="1" w:styleId="120">
    <w:name w:val="內文12"/>
    <w:basedOn w:val="8"/>
    <w:rsid w:val="00286F49"/>
    <w:pPr>
      <w:ind w:left="1248"/>
    </w:pPr>
    <w:rPr>
      <w:spacing w:val="0"/>
    </w:rPr>
  </w:style>
  <w:style w:type="paragraph" w:customStyle="1" w:styleId="aff4">
    <w:name w:val="ｂ（）ｒ"/>
    <w:basedOn w:val="a1"/>
    <w:rsid w:val="00286F49"/>
    <w:pPr>
      <w:spacing w:before="120" w:after="120" w:line="680" w:lineRule="exact"/>
      <w:ind w:left="2042" w:hanging="1021"/>
      <w:jc w:val="both"/>
      <w:textDirection w:val="lrTbV"/>
      <w:textAlignment w:val="baseline"/>
    </w:pPr>
    <w:rPr>
      <w:rFonts w:ascii="Book Antiqua" w:eastAsia="標楷體"/>
      <w:color w:val="000000"/>
      <w:spacing w:val="10"/>
      <w:sz w:val="36"/>
    </w:rPr>
  </w:style>
  <w:style w:type="paragraph" w:customStyle="1" w:styleId="210">
    <w:name w:val="本文 21"/>
    <w:basedOn w:val="a1"/>
    <w:rsid w:val="00286F49"/>
    <w:pPr>
      <w:spacing w:line="240" w:lineRule="auto"/>
      <w:ind w:firstLine="720"/>
      <w:jc w:val="both"/>
      <w:textAlignment w:val="baseline"/>
    </w:pPr>
    <w:rPr>
      <w:rFonts w:ascii="華康仿宋體W6" w:eastAsia="華康仿宋體W6"/>
      <w:kern w:val="2"/>
      <w:sz w:val="36"/>
    </w:rPr>
  </w:style>
  <w:style w:type="paragraph" w:customStyle="1" w:styleId="aff5">
    <w:name w:val="點段"/>
    <w:basedOn w:val="a1"/>
    <w:rsid w:val="00286F49"/>
    <w:pPr>
      <w:tabs>
        <w:tab w:val="left" w:pos="1332"/>
        <w:tab w:val="left" w:pos="11421"/>
      </w:tabs>
      <w:spacing w:before="120" w:after="120" w:line="440" w:lineRule="atLeast"/>
      <w:ind w:left="976" w:hanging="488"/>
      <w:jc w:val="both"/>
      <w:textAlignment w:val="baseline"/>
    </w:pPr>
    <w:rPr>
      <w:rFonts w:ascii="標楷體" w:eastAsia="標楷體"/>
      <w:sz w:val="36"/>
    </w:rPr>
  </w:style>
  <w:style w:type="paragraph" w:customStyle="1" w:styleId="18">
    <w:name w:val="(1)"/>
    <w:basedOn w:val="a1"/>
    <w:rsid w:val="00286F49"/>
    <w:pPr>
      <w:spacing w:before="120" w:after="120" w:line="360" w:lineRule="auto"/>
      <w:ind w:left="960" w:hanging="450"/>
      <w:jc w:val="both"/>
      <w:textAlignment w:val="baseline"/>
    </w:pPr>
    <w:rPr>
      <w:rFonts w:ascii="細明體"/>
      <w:sz w:val="28"/>
    </w:rPr>
  </w:style>
  <w:style w:type="paragraph" w:customStyle="1" w:styleId="aff6">
    <w:name w:val="(一)文"/>
    <w:basedOn w:val="a1"/>
    <w:rsid w:val="00286F49"/>
    <w:pPr>
      <w:spacing w:before="120" w:after="120" w:line="680" w:lineRule="exact"/>
      <w:ind w:right="40" w:firstLine="765"/>
      <w:textAlignment w:val="baseline"/>
    </w:pPr>
    <w:rPr>
      <w:rFonts w:ascii="華康楷書體W5" w:eastAsia="華康楷書體W5"/>
      <w:spacing w:val="20"/>
      <w:sz w:val="36"/>
    </w:rPr>
  </w:style>
  <w:style w:type="paragraph" w:customStyle="1" w:styleId="aff7">
    <w:name w:val="姓名"/>
    <w:basedOn w:val="a1"/>
    <w:rsid w:val="00286F49"/>
    <w:pPr>
      <w:spacing w:before="120" w:after="120" w:line="360" w:lineRule="auto"/>
      <w:ind w:left="510"/>
      <w:jc w:val="center"/>
      <w:textAlignment w:val="baseline"/>
    </w:pPr>
    <w:rPr>
      <w:rFonts w:ascii="Book Antiqua" w:eastAsia="華康隸書體W5"/>
      <w:sz w:val="28"/>
    </w:rPr>
  </w:style>
  <w:style w:type="paragraph" w:customStyle="1" w:styleId="19">
    <w:name w:val="段落1"/>
    <w:basedOn w:val="a1"/>
    <w:rsid w:val="00286F49"/>
    <w:pPr>
      <w:spacing w:before="120" w:after="120" w:line="960" w:lineRule="atLeast"/>
      <w:ind w:firstLine="1080"/>
      <w:jc w:val="both"/>
      <w:textAlignment w:val="baseline"/>
    </w:pPr>
    <w:rPr>
      <w:rFonts w:ascii="華康中楷體" w:eastAsia="華康中楷體"/>
      <w:spacing w:val="5"/>
      <w:sz w:val="54"/>
    </w:rPr>
  </w:style>
  <w:style w:type="paragraph" w:styleId="aff8">
    <w:name w:val="Document Map"/>
    <w:basedOn w:val="a1"/>
    <w:link w:val="aff9"/>
    <w:semiHidden/>
    <w:rsid w:val="00286F49"/>
    <w:pPr>
      <w:shd w:val="clear" w:color="auto" w:fill="000080"/>
      <w:spacing w:after="240" w:line="680" w:lineRule="exact"/>
      <w:ind w:left="1134" w:firstLine="567"/>
      <w:jc w:val="both"/>
      <w:textAlignment w:val="baseline"/>
    </w:pPr>
    <w:rPr>
      <w:rFonts w:ascii="Arial" w:eastAsia="新細明體" w:hAnsi="Arial"/>
      <w:spacing w:val="10"/>
      <w:sz w:val="36"/>
    </w:rPr>
  </w:style>
  <w:style w:type="character" w:customStyle="1" w:styleId="aff9">
    <w:name w:val="文件引導模式 字元"/>
    <w:link w:val="aff8"/>
    <w:semiHidden/>
    <w:rsid w:val="00286F49"/>
    <w:rPr>
      <w:rFonts w:ascii="Arial" w:hAnsi="Arial"/>
      <w:spacing w:val="10"/>
      <w:sz w:val="36"/>
      <w:shd w:val="clear" w:color="auto" w:fill="000080"/>
    </w:rPr>
  </w:style>
  <w:style w:type="paragraph" w:customStyle="1" w:styleId="D4">
    <w:name w:val="陏D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BodyText22">
    <w:name w:val="Body Text 22"/>
    <w:basedOn w:val="a1"/>
    <w:rsid w:val="00286F49"/>
    <w:pPr>
      <w:spacing w:before="120" w:after="120" w:line="440" w:lineRule="exact"/>
      <w:textAlignment w:val="baseline"/>
    </w:pPr>
    <w:rPr>
      <w:rFonts w:ascii="標楷體" w:eastAsia="標楷體"/>
      <w:sz w:val="30"/>
    </w:rPr>
  </w:style>
  <w:style w:type="paragraph" w:customStyle="1" w:styleId="affa">
    <w:name w:val="中標題"/>
    <w:basedOn w:val="a1"/>
    <w:rsid w:val="00286F49"/>
    <w:pPr>
      <w:tabs>
        <w:tab w:val="left" w:pos="12960"/>
      </w:tabs>
      <w:spacing w:line="400" w:lineRule="atLeast"/>
      <w:textAlignment w:val="baseline"/>
    </w:pPr>
    <w:rPr>
      <w:sz w:val="22"/>
    </w:rPr>
  </w:style>
  <w:style w:type="paragraph" w:customStyle="1" w:styleId="affb">
    <w:name w:val="大標題本文"/>
    <w:basedOn w:val="a1"/>
    <w:rsid w:val="00286F49"/>
    <w:pPr>
      <w:tabs>
        <w:tab w:val="left" w:pos="13680"/>
      </w:tabs>
      <w:spacing w:before="60" w:after="60" w:line="440" w:lineRule="exact"/>
      <w:ind w:firstLine="476"/>
      <w:jc w:val="both"/>
      <w:textAlignment w:val="baseline"/>
    </w:pPr>
    <w:rPr>
      <w:rFonts w:eastAsia="華康中楷體"/>
      <w:sz w:val="24"/>
    </w:rPr>
  </w:style>
  <w:style w:type="character" w:customStyle="1" w:styleId="textstory1">
    <w:name w:val="text_story1"/>
    <w:rsid w:val="00286F49"/>
    <w:rPr>
      <w:rFonts w:ascii="sө" w:hAnsi="sө" w:hint="default"/>
      <w:i w:val="0"/>
      <w:iCs w:val="0"/>
      <w:strike w:val="0"/>
      <w:dstrike w:val="0"/>
      <w:color w:val="000000"/>
      <w:sz w:val="22"/>
      <w:szCs w:val="22"/>
      <w:u w:val="none"/>
      <w:effect w:val="none"/>
    </w:rPr>
  </w:style>
  <w:style w:type="paragraph" w:customStyle="1" w:styleId="section">
    <w:name w:val="section"/>
    <w:basedOn w:val="a1"/>
    <w:rsid w:val="00286F49"/>
    <w:pPr>
      <w:tabs>
        <w:tab w:val="left" w:pos="5580"/>
      </w:tabs>
      <w:autoSpaceDE w:val="0"/>
      <w:autoSpaceDN w:val="0"/>
      <w:spacing w:before="120" w:after="120" w:line="480" w:lineRule="atLeast"/>
      <w:ind w:firstLine="539"/>
      <w:jc w:val="both"/>
      <w:textAlignment w:val="baseline"/>
    </w:pPr>
    <w:rPr>
      <w:rFonts w:eastAsia="標楷體"/>
      <w:sz w:val="28"/>
    </w:rPr>
  </w:style>
  <w:style w:type="paragraph" w:styleId="affc">
    <w:name w:val="Salutation"/>
    <w:basedOn w:val="a1"/>
    <w:next w:val="a1"/>
    <w:link w:val="affd"/>
    <w:rsid w:val="00286F49"/>
    <w:pPr>
      <w:spacing w:after="240" w:line="680" w:lineRule="exact"/>
      <w:ind w:left="1134" w:firstLine="567"/>
      <w:jc w:val="both"/>
      <w:textAlignment w:val="baseline"/>
    </w:pPr>
    <w:rPr>
      <w:rFonts w:ascii="標楷體" w:eastAsia="標楷體" w:hAnsi="Garamond"/>
      <w:spacing w:val="20"/>
      <w:sz w:val="32"/>
    </w:rPr>
  </w:style>
  <w:style w:type="character" w:customStyle="1" w:styleId="affd">
    <w:name w:val="問候 字元"/>
    <w:link w:val="affc"/>
    <w:rsid w:val="00286F49"/>
    <w:rPr>
      <w:rFonts w:ascii="標楷體" w:eastAsia="標楷體" w:hAnsi="Garamond"/>
      <w:spacing w:val="20"/>
      <w:sz w:val="32"/>
    </w:rPr>
  </w:style>
  <w:style w:type="paragraph" w:styleId="affe">
    <w:name w:val="Closing"/>
    <w:basedOn w:val="a1"/>
    <w:next w:val="a1"/>
    <w:link w:val="afff"/>
    <w:rsid w:val="00286F49"/>
    <w:pPr>
      <w:spacing w:after="240" w:line="680" w:lineRule="exact"/>
      <w:ind w:left="4320" w:firstLine="567"/>
      <w:jc w:val="both"/>
      <w:textAlignment w:val="baseline"/>
    </w:pPr>
    <w:rPr>
      <w:rFonts w:ascii="標楷體" w:eastAsia="標楷體" w:hAnsi="Garamond"/>
      <w:spacing w:val="20"/>
      <w:sz w:val="32"/>
    </w:rPr>
  </w:style>
  <w:style w:type="character" w:customStyle="1" w:styleId="afff">
    <w:name w:val="結語 字元"/>
    <w:link w:val="affe"/>
    <w:rsid w:val="00286F49"/>
    <w:rPr>
      <w:rFonts w:ascii="標楷體" w:eastAsia="標楷體" w:hAnsi="Garamond"/>
      <w:spacing w:val="20"/>
      <w:sz w:val="32"/>
    </w:rPr>
  </w:style>
  <w:style w:type="paragraph" w:customStyle="1" w:styleId="afff0">
    <w:name w:val="小段"/>
    <w:basedOn w:val="a1"/>
    <w:rsid w:val="00286F49"/>
    <w:pPr>
      <w:adjustRightInd/>
      <w:snapToGrid w:val="0"/>
      <w:spacing w:before="120" w:after="120" w:line="500" w:lineRule="atLeast"/>
      <w:ind w:right="26" w:firstLine="720"/>
      <w:jc w:val="both"/>
      <w:textAlignment w:val="auto"/>
    </w:pPr>
    <w:rPr>
      <w:rFonts w:eastAsia="標楷體"/>
      <w:kern w:val="2"/>
      <w:sz w:val="32"/>
    </w:rPr>
  </w:style>
  <w:style w:type="paragraph" w:customStyle="1" w:styleId="main">
    <w:name w:val="main"/>
    <w:basedOn w:val="a1"/>
    <w:rsid w:val="00286F49"/>
    <w:pPr>
      <w:adjustRightInd/>
      <w:snapToGrid w:val="0"/>
      <w:spacing w:beforeLines="50" w:before="180" w:afterLines="50" w:after="180" w:line="540" w:lineRule="atLeast"/>
      <w:ind w:firstLineChars="200" w:firstLine="560"/>
      <w:jc w:val="both"/>
      <w:textAlignment w:val="auto"/>
    </w:pPr>
    <w:rPr>
      <w:rFonts w:ascii="標楷體" w:eastAsia="標楷體" w:hAnsi="標楷體"/>
      <w:kern w:val="2"/>
      <w:sz w:val="28"/>
      <w:szCs w:val="24"/>
    </w:rPr>
  </w:style>
  <w:style w:type="paragraph" w:customStyle="1" w:styleId="P0">
    <w:name w:val="P0"/>
    <w:basedOn w:val="afb"/>
    <w:rsid w:val="00286F49"/>
    <w:pPr>
      <w:snapToGrid w:val="0"/>
      <w:spacing w:before="120" w:line="700" w:lineRule="atLeast"/>
      <w:ind w:left="960" w:firstLine="720"/>
      <w:textDirection w:val="lrTbV"/>
      <w:textAlignment w:val="baseline"/>
    </w:pPr>
    <w:rPr>
      <w:rFonts w:ascii="標楷體"/>
      <w:spacing w:val="20"/>
    </w:rPr>
  </w:style>
  <w:style w:type="paragraph" w:customStyle="1" w:styleId="afff1">
    <w:name w:val="表內容"/>
    <w:basedOn w:val="24"/>
    <w:rsid w:val="00286F49"/>
    <w:pPr>
      <w:spacing w:before="0" w:line="240" w:lineRule="atLeast"/>
      <w:ind w:left="0"/>
      <w:jc w:val="center"/>
    </w:pPr>
    <w:rPr>
      <w:spacing w:val="0"/>
      <w:sz w:val="22"/>
    </w:rPr>
  </w:style>
  <w:style w:type="character" w:customStyle="1" w:styleId="text11">
    <w:name w:val="text11"/>
    <w:rsid w:val="00286F49"/>
    <w:rPr>
      <w:color w:val="000000"/>
      <w:sz w:val="22"/>
      <w:szCs w:val="22"/>
    </w:rPr>
  </w:style>
  <w:style w:type="paragraph" w:styleId="20">
    <w:name w:val="toc 2"/>
    <w:aliases w:val="樣式(一)"/>
    <w:basedOn w:val="a1"/>
    <w:autoRedefine/>
    <w:semiHidden/>
    <w:rsid w:val="00286F49"/>
    <w:pPr>
      <w:numPr>
        <w:ilvl w:val="1"/>
        <w:numId w:val="1"/>
      </w:numPr>
      <w:adjustRightInd/>
      <w:spacing w:line="240" w:lineRule="auto"/>
      <w:jc w:val="both"/>
      <w:textAlignment w:val="auto"/>
    </w:pPr>
    <w:rPr>
      <w:rFonts w:eastAsia="標楷體"/>
      <w:b/>
      <w:kern w:val="2"/>
      <w:sz w:val="28"/>
    </w:rPr>
  </w:style>
  <w:style w:type="character" w:styleId="afff2">
    <w:name w:val="Hyperlink"/>
    <w:rsid w:val="00286F49"/>
    <w:rPr>
      <w:strike w:val="0"/>
      <w:dstrike w:val="0"/>
      <w:color w:val="0066CC"/>
      <w:u w:val="none"/>
      <w:effect w:val="none"/>
    </w:rPr>
  </w:style>
  <w:style w:type="character" w:styleId="afff3">
    <w:name w:val="FollowedHyperlink"/>
    <w:rsid w:val="00286F49"/>
    <w:rPr>
      <w:color w:val="800080"/>
      <w:u w:val="single"/>
    </w:rPr>
  </w:style>
  <w:style w:type="character" w:customStyle="1" w:styleId="newscontent1">
    <w:name w:val="news_content1"/>
    <w:rsid w:val="00286F49"/>
    <w:rPr>
      <w:sz w:val="19"/>
      <w:szCs w:val="19"/>
    </w:rPr>
  </w:style>
  <w:style w:type="paragraph" w:customStyle="1" w:styleId="afff4">
    <w:name w:val="內文 + 標楷體"/>
    <w:aliases w:val="16 點,左右對齊,左:  0 cm,凸出:  3.6 字元,行距:  固定行高 30 pt,14 點"/>
    <w:basedOn w:val="a1"/>
    <w:rsid w:val="00286F49"/>
    <w:pPr>
      <w:adjustRightInd/>
      <w:spacing w:line="240" w:lineRule="auto"/>
      <w:textAlignment w:val="auto"/>
    </w:pPr>
    <w:rPr>
      <w:rFonts w:ascii="標楷體" w:eastAsia="標楷體" w:hAnsi="標楷體"/>
      <w:kern w:val="2"/>
      <w:sz w:val="28"/>
      <w:szCs w:val="28"/>
    </w:rPr>
  </w:style>
  <w:style w:type="character" w:customStyle="1" w:styleId="mbody6">
    <w:name w:val="mbody6"/>
    <w:rsid w:val="00286F49"/>
    <w:rPr>
      <w:rFonts w:ascii="Arial" w:hAnsi="Arial" w:cs="Arial" w:hint="default"/>
      <w:sz w:val="24"/>
      <w:szCs w:val="24"/>
    </w:rPr>
  </w:style>
  <w:style w:type="paragraph" w:customStyle="1" w:styleId="afff5">
    <w:name w:val="一'"/>
    <w:basedOn w:val="a1"/>
    <w:rsid w:val="00286F49"/>
    <w:pPr>
      <w:spacing w:line="560" w:lineRule="atLeast"/>
      <w:ind w:firstLine="720"/>
      <w:jc w:val="both"/>
      <w:textAlignment w:val="baseline"/>
    </w:pPr>
    <w:rPr>
      <w:rFonts w:ascii="標楷體" w:eastAsia="標楷體"/>
      <w:sz w:val="36"/>
    </w:rPr>
  </w:style>
  <w:style w:type="paragraph" w:customStyle="1" w:styleId="default0">
    <w:name w:val="default"/>
    <w:basedOn w:val="a1"/>
    <w:rsid w:val="00286F49"/>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customStyle="1" w:styleId="25">
    <w:name w:val="字元 字元2 字元 字元 字元 字元"/>
    <w:basedOn w:val="a1"/>
    <w:semiHidden/>
    <w:rsid w:val="00286F49"/>
    <w:pPr>
      <w:widowControl/>
      <w:adjustRightInd/>
      <w:spacing w:after="160" w:line="240" w:lineRule="exact"/>
      <w:textAlignment w:val="auto"/>
    </w:pPr>
    <w:rPr>
      <w:rFonts w:ascii="Verdana" w:eastAsia="Times New Roman" w:hAnsi="Verdana" w:cs="Mangal"/>
      <w:kern w:val="2"/>
      <w:szCs w:val="24"/>
      <w:lang w:eastAsia="en-US" w:bidi="hi-IN"/>
    </w:rPr>
  </w:style>
  <w:style w:type="character" w:customStyle="1" w:styleId="newmidwordlarge1">
    <w:name w:val="new_mid_word_large1"/>
    <w:rsid w:val="00286F49"/>
    <w:rPr>
      <w:rFonts w:ascii="Arial" w:hAnsi="Arial" w:cs="Arial" w:hint="default"/>
      <w:strike w:val="0"/>
      <w:dstrike w:val="0"/>
      <w:color w:val="555555"/>
      <w:sz w:val="19"/>
      <w:szCs w:val="19"/>
      <w:u w:val="none"/>
      <w:effect w:val="none"/>
    </w:rPr>
  </w:style>
  <w:style w:type="character" w:customStyle="1" w:styleId="12">
    <w:name w:val="標題 1 字元"/>
    <w:link w:val="11"/>
    <w:uiPriority w:val="9"/>
    <w:rsid w:val="00286F49"/>
    <w:rPr>
      <w:rFonts w:ascii="Arial Unicode MS" w:eastAsia="Arial Unicode MS" w:hAnsi="Arial Unicode MS" w:cs="Arial Unicode MS"/>
      <w:b/>
      <w:bCs/>
      <w:kern w:val="36"/>
      <w:sz w:val="48"/>
      <w:szCs w:val="48"/>
    </w:rPr>
  </w:style>
  <w:style w:type="paragraph" w:styleId="afff6">
    <w:name w:val="List Paragraph"/>
    <w:basedOn w:val="a1"/>
    <w:uiPriority w:val="34"/>
    <w:qFormat/>
    <w:rsid w:val="00286F49"/>
    <w:pPr>
      <w:spacing w:after="240" w:line="680" w:lineRule="exact"/>
      <w:ind w:leftChars="200" w:left="480" w:firstLine="567"/>
      <w:jc w:val="both"/>
      <w:textAlignment w:val="baseline"/>
    </w:pPr>
    <w:rPr>
      <w:rFonts w:ascii="Book Antiqua" w:eastAsia="華康楷書體W5"/>
      <w:spacing w:val="10"/>
      <w:sz w:val="36"/>
    </w:rPr>
  </w:style>
  <w:style w:type="table" w:styleId="afff7">
    <w:name w:val="Table Grid"/>
    <w:basedOn w:val="a3"/>
    <w:rsid w:val="00286F49"/>
    <w:rPr>
      <w:rFonts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註腳文字 字元"/>
    <w:link w:val="afc"/>
    <w:uiPriority w:val="99"/>
    <w:rsid w:val="00286F49"/>
    <w:rPr>
      <w:kern w:val="2"/>
    </w:rPr>
  </w:style>
  <w:style w:type="character" w:customStyle="1" w:styleId="a7">
    <w:name w:val="頁尾 字元"/>
    <w:link w:val="a6"/>
    <w:uiPriority w:val="99"/>
    <w:rsid w:val="0091791E"/>
    <w:rPr>
      <w:rFonts w:eastAsia="細明體"/>
      <w:sz w:val="18"/>
    </w:rPr>
  </w:style>
  <w:style w:type="character" w:customStyle="1" w:styleId="a9">
    <w:name w:val="頁首 字元"/>
    <w:link w:val="a8"/>
    <w:uiPriority w:val="99"/>
    <w:rsid w:val="00527E73"/>
    <w:rPr>
      <w:rFonts w:eastAsia="細明體"/>
    </w:rPr>
  </w:style>
  <w:style w:type="paragraph" w:customStyle="1" w:styleId="10">
    <w:name w:val="理監事會第 1層"/>
    <w:basedOn w:val="af1"/>
    <w:qFormat/>
    <w:rsid w:val="006D5EC2"/>
    <w:pPr>
      <w:widowControl/>
      <w:numPr>
        <w:numId w:val="3"/>
      </w:numPr>
      <w:topLinePunct/>
      <w:snapToGrid w:val="0"/>
      <w:spacing w:after="100" w:line="580" w:lineRule="exact"/>
      <w:ind w:left="925" w:right="0" w:hanging="641"/>
      <w:textDirection w:val="lrTb"/>
      <w:textAlignment w:val="auto"/>
    </w:pPr>
    <w:rPr>
      <w:rFonts w:ascii="Times New Roman" w:eastAsia="標楷體"/>
      <w:snapToGrid w:val="0"/>
      <w:spacing w:val="0"/>
      <w:sz w:val="32"/>
    </w:rPr>
  </w:style>
  <w:style w:type="paragraph" w:customStyle="1" w:styleId="2">
    <w:name w:val="理監事會第2層"/>
    <w:basedOn w:val="a1"/>
    <w:qFormat/>
    <w:rsid w:val="006D5EC2"/>
    <w:pPr>
      <w:widowControl/>
      <w:numPr>
        <w:numId w:val="4"/>
      </w:numPr>
      <w:tabs>
        <w:tab w:val="left" w:pos="1276"/>
      </w:tabs>
      <w:topLinePunct/>
      <w:snapToGrid w:val="0"/>
      <w:spacing w:after="100" w:line="580" w:lineRule="exact"/>
      <w:jc w:val="both"/>
      <w:textAlignment w:val="auto"/>
    </w:pPr>
    <w:rPr>
      <w:rFonts w:eastAsia="標楷體"/>
      <w:kern w:val="2"/>
      <w:sz w:val="32"/>
      <w:szCs w:val="24"/>
    </w:rPr>
  </w:style>
  <w:style w:type="paragraph" w:customStyle="1" w:styleId="34">
    <w:name w:val="理監事會第3層"/>
    <w:basedOn w:val="a1"/>
    <w:qFormat/>
    <w:rsid w:val="006D5EC2"/>
    <w:pPr>
      <w:widowControl/>
      <w:topLinePunct/>
      <w:snapToGrid w:val="0"/>
      <w:spacing w:after="100" w:line="580" w:lineRule="exact"/>
      <w:jc w:val="both"/>
      <w:textAlignment w:val="auto"/>
    </w:pPr>
    <w:rPr>
      <w:rFonts w:eastAsia="標楷體"/>
      <w:snapToGrid w:val="0"/>
      <w:sz w:val="32"/>
      <w:szCs w:val="24"/>
    </w:rPr>
  </w:style>
  <w:style w:type="paragraph" w:customStyle="1" w:styleId="1">
    <w:name w:val="1."/>
    <w:basedOn w:val="a1"/>
    <w:autoRedefine/>
    <w:rsid w:val="00EE7DB0"/>
    <w:pPr>
      <w:numPr>
        <w:numId w:val="5"/>
      </w:numPr>
      <w:topLinePunct/>
      <w:adjustRightInd/>
      <w:spacing w:after="100" w:line="580" w:lineRule="exact"/>
      <w:ind w:left="1406" w:right="28" w:hanging="641"/>
      <w:jc w:val="both"/>
      <w:textAlignment w:val="auto"/>
    </w:pPr>
    <w:rPr>
      <w:rFonts w:ascii="標楷體" w:eastAsia="標楷體"/>
      <w:kern w:val="2"/>
      <w:sz w:val="32"/>
      <w:szCs w:val="24"/>
    </w:rPr>
  </w:style>
  <w:style w:type="character" w:customStyle="1" w:styleId="af5">
    <w:name w:val="本文 字元"/>
    <w:basedOn w:val="a2"/>
    <w:link w:val="af4"/>
    <w:locked/>
    <w:rsid w:val="00BD32CA"/>
    <w:rPr>
      <w:rFonts w:eastAsia="標楷體"/>
      <w:sz w:val="32"/>
    </w:rPr>
  </w:style>
  <w:style w:type="paragraph" w:styleId="a">
    <w:name w:val="List Bullet"/>
    <w:basedOn w:val="a1"/>
    <w:uiPriority w:val="99"/>
    <w:unhideWhenUsed/>
    <w:rsid w:val="008814F0"/>
    <w:pPr>
      <w:numPr>
        <w:numId w:val="18"/>
      </w:numPr>
      <w:adjustRightInd/>
      <w:spacing w:line="240" w:lineRule="auto"/>
      <w:contextualSpacing/>
      <w:textAlignment w:val="auto"/>
    </w:pPr>
    <w:rPr>
      <w:rFonts w:eastAsia="新細明體"/>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7012">
      <w:bodyDiv w:val="1"/>
      <w:marLeft w:val="0"/>
      <w:marRight w:val="0"/>
      <w:marTop w:val="0"/>
      <w:marBottom w:val="0"/>
      <w:divBdr>
        <w:top w:val="none" w:sz="0" w:space="0" w:color="auto"/>
        <w:left w:val="none" w:sz="0" w:space="0" w:color="auto"/>
        <w:bottom w:val="none" w:sz="0" w:space="0" w:color="auto"/>
        <w:right w:val="none" w:sz="0" w:space="0" w:color="auto"/>
      </w:divBdr>
      <w:divsChild>
        <w:div w:id="1287732111">
          <w:marLeft w:val="0"/>
          <w:marRight w:val="0"/>
          <w:marTop w:val="0"/>
          <w:marBottom w:val="0"/>
          <w:divBdr>
            <w:top w:val="none" w:sz="0" w:space="0" w:color="auto"/>
            <w:left w:val="none" w:sz="0" w:space="0" w:color="auto"/>
            <w:bottom w:val="none" w:sz="0" w:space="0" w:color="auto"/>
            <w:right w:val="none" w:sz="0" w:space="0" w:color="auto"/>
          </w:divBdr>
          <w:divsChild>
            <w:div w:id="1354460009">
              <w:marLeft w:val="0"/>
              <w:marRight w:val="0"/>
              <w:marTop w:val="0"/>
              <w:marBottom w:val="0"/>
              <w:divBdr>
                <w:top w:val="none" w:sz="0" w:space="0" w:color="auto"/>
                <w:left w:val="none" w:sz="0" w:space="0" w:color="auto"/>
                <w:bottom w:val="none" w:sz="0" w:space="0" w:color="auto"/>
                <w:right w:val="none" w:sz="0" w:space="0" w:color="auto"/>
              </w:divBdr>
              <w:divsChild>
                <w:div w:id="480732112">
                  <w:marLeft w:val="0"/>
                  <w:marRight w:val="0"/>
                  <w:marTop w:val="0"/>
                  <w:marBottom w:val="0"/>
                  <w:divBdr>
                    <w:top w:val="none" w:sz="0" w:space="0" w:color="auto"/>
                    <w:left w:val="none" w:sz="0" w:space="0" w:color="auto"/>
                    <w:bottom w:val="none" w:sz="0" w:space="0" w:color="auto"/>
                    <w:right w:val="none" w:sz="0" w:space="0" w:color="auto"/>
                  </w:divBdr>
                  <w:divsChild>
                    <w:div w:id="126896340">
                      <w:marLeft w:val="0"/>
                      <w:marRight w:val="0"/>
                      <w:marTop w:val="0"/>
                      <w:marBottom w:val="0"/>
                      <w:divBdr>
                        <w:top w:val="none" w:sz="0" w:space="0" w:color="auto"/>
                        <w:left w:val="none" w:sz="0" w:space="0" w:color="auto"/>
                        <w:bottom w:val="none" w:sz="0" w:space="0" w:color="auto"/>
                        <w:right w:val="none" w:sz="0" w:space="0" w:color="auto"/>
                      </w:divBdr>
                      <w:divsChild>
                        <w:div w:id="266472809">
                          <w:marLeft w:val="0"/>
                          <w:marRight w:val="0"/>
                          <w:marTop w:val="0"/>
                          <w:marBottom w:val="0"/>
                          <w:divBdr>
                            <w:top w:val="none" w:sz="0" w:space="0" w:color="auto"/>
                            <w:left w:val="none" w:sz="0" w:space="0" w:color="auto"/>
                            <w:bottom w:val="none" w:sz="0" w:space="0" w:color="auto"/>
                            <w:right w:val="none" w:sz="0" w:space="0" w:color="auto"/>
                          </w:divBdr>
                          <w:divsChild>
                            <w:div w:id="33966606">
                              <w:marLeft w:val="0"/>
                              <w:marRight w:val="0"/>
                              <w:marTop w:val="0"/>
                              <w:marBottom w:val="0"/>
                              <w:divBdr>
                                <w:top w:val="none" w:sz="0" w:space="0" w:color="auto"/>
                                <w:left w:val="none" w:sz="0" w:space="0" w:color="auto"/>
                                <w:bottom w:val="none" w:sz="0" w:space="0" w:color="auto"/>
                                <w:right w:val="none" w:sz="0" w:space="0" w:color="auto"/>
                              </w:divBdr>
                              <w:divsChild>
                                <w:div w:id="719282890">
                                  <w:marLeft w:val="0"/>
                                  <w:marRight w:val="0"/>
                                  <w:marTop w:val="0"/>
                                  <w:marBottom w:val="0"/>
                                  <w:divBdr>
                                    <w:top w:val="none" w:sz="0" w:space="0" w:color="auto"/>
                                    <w:left w:val="none" w:sz="0" w:space="0" w:color="auto"/>
                                    <w:bottom w:val="none" w:sz="0" w:space="0" w:color="auto"/>
                                    <w:right w:val="none" w:sz="0" w:space="0" w:color="auto"/>
                                  </w:divBdr>
                                  <w:divsChild>
                                    <w:div w:id="2054769483">
                                      <w:marLeft w:val="0"/>
                                      <w:marRight w:val="0"/>
                                      <w:marTop w:val="0"/>
                                      <w:marBottom w:val="0"/>
                                      <w:divBdr>
                                        <w:top w:val="none" w:sz="0" w:space="0" w:color="auto"/>
                                        <w:left w:val="none" w:sz="0" w:space="0" w:color="auto"/>
                                        <w:bottom w:val="none" w:sz="0" w:space="0" w:color="auto"/>
                                        <w:right w:val="none" w:sz="0" w:space="0" w:color="auto"/>
                                      </w:divBdr>
                                      <w:divsChild>
                                        <w:div w:id="1334407986">
                                          <w:marLeft w:val="0"/>
                                          <w:marRight w:val="0"/>
                                          <w:marTop w:val="0"/>
                                          <w:marBottom w:val="525"/>
                                          <w:divBdr>
                                            <w:top w:val="none" w:sz="0" w:space="0" w:color="auto"/>
                                            <w:left w:val="none" w:sz="0" w:space="0" w:color="auto"/>
                                            <w:bottom w:val="none" w:sz="0" w:space="0" w:color="auto"/>
                                            <w:right w:val="none" w:sz="0" w:space="0" w:color="auto"/>
                                          </w:divBdr>
                                          <w:divsChild>
                                            <w:div w:id="1849908556">
                                              <w:marLeft w:val="0"/>
                                              <w:marRight w:val="0"/>
                                              <w:marTop w:val="0"/>
                                              <w:marBottom w:val="0"/>
                                              <w:divBdr>
                                                <w:top w:val="none" w:sz="0" w:space="0" w:color="auto"/>
                                                <w:left w:val="none" w:sz="0" w:space="0" w:color="auto"/>
                                                <w:bottom w:val="none" w:sz="0" w:space="0" w:color="auto"/>
                                                <w:right w:val="none" w:sz="0" w:space="0" w:color="auto"/>
                                              </w:divBdr>
                                              <w:divsChild>
                                                <w:div w:id="1001662720">
                                                  <w:marLeft w:val="0"/>
                                                  <w:marRight w:val="0"/>
                                                  <w:marTop w:val="225"/>
                                                  <w:marBottom w:val="0"/>
                                                  <w:divBdr>
                                                    <w:top w:val="none" w:sz="0" w:space="0" w:color="auto"/>
                                                    <w:left w:val="none" w:sz="0" w:space="0" w:color="auto"/>
                                                    <w:bottom w:val="none" w:sz="0" w:space="0" w:color="auto"/>
                                                    <w:right w:val="none" w:sz="0" w:space="0" w:color="auto"/>
                                                  </w:divBdr>
                                                  <w:divsChild>
                                                    <w:div w:id="1366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80650">
      <w:bodyDiv w:val="1"/>
      <w:marLeft w:val="0"/>
      <w:marRight w:val="0"/>
      <w:marTop w:val="0"/>
      <w:marBottom w:val="0"/>
      <w:divBdr>
        <w:top w:val="none" w:sz="0" w:space="0" w:color="auto"/>
        <w:left w:val="none" w:sz="0" w:space="0" w:color="auto"/>
        <w:bottom w:val="none" w:sz="0" w:space="0" w:color="auto"/>
        <w:right w:val="none" w:sz="0" w:space="0" w:color="auto"/>
      </w:divBdr>
    </w:div>
    <w:div w:id="306513676">
      <w:bodyDiv w:val="1"/>
      <w:marLeft w:val="0"/>
      <w:marRight w:val="0"/>
      <w:marTop w:val="0"/>
      <w:marBottom w:val="0"/>
      <w:divBdr>
        <w:top w:val="none" w:sz="0" w:space="0" w:color="auto"/>
        <w:left w:val="none" w:sz="0" w:space="0" w:color="auto"/>
        <w:bottom w:val="none" w:sz="0" w:space="0" w:color="auto"/>
        <w:right w:val="none" w:sz="0" w:space="0" w:color="auto"/>
      </w:divBdr>
    </w:div>
    <w:div w:id="472910718">
      <w:bodyDiv w:val="1"/>
      <w:marLeft w:val="0"/>
      <w:marRight w:val="0"/>
      <w:marTop w:val="0"/>
      <w:marBottom w:val="0"/>
      <w:divBdr>
        <w:top w:val="none" w:sz="0" w:space="0" w:color="auto"/>
        <w:left w:val="none" w:sz="0" w:space="0" w:color="auto"/>
        <w:bottom w:val="none" w:sz="0" w:space="0" w:color="auto"/>
        <w:right w:val="none" w:sz="0" w:space="0" w:color="auto"/>
      </w:divBdr>
    </w:div>
    <w:div w:id="504130895">
      <w:bodyDiv w:val="1"/>
      <w:marLeft w:val="0"/>
      <w:marRight w:val="0"/>
      <w:marTop w:val="0"/>
      <w:marBottom w:val="240"/>
      <w:divBdr>
        <w:top w:val="none" w:sz="0" w:space="0" w:color="auto"/>
        <w:left w:val="none" w:sz="0" w:space="0" w:color="auto"/>
        <w:bottom w:val="none" w:sz="0" w:space="0" w:color="auto"/>
        <w:right w:val="none" w:sz="0" w:space="0" w:color="auto"/>
      </w:divBdr>
      <w:divsChild>
        <w:div w:id="1841000680">
          <w:marLeft w:val="0"/>
          <w:marRight w:val="0"/>
          <w:marTop w:val="0"/>
          <w:marBottom w:val="0"/>
          <w:divBdr>
            <w:top w:val="none" w:sz="0" w:space="0" w:color="auto"/>
            <w:left w:val="none" w:sz="0" w:space="0" w:color="auto"/>
            <w:bottom w:val="none" w:sz="0" w:space="0" w:color="auto"/>
            <w:right w:val="none" w:sz="0" w:space="0" w:color="auto"/>
          </w:divBdr>
          <w:divsChild>
            <w:div w:id="494877479">
              <w:marLeft w:val="150"/>
              <w:marRight w:val="150"/>
              <w:marTop w:val="0"/>
              <w:marBottom w:val="0"/>
              <w:divBdr>
                <w:top w:val="none" w:sz="0" w:space="0" w:color="auto"/>
                <w:left w:val="none" w:sz="0" w:space="0" w:color="auto"/>
                <w:bottom w:val="none" w:sz="0" w:space="0" w:color="auto"/>
                <w:right w:val="none" w:sz="0" w:space="0" w:color="auto"/>
              </w:divBdr>
              <w:divsChild>
                <w:div w:id="1365592283">
                  <w:marLeft w:val="-2400"/>
                  <w:marRight w:val="0"/>
                  <w:marTop w:val="0"/>
                  <w:marBottom w:val="0"/>
                  <w:divBdr>
                    <w:top w:val="none" w:sz="0" w:space="0" w:color="auto"/>
                    <w:left w:val="none" w:sz="0" w:space="0" w:color="auto"/>
                    <w:bottom w:val="none" w:sz="0" w:space="0" w:color="auto"/>
                    <w:right w:val="none" w:sz="0" w:space="0" w:color="auto"/>
                  </w:divBdr>
                  <w:divsChild>
                    <w:div w:id="2115710508">
                      <w:marLeft w:val="2400"/>
                      <w:marRight w:val="0"/>
                      <w:marTop w:val="0"/>
                      <w:marBottom w:val="0"/>
                      <w:divBdr>
                        <w:top w:val="none" w:sz="0" w:space="0" w:color="auto"/>
                        <w:left w:val="none" w:sz="0" w:space="0" w:color="auto"/>
                        <w:bottom w:val="none" w:sz="0" w:space="0" w:color="auto"/>
                        <w:right w:val="none" w:sz="0" w:space="0" w:color="auto"/>
                      </w:divBdr>
                      <w:divsChild>
                        <w:div w:id="72167117">
                          <w:marLeft w:val="0"/>
                          <w:marRight w:val="-2400"/>
                          <w:marTop w:val="0"/>
                          <w:marBottom w:val="0"/>
                          <w:divBdr>
                            <w:top w:val="none" w:sz="0" w:space="0" w:color="auto"/>
                            <w:left w:val="none" w:sz="0" w:space="0" w:color="auto"/>
                            <w:bottom w:val="none" w:sz="0" w:space="0" w:color="auto"/>
                            <w:right w:val="none" w:sz="0" w:space="0" w:color="auto"/>
                          </w:divBdr>
                          <w:divsChild>
                            <w:div w:id="1204975458">
                              <w:marLeft w:val="0"/>
                              <w:marRight w:val="2400"/>
                              <w:marTop w:val="0"/>
                              <w:marBottom w:val="0"/>
                              <w:divBdr>
                                <w:top w:val="none" w:sz="0" w:space="0" w:color="auto"/>
                                <w:left w:val="none" w:sz="0" w:space="0" w:color="auto"/>
                                <w:bottom w:val="none" w:sz="0" w:space="0" w:color="auto"/>
                                <w:right w:val="none" w:sz="0" w:space="0" w:color="auto"/>
                              </w:divBdr>
                              <w:divsChild>
                                <w:div w:id="264383213">
                                  <w:marLeft w:val="0"/>
                                  <w:marRight w:val="0"/>
                                  <w:marTop w:val="0"/>
                                  <w:marBottom w:val="150"/>
                                  <w:divBdr>
                                    <w:top w:val="none" w:sz="0" w:space="0" w:color="auto"/>
                                    <w:left w:val="none" w:sz="0" w:space="0" w:color="auto"/>
                                    <w:bottom w:val="none" w:sz="0" w:space="0" w:color="auto"/>
                                    <w:right w:val="none" w:sz="0" w:space="0" w:color="auto"/>
                                  </w:divBdr>
                                  <w:divsChild>
                                    <w:div w:id="1492139786">
                                      <w:marLeft w:val="0"/>
                                      <w:marRight w:val="0"/>
                                      <w:marTop w:val="0"/>
                                      <w:marBottom w:val="0"/>
                                      <w:divBdr>
                                        <w:top w:val="none" w:sz="0" w:space="0" w:color="auto"/>
                                        <w:left w:val="none" w:sz="0" w:space="0" w:color="auto"/>
                                        <w:bottom w:val="none" w:sz="0" w:space="0" w:color="auto"/>
                                        <w:right w:val="none" w:sz="0" w:space="0" w:color="auto"/>
                                      </w:divBdr>
                                      <w:divsChild>
                                        <w:div w:id="658265426">
                                          <w:marLeft w:val="0"/>
                                          <w:marRight w:val="0"/>
                                          <w:marTop w:val="0"/>
                                          <w:marBottom w:val="0"/>
                                          <w:divBdr>
                                            <w:top w:val="none" w:sz="0" w:space="0" w:color="auto"/>
                                            <w:left w:val="none" w:sz="0" w:space="0" w:color="auto"/>
                                            <w:bottom w:val="none" w:sz="0" w:space="0" w:color="auto"/>
                                            <w:right w:val="none" w:sz="0" w:space="0" w:color="auto"/>
                                          </w:divBdr>
                                          <w:divsChild>
                                            <w:div w:id="540479810">
                                              <w:marLeft w:val="0"/>
                                              <w:marRight w:val="0"/>
                                              <w:marTop w:val="0"/>
                                              <w:marBottom w:val="0"/>
                                              <w:divBdr>
                                                <w:top w:val="none" w:sz="0" w:space="0" w:color="auto"/>
                                                <w:left w:val="none" w:sz="0" w:space="0" w:color="auto"/>
                                                <w:bottom w:val="none" w:sz="0" w:space="0" w:color="auto"/>
                                                <w:right w:val="none" w:sz="0" w:space="0" w:color="auto"/>
                                              </w:divBdr>
                                              <w:divsChild>
                                                <w:div w:id="115682945">
                                                  <w:marLeft w:val="0"/>
                                                  <w:marRight w:val="0"/>
                                                  <w:marTop w:val="0"/>
                                                  <w:marBottom w:val="0"/>
                                                  <w:divBdr>
                                                    <w:top w:val="none" w:sz="0" w:space="0" w:color="auto"/>
                                                    <w:left w:val="none" w:sz="0" w:space="0" w:color="auto"/>
                                                    <w:bottom w:val="none" w:sz="0" w:space="0" w:color="auto"/>
                                                    <w:right w:val="none" w:sz="0" w:space="0" w:color="auto"/>
                                                  </w:divBdr>
                                                  <w:divsChild>
                                                    <w:div w:id="267205383">
                                                      <w:marLeft w:val="0"/>
                                                      <w:marRight w:val="0"/>
                                                      <w:marTop w:val="0"/>
                                                      <w:marBottom w:val="0"/>
                                                      <w:divBdr>
                                                        <w:top w:val="none" w:sz="0" w:space="0" w:color="auto"/>
                                                        <w:left w:val="none" w:sz="0" w:space="0" w:color="auto"/>
                                                        <w:bottom w:val="none" w:sz="0" w:space="0" w:color="auto"/>
                                                        <w:right w:val="none" w:sz="0" w:space="0" w:color="auto"/>
                                                      </w:divBdr>
                                                      <w:divsChild>
                                                        <w:div w:id="4492779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4811921">
      <w:bodyDiv w:val="1"/>
      <w:marLeft w:val="0"/>
      <w:marRight w:val="0"/>
      <w:marTop w:val="0"/>
      <w:marBottom w:val="0"/>
      <w:divBdr>
        <w:top w:val="none" w:sz="0" w:space="0" w:color="auto"/>
        <w:left w:val="none" w:sz="0" w:space="0" w:color="auto"/>
        <w:bottom w:val="none" w:sz="0" w:space="0" w:color="auto"/>
        <w:right w:val="none" w:sz="0" w:space="0" w:color="auto"/>
      </w:divBdr>
    </w:div>
    <w:div w:id="767770398">
      <w:bodyDiv w:val="1"/>
      <w:marLeft w:val="0"/>
      <w:marRight w:val="0"/>
      <w:marTop w:val="0"/>
      <w:marBottom w:val="0"/>
      <w:divBdr>
        <w:top w:val="none" w:sz="0" w:space="0" w:color="auto"/>
        <w:left w:val="none" w:sz="0" w:space="0" w:color="auto"/>
        <w:bottom w:val="none" w:sz="0" w:space="0" w:color="auto"/>
        <w:right w:val="none" w:sz="0" w:space="0" w:color="auto"/>
      </w:divBdr>
      <w:divsChild>
        <w:div w:id="120613336">
          <w:marLeft w:val="120"/>
          <w:marRight w:val="120"/>
          <w:marTop w:val="120"/>
          <w:marBottom w:val="120"/>
          <w:divBdr>
            <w:top w:val="none" w:sz="0" w:space="0" w:color="auto"/>
            <w:left w:val="none" w:sz="0" w:space="0" w:color="auto"/>
            <w:bottom w:val="none" w:sz="0" w:space="0" w:color="auto"/>
            <w:right w:val="none" w:sz="0" w:space="0" w:color="auto"/>
          </w:divBdr>
          <w:divsChild>
            <w:div w:id="1019311596">
              <w:marLeft w:val="0"/>
              <w:marRight w:val="0"/>
              <w:marTop w:val="0"/>
              <w:marBottom w:val="0"/>
              <w:divBdr>
                <w:top w:val="none" w:sz="0" w:space="0" w:color="auto"/>
                <w:left w:val="none" w:sz="0" w:space="0" w:color="auto"/>
                <w:bottom w:val="none" w:sz="0" w:space="0" w:color="auto"/>
                <w:right w:val="none" w:sz="0" w:space="0" w:color="auto"/>
              </w:divBdr>
              <w:divsChild>
                <w:div w:id="319889021">
                  <w:marLeft w:val="0"/>
                  <w:marRight w:val="0"/>
                  <w:marTop w:val="0"/>
                  <w:marBottom w:val="0"/>
                  <w:divBdr>
                    <w:top w:val="none" w:sz="0" w:space="0" w:color="auto"/>
                    <w:left w:val="none" w:sz="0" w:space="0" w:color="auto"/>
                    <w:bottom w:val="none" w:sz="0" w:space="0" w:color="auto"/>
                    <w:right w:val="none" w:sz="0" w:space="0" w:color="auto"/>
                  </w:divBdr>
                  <w:divsChild>
                    <w:div w:id="179511562">
                      <w:marLeft w:val="0"/>
                      <w:marRight w:val="0"/>
                      <w:marTop w:val="0"/>
                      <w:marBottom w:val="0"/>
                      <w:divBdr>
                        <w:top w:val="none" w:sz="0" w:space="0" w:color="auto"/>
                        <w:left w:val="none" w:sz="0" w:space="0" w:color="auto"/>
                        <w:bottom w:val="none" w:sz="0" w:space="0" w:color="auto"/>
                        <w:right w:val="none" w:sz="0" w:space="0" w:color="auto"/>
                      </w:divBdr>
                      <w:divsChild>
                        <w:div w:id="1933315777">
                          <w:marLeft w:val="0"/>
                          <w:marRight w:val="0"/>
                          <w:marTop w:val="0"/>
                          <w:marBottom w:val="0"/>
                          <w:divBdr>
                            <w:top w:val="none" w:sz="0" w:space="0" w:color="auto"/>
                            <w:left w:val="none" w:sz="0" w:space="0" w:color="auto"/>
                            <w:bottom w:val="none" w:sz="0" w:space="0" w:color="auto"/>
                            <w:right w:val="none" w:sz="0" w:space="0" w:color="auto"/>
                          </w:divBdr>
                          <w:divsChild>
                            <w:div w:id="1083189090">
                              <w:marLeft w:val="0"/>
                              <w:marRight w:val="0"/>
                              <w:marTop w:val="0"/>
                              <w:marBottom w:val="0"/>
                              <w:divBdr>
                                <w:top w:val="none" w:sz="0" w:space="0" w:color="auto"/>
                                <w:left w:val="none" w:sz="0" w:space="0" w:color="auto"/>
                                <w:bottom w:val="none" w:sz="0" w:space="0" w:color="auto"/>
                                <w:right w:val="none" w:sz="0" w:space="0" w:color="auto"/>
                              </w:divBdr>
                              <w:divsChild>
                                <w:div w:id="2125033415">
                                  <w:marLeft w:val="0"/>
                                  <w:marRight w:val="0"/>
                                  <w:marTop w:val="0"/>
                                  <w:marBottom w:val="0"/>
                                  <w:divBdr>
                                    <w:top w:val="none" w:sz="0" w:space="0" w:color="auto"/>
                                    <w:left w:val="none" w:sz="0" w:space="0" w:color="auto"/>
                                    <w:bottom w:val="none" w:sz="0" w:space="0" w:color="auto"/>
                                    <w:right w:val="none" w:sz="0" w:space="0" w:color="auto"/>
                                  </w:divBdr>
                                  <w:divsChild>
                                    <w:div w:id="14870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56007">
      <w:bodyDiv w:val="1"/>
      <w:marLeft w:val="0"/>
      <w:marRight w:val="0"/>
      <w:marTop w:val="0"/>
      <w:marBottom w:val="0"/>
      <w:divBdr>
        <w:top w:val="none" w:sz="0" w:space="0" w:color="auto"/>
        <w:left w:val="none" w:sz="0" w:space="0" w:color="auto"/>
        <w:bottom w:val="none" w:sz="0" w:space="0" w:color="auto"/>
        <w:right w:val="none" w:sz="0" w:space="0" w:color="auto"/>
      </w:divBdr>
      <w:divsChild>
        <w:div w:id="872569922">
          <w:marLeft w:val="0"/>
          <w:marRight w:val="0"/>
          <w:marTop w:val="0"/>
          <w:marBottom w:val="0"/>
          <w:divBdr>
            <w:top w:val="none" w:sz="0" w:space="0" w:color="auto"/>
            <w:left w:val="none" w:sz="0" w:space="0" w:color="auto"/>
            <w:bottom w:val="none" w:sz="0" w:space="0" w:color="auto"/>
            <w:right w:val="none" w:sz="0" w:space="0" w:color="auto"/>
          </w:divBdr>
          <w:divsChild>
            <w:div w:id="1643805195">
              <w:marLeft w:val="150"/>
              <w:marRight w:val="0"/>
              <w:marTop w:val="75"/>
              <w:marBottom w:val="75"/>
              <w:divBdr>
                <w:top w:val="none" w:sz="0" w:space="0" w:color="auto"/>
                <w:left w:val="none" w:sz="0" w:space="0" w:color="auto"/>
                <w:bottom w:val="none" w:sz="0" w:space="0" w:color="auto"/>
                <w:right w:val="none" w:sz="0" w:space="0" w:color="auto"/>
              </w:divBdr>
              <w:divsChild>
                <w:div w:id="1816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6569">
      <w:bodyDiv w:val="1"/>
      <w:marLeft w:val="0"/>
      <w:marRight w:val="0"/>
      <w:marTop w:val="0"/>
      <w:marBottom w:val="0"/>
      <w:divBdr>
        <w:top w:val="none" w:sz="0" w:space="0" w:color="auto"/>
        <w:left w:val="none" w:sz="0" w:space="0" w:color="auto"/>
        <w:bottom w:val="none" w:sz="0" w:space="0" w:color="auto"/>
        <w:right w:val="none" w:sz="0" w:space="0" w:color="auto"/>
      </w:divBdr>
      <w:divsChild>
        <w:div w:id="669212467">
          <w:marLeft w:val="0"/>
          <w:marRight w:val="0"/>
          <w:marTop w:val="0"/>
          <w:marBottom w:val="0"/>
          <w:divBdr>
            <w:top w:val="none" w:sz="0" w:space="0" w:color="auto"/>
            <w:left w:val="none" w:sz="0" w:space="0" w:color="auto"/>
            <w:bottom w:val="none" w:sz="0" w:space="0" w:color="auto"/>
            <w:right w:val="none" w:sz="0" w:space="0" w:color="auto"/>
          </w:divBdr>
          <w:divsChild>
            <w:div w:id="11199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9851">
      <w:bodyDiv w:val="1"/>
      <w:marLeft w:val="0"/>
      <w:marRight w:val="0"/>
      <w:marTop w:val="0"/>
      <w:marBottom w:val="240"/>
      <w:divBdr>
        <w:top w:val="none" w:sz="0" w:space="0" w:color="auto"/>
        <w:left w:val="none" w:sz="0" w:space="0" w:color="auto"/>
        <w:bottom w:val="none" w:sz="0" w:space="0" w:color="auto"/>
        <w:right w:val="none" w:sz="0" w:space="0" w:color="auto"/>
      </w:divBdr>
      <w:divsChild>
        <w:div w:id="2133672186">
          <w:marLeft w:val="0"/>
          <w:marRight w:val="0"/>
          <w:marTop w:val="0"/>
          <w:marBottom w:val="0"/>
          <w:divBdr>
            <w:top w:val="none" w:sz="0" w:space="0" w:color="auto"/>
            <w:left w:val="none" w:sz="0" w:space="0" w:color="auto"/>
            <w:bottom w:val="none" w:sz="0" w:space="0" w:color="auto"/>
            <w:right w:val="none" w:sz="0" w:space="0" w:color="auto"/>
          </w:divBdr>
          <w:divsChild>
            <w:div w:id="1829200916">
              <w:marLeft w:val="150"/>
              <w:marRight w:val="150"/>
              <w:marTop w:val="0"/>
              <w:marBottom w:val="0"/>
              <w:divBdr>
                <w:top w:val="none" w:sz="0" w:space="0" w:color="auto"/>
                <w:left w:val="none" w:sz="0" w:space="0" w:color="auto"/>
                <w:bottom w:val="none" w:sz="0" w:space="0" w:color="auto"/>
                <w:right w:val="none" w:sz="0" w:space="0" w:color="auto"/>
              </w:divBdr>
              <w:divsChild>
                <w:div w:id="2006736792">
                  <w:marLeft w:val="-2400"/>
                  <w:marRight w:val="0"/>
                  <w:marTop w:val="0"/>
                  <w:marBottom w:val="0"/>
                  <w:divBdr>
                    <w:top w:val="none" w:sz="0" w:space="0" w:color="auto"/>
                    <w:left w:val="none" w:sz="0" w:space="0" w:color="auto"/>
                    <w:bottom w:val="none" w:sz="0" w:space="0" w:color="auto"/>
                    <w:right w:val="none" w:sz="0" w:space="0" w:color="auto"/>
                  </w:divBdr>
                  <w:divsChild>
                    <w:div w:id="336346963">
                      <w:marLeft w:val="2400"/>
                      <w:marRight w:val="0"/>
                      <w:marTop w:val="0"/>
                      <w:marBottom w:val="0"/>
                      <w:divBdr>
                        <w:top w:val="none" w:sz="0" w:space="0" w:color="auto"/>
                        <w:left w:val="none" w:sz="0" w:space="0" w:color="auto"/>
                        <w:bottom w:val="none" w:sz="0" w:space="0" w:color="auto"/>
                        <w:right w:val="none" w:sz="0" w:space="0" w:color="auto"/>
                      </w:divBdr>
                      <w:divsChild>
                        <w:div w:id="627013584">
                          <w:marLeft w:val="0"/>
                          <w:marRight w:val="-2400"/>
                          <w:marTop w:val="0"/>
                          <w:marBottom w:val="0"/>
                          <w:divBdr>
                            <w:top w:val="none" w:sz="0" w:space="0" w:color="auto"/>
                            <w:left w:val="none" w:sz="0" w:space="0" w:color="auto"/>
                            <w:bottom w:val="none" w:sz="0" w:space="0" w:color="auto"/>
                            <w:right w:val="none" w:sz="0" w:space="0" w:color="auto"/>
                          </w:divBdr>
                          <w:divsChild>
                            <w:div w:id="1966153551">
                              <w:marLeft w:val="0"/>
                              <w:marRight w:val="2400"/>
                              <w:marTop w:val="0"/>
                              <w:marBottom w:val="0"/>
                              <w:divBdr>
                                <w:top w:val="none" w:sz="0" w:space="0" w:color="auto"/>
                                <w:left w:val="none" w:sz="0" w:space="0" w:color="auto"/>
                                <w:bottom w:val="none" w:sz="0" w:space="0" w:color="auto"/>
                                <w:right w:val="none" w:sz="0" w:space="0" w:color="auto"/>
                              </w:divBdr>
                              <w:divsChild>
                                <w:div w:id="146869302">
                                  <w:marLeft w:val="0"/>
                                  <w:marRight w:val="0"/>
                                  <w:marTop w:val="0"/>
                                  <w:marBottom w:val="150"/>
                                  <w:divBdr>
                                    <w:top w:val="none" w:sz="0" w:space="0" w:color="auto"/>
                                    <w:left w:val="none" w:sz="0" w:space="0" w:color="auto"/>
                                    <w:bottom w:val="none" w:sz="0" w:space="0" w:color="auto"/>
                                    <w:right w:val="none" w:sz="0" w:space="0" w:color="auto"/>
                                  </w:divBdr>
                                  <w:divsChild>
                                    <w:div w:id="1951818746">
                                      <w:marLeft w:val="0"/>
                                      <w:marRight w:val="0"/>
                                      <w:marTop w:val="0"/>
                                      <w:marBottom w:val="0"/>
                                      <w:divBdr>
                                        <w:top w:val="none" w:sz="0" w:space="0" w:color="auto"/>
                                        <w:left w:val="none" w:sz="0" w:space="0" w:color="auto"/>
                                        <w:bottom w:val="none" w:sz="0" w:space="0" w:color="auto"/>
                                        <w:right w:val="none" w:sz="0" w:space="0" w:color="auto"/>
                                      </w:divBdr>
                                      <w:divsChild>
                                        <w:div w:id="92406730">
                                          <w:marLeft w:val="0"/>
                                          <w:marRight w:val="0"/>
                                          <w:marTop w:val="0"/>
                                          <w:marBottom w:val="0"/>
                                          <w:divBdr>
                                            <w:top w:val="none" w:sz="0" w:space="0" w:color="auto"/>
                                            <w:left w:val="none" w:sz="0" w:space="0" w:color="auto"/>
                                            <w:bottom w:val="none" w:sz="0" w:space="0" w:color="auto"/>
                                            <w:right w:val="none" w:sz="0" w:space="0" w:color="auto"/>
                                          </w:divBdr>
                                          <w:divsChild>
                                            <w:div w:id="1241872449">
                                              <w:marLeft w:val="0"/>
                                              <w:marRight w:val="0"/>
                                              <w:marTop w:val="0"/>
                                              <w:marBottom w:val="0"/>
                                              <w:divBdr>
                                                <w:top w:val="none" w:sz="0" w:space="0" w:color="auto"/>
                                                <w:left w:val="none" w:sz="0" w:space="0" w:color="auto"/>
                                                <w:bottom w:val="none" w:sz="0" w:space="0" w:color="auto"/>
                                                <w:right w:val="none" w:sz="0" w:space="0" w:color="auto"/>
                                              </w:divBdr>
                                              <w:divsChild>
                                                <w:div w:id="843326528">
                                                  <w:marLeft w:val="0"/>
                                                  <w:marRight w:val="0"/>
                                                  <w:marTop w:val="0"/>
                                                  <w:marBottom w:val="0"/>
                                                  <w:divBdr>
                                                    <w:top w:val="none" w:sz="0" w:space="0" w:color="auto"/>
                                                    <w:left w:val="none" w:sz="0" w:space="0" w:color="auto"/>
                                                    <w:bottom w:val="none" w:sz="0" w:space="0" w:color="auto"/>
                                                    <w:right w:val="none" w:sz="0" w:space="0" w:color="auto"/>
                                                  </w:divBdr>
                                                  <w:divsChild>
                                                    <w:div w:id="1838764793">
                                                      <w:marLeft w:val="0"/>
                                                      <w:marRight w:val="0"/>
                                                      <w:marTop w:val="0"/>
                                                      <w:marBottom w:val="0"/>
                                                      <w:divBdr>
                                                        <w:top w:val="none" w:sz="0" w:space="0" w:color="auto"/>
                                                        <w:left w:val="none" w:sz="0" w:space="0" w:color="auto"/>
                                                        <w:bottom w:val="none" w:sz="0" w:space="0" w:color="auto"/>
                                                        <w:right w:val="none" w:sz="0" w:space="0" w:color="auto"/>
                                                      </w:divBdr>
                                                      <w:divsChild>
                                                        <w:div w:id="7965317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1403611">
      <w:bodyDiv w:val="1"/>
      <w:marLeft w:val="0"/>
      <w:marRight w:val="0"/>
      <w:marTop w:val="0"/>
      <w:marBottom w:val="0"/>
      <w:divBdr>
        <w:top w:val="none" w:sz="0" w:space="0" w:color="auto"/>
        <w:left w:val="none" w:sz="0" w:space="0" w:color="auto"/>
        <w:bottom w:val="none" w:sz="0" w:space="0" w:color="auto"/>
        <w:right w:val="none" w:sz="0" w:space="0" w:color="auto"/>
      </w:divBdr>
    </w:div>
    <w:div w:id="1719546443">
      <w:bodyDiv w:val="1"/>
      <w:marLeft w:val="0"/>
      <w:marRight w:val="0"/>
      <w:marTop w:val="0"/>
      <w:marBottom w:val="0"/>
      <w:divBdr>
        <w:top w:val="none" w:sz="0" w:space="0" w:color="auto"/>
        <w:left w:val="none" w:sz="0" w:space="0" w:color="auto"/>
        <w:bottom w:val="none" w:sz="0" w:space="0" w:color="auto"/>
        <w:right w:val="none" w:sz="0" w:space="0" w:color="auto"/>
      </w:divBdr>
    </w:div>
    <w:div w:id="1744141129">
      <w:bodyDiv w:val="1"/>
      <w:marLeft w:val="0"/>
      <w:marRight w:val="0"/>
      <w:marTop w:val="0"/>
      <w:marBottom w:val="0"/>
      <w:divBdr>
        <w:top w:val="none" w:sz="0" w:space="0" w:color="auto"/>
        <w:left w:val="none" w:sz="0" w:space="0" w:color="auto"/>
        <w:bottom w:val="none" w:sz="0" w:space="0" w:color="auto"/>
        <w:right w:val="none" w:sz="0" w:space="0" w:color="auto"/>
      </w:divBdr>
    </w:div>
    <w:div w:id="1801652802">
      <w:bodyDiv w:val="1"/>
      <w:marLeft w:val="0"/>
      <w:marRight w:val="0"/>
      <w:marTop w:val="0"/>
      <w:marBottom w:val="0"/>
      <w:divBdr>
        <w:top w:val="none" w:sz="0" w:space="0" w:color="auto"/>
        <w:left w:val="none" w:sz="0" w:space="0" w:color="auto"/>
        <w:bottom w:val="none" w:sz="0" w:space="0" w:color="auto"/>
        <w:right w:val="none" w:sz="0" w:space="0" w:color="auto"/>
      </w:divBdr>
    </w:div>
    <w:div w:id="1943878611">
      <w:bodyDiv w:val="1"/>
      <w:marLeft w:val="0"/>
      <w:marRight w:val="0"/>
      <w:marTop w:val="0"/>
      <w:marBottom w:val="0"/>
      <w:divBdr>
        <w:top w:val="none" w:sz="0" w:space="0" w:color="auto"/>
        <w:left w:val="none" w:sz="0" w:space="0" w:color="auto"/>
        <w:bottom w:val="none" w:sz="0" w:space="0" w:color="auto"/>
        <w:right w:val="none" w:sz="0" w:space="0" w:color="auto"/>
      </w:divBdr>
    </w:div>
    <w:div w:id="206753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F8EB8-CCCC-427D-8B21-56DDC20B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4886</Words>
  <Characters>27853</Characters>
  <Application>Microsoft Office Word</Application>
  <DocSecurity>0</DocSecurity>
  <Lines>232</Lines>
  <Paragraphs>65</Paragraphs>
  <ScaleCrop>false</ScaleCrop>
  <Company>cbc</Company>
  <LinksUpToDate>false</LinksUpToDate>
  <CharactersWithSpaces>32674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人事評審會提案</dc:title>
  <dc:creator>ssl</dc:creator>
  <cp:lastModifiedBy>李佳盈</cp:lastModifiedBy>
  <cp:revision>2</cp:revision>
  <cp:lastPrinted>2020-07-27T08:28:00Z</cp:lastPrinted>
  <dcterms:created xsi:type="dcterms:W3CDTF">2020-07-30T07:14:00Z</dcterms:created>
  <dcterms:modified xsi:type="dcterms:W3CDTF">2020-07-30T07:14:00Z</dcterms:modified>
</cp:coreProperties>
</file>