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CỘNG HÒA XÃ HỘI CHỦ NGHĨA VIỆT NAM</w:t>
        <w:br/>
        <w:t>Độc lập - Tự do - Hạnh phúc</w:t>
        <w:br/>
        <w:t>---o0o---</w:t>
      </w:r>
    </w:p>
    <w:p>
      <w:pPr>
        <w:pStyle w:val="Heading1"/>
      </w:pPr>
      <w:r>
        <w:t>HỢP ĐỒNG DỊCH VỤ TƯ VẤN QUẢN TRỊ DOANH NGHIỆP VÀ TRIỂN KHAI ERP</w:t>
      </w:r>
    </w:p>
    <w:p>
      <w:r>
        <w:t>Số: 26/2026/HĐDV-ERP</w:t>
        <w:br/>
      </w:r>
    </w:p>
    <w:p>
      <w:r>
        <w:t>Căn cứ Bộ luật Dân sự số 91/2015/QH13;</w:t>
        <w:br/>
        <w:t>Căn cứ Luật Thương mại số 36/2005/QH11;</w:t>
        <w:br/>
        <w:t>Căn cứ Luật Sở hữu trí tuệ số 50/2005/QH11 (sửa đổi, bổ sung năm 2022);</w:t>
      </w:r>
    </w:p>
    <w:p>
      <w:r>
        <w:t>Hôm nay, ngày 20 tháng 02 năm 2026, tại Hà Nội, chúng tôi gồm có:</w:t>
        <w:br/>
        <w:t>BÊN THUÊ DỊCH VỤ (BÊN A): CÔNG TY CỔ PHẦN DƯỢC PHẨM AN BÌNH</w:t>
        <w:br/>
        <w:t>Đại diện: Ông Nguyễn Minh Long - Chức vụ: Tổng Giám đốc</w:t>
        <w:br/>
        <w:t>BÊN CUNG CẤP DỊCH VỤ (BÊN B): CÔNG TY TNHH GIẢI PHÁP &amp; TƯ VẤN MINH TRIẾT</w:t>
        <w:br/>
        <w:t>Đại diện: Bà Lê Thanh Hằng - Chức vụ: Giám đốc</w:t>
      </w:r>
    </w:p>
    <w:p>
      <w:pPr>
        <w:pStyle w:val="Heading2"/>
      </w:pPr>
      <w:r>
        <w:t>Điều 1. Phạm vi công việc và nội dung dịch vụ</w:t>
      </w:r>
    </w:p>
    <w:p>
      <w:r>
        <w:t>Bên B nhận cung cấp dịch vụ tư vấn quy trình quản trị tài chính, chuỗi cung ứng và triển khai phần mềm hoạch định nguồn lực doanh nghiệp (ERP) cho Bên A theo phụ lục mô tả kỹ thuật kèm theo.</w:t>
      </w:r>
    </w:p>
    <w:p>
      <w:pPr>
        <w:pStyle w:val="Heading2"/>
      </w:pPr>
      <w:r>
        <w:t>Điều 2. Phí dịch vụ và phương thức thanh toán</w:t>
      </w:r>
    </w:p>
    <w:p>
      <w:r>
        <w:t>Tổng giá trị hợp đồng dịch vụ là 350.000.000 VNĐ (Ba trăm năm mươi triệu đồng), đã bao gồm thuế GTGT. Bên A thanh toán thành 03 đợt tương ứng theo tiến độ nghiệm thu từng giai đoạn bằng hình thức chuyển khoản.</w:t>
      </w:r>
    </w:p>
    <w:p>
      <w:pPr>
        <w:pStyle w:val="Heading2"/>
      </w:pPr>
      <w:r>
        <w:t>Điều 3. Quyền và nghĩa vụ của Bên A</w:t>
      </w:r>
    </w:p>
    <w:p>
      <w:r>
        <w:t>1. Cung cấp đầy đủ, kịp thời tài liệu, số liệu và hạ tầng cần thiết cho Bên B.</w:t>
        <w:br/>
        <w:t>2. Phối hợp cử nhân sự tham gia các buổi khảo sát và đào tạo sử dụng hệ thống.</w:t>
        <w:br/>
        <w:t>3. Thanh toán phí dịch vụ đúng hạn theo thỏa thuận tại Điều 2.</w:t>
      </w:r>
    </w:p>
    <w:p>
      <w:pPr>
        <w:pStyle w:val="Heading2"/>
      </w:pPr>
      <w:r>
        <w:t>Điều 4. Quyền và nghĩa vụ của Bên B</w:t>
      </w:r>
    </w:p>
    <w:p>
      <w:r>
        <w:t>1. Bố trí đội ngũ chuyên gia tư vấn có đủ trình độ chuyên môn để thực hiện dịch vụ đúng cam kết.</w:t>
        <w:br/>
        <w:t>2. Bàn giao báo cáo phân tích và tài liệu hướng dẫn vận hành đúng tiến độ.</w:t>
        <w:br/>
        <w:t>3. Giữ bảo mật tuyệt đối toàn bộ số liệu tài chính và hoạt động kinh doanh của Bên A theo thỏa thuận bảo mật.</w:t>
      </w:r>
    </w:p>
    <w:p>
      <w:pPr>
        <w:pStyle w:val="Heading2"/>
      </w:pPr>
      <w:r>
        <w:t>Điều 5. Phạt vi phạm và bồi thường thiệt hại</w:t>
      </w:r>
    </w:p>
    <w:p>
      <w:r>
        <w:t>1. Trong trường hợp Bên B chậm trễ bàn giao dịch vụ quá 10 ngày làm việc mà không có lý do chính đáng, Bên B phải chịu phạt vi phạm 0,1% giá trị phần nghĩa vụ bị vi phạm cho mỗi ngày chậm trễ, nhưng tổng mức phạt không vượt quá 8% giá trị phần nghĩa vụ hợp đồng bị vi phạm theo đúng quy định tại Điều 301 Luật Thương mại 2005.</w:t>
        <w:br/>
        <w:t>2. Bên vi phạm nghĩa vụ hợp đồng có trách nhiệm bồi thường toàn bộ thiệt hại thực tế phát sinh trực tiếp theo Điều 302 Luật Thương mại 2005.</w:t>
      </w:r>
    </w:p>
    <w:p>
      <w:pPr>
        <w:pStyle w:val="Heading2"/>
      </w:pPr>
      <w:r>
        <w:t>Điều 6. Sự kiện bất khả kháng</w:t>
      </w:r>
    </w:p>
    <w:p>
      <w:r>
        <w:t>Trường hợp một bên không thể thực hiện nghĩa vụ do sự kiện bất khả kháng (thiên tai, dịch bệnh, quyết định cấm của cơ quan nhà nước có thẩm quyền), bên bị ảnh hưởng phải thông báo bằng văn bản trong vòng 07 ngày và được miễn trừ trách nhiệm theo quy định tại Điều 294 Luật Thương mại 2005 và Điều 156 Bộ luật Dân sự 2015.</w:t>
      </w:r>
    </w:p>
    <w:p>
      <w:pPr>
        <w:pStyle w:val="Heading2"/>
      </w:pPr>
      <w:r>
        <w:t>Điều 7. Quyền sở hữu trí tuệ và bảo mật</w:t>
      </w:r>
    </w:p>
    <w:p>
      <w:r>
        <w:t>1. Toàn bộ tài liệu quy trình được xây dựng tùy chỉnh riêng cho Bên A thuộc quyền sở hữu của Bên A.</w:t>
        <w:br/>
        <w:t>2. Bên B giữ quyền tác giả và quyền sở hữu đối với các module phần mềm nền tảng gốc, đồng thời cấp quyền sử dụng không độc quyền, vô thời hạn cho Bên A theo quy định của Luật Sở hữu trí tuệ.</w:t>
      </w:r>
    </w:p>
    <w:p>
      <w:pPr>
        <w:pStyle w:val="Heading2"/>
      </w:pPr>
      <w:r>
        <w:t>Điều 8. Giải quyết tranh chấp và hiệu lực thi hành</w:t>
      </w:r>
    </w:p>
    <w:p>
      <w:r>
        <w:t>Mọi tranh chấp phát sinh sẽ được giải quyết trước hết bằng thương lượng, hòa giải. Nếu không đạt được thỏa thuận, vụ việc sẽ được đưa ra giải quyết tại Trung tâm Trọng tài Quốc tế Việt Nam (VIAC) theo Quy tắc tố tụng trọng tài của VIAC. Hợp đồng có hiệu lực kể từ ngày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