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CỘNG HÒA XÃ HỘI CHỦ NGHĨA VIỆT NAM</w:t>
        <w:br/>
        <w:t>Độc lập - Tự do - Hạnh phúc</w:t>
        <w:br/>
        <w:t>---o0o---</w:t>
      </w:r>
    </w:p>
    <w:p>
      <w:pPr>
        <w:pStyle w:val="Heading1"/>
      </w:pPr>
      <w:r>
        <w:t>HỢP ĐỒNG DỊCH VỤ DIGITAL MARKETING VÀ TỐI ƯU HÓA CÔNG CỤ TÌM KIẾM (SEO)</w:t>
      </w:r>
    </w:p>
    <w:p>
      <w:r>
        <w:t>Số: 99/2026/HĐDV-MKT</w:t>
        <w:br/>
      </w:r>
    </w:p>
    <w:p>
      <w:r>
        <w:t>Căn cứ Bộ luật Dân sự số 91/2015/QH13;</w:t>
        <w:br/>
        <w:t>Căn cứ Luật Thương mại số 36/2005/QH11;</w:t>
        <w:br/>
        <w:t>Căn cứ Luật Bảo vệ quyền lợi người tiêu dùng số 59/2010/QH12;</w:t>
      </w:r>
    </w:p>
    <w:p>
      <w:r>
        <w:t>Hôm nay, ngày 05 tháng 04 năm 2026, tại TP. Hà Nội:</w:t>
        <w:br/>
        <w:t>BÊN THUÊ (BÊN A): CÔNG TY CỔ PHẦN THỜI TRANG SMARTLOOK</w:t>
        <w:br/>
        <w:t>BÊN CUNG CẤP (BÊN B): CÔNG TY TNHH TRUYỀN THÔNG &amp; QUẢNG CÁO LEADMAX</w:t>
      </w:r>
    </w:p>
    <w:p>
      <w:pPr>
        <w:pStyle w:val="Heading2"/>
      </w:pPr>
      <w:r>
        <w:t>Điều 1. Nội dung dịch vụ và phạm vi triển khai</w:t>
      </w:r>
    </w:p>
    <w:p>
      <w:r>
        <w:t>Bên B chịu trách nhiệm triển khai chiến dịch quảng cáo kỹ thuật số, tối ưu hóa công cụ tìm kiếm (SEO) đưa 20 từ khóa sản phẩm lên trang nhất Google và xây dựng tệp dữ liệu khách hàng tiềm năng cho Bên A.</w:t>
      </w:r>
    </w:p>
    <w:p>
      <w:pPr>
        <w:pStyle w:val="Heading2"/>
      </w:pPr>
      <w:r>
        <w:t>Điều 2. Thu thập và khai thác dữ liệu người dùng</w:t>
      </w:r>
    </w:p>
    <w:p>
      <w:r>
        <w:t>Để phục vụ chiến dịch tiếp thị và bán hàng trực tiếp (telesale), Bên B sẽ sử dụng các công cụ tự động quét, trích xuất số điện thoại, email và vị trí địa lý của mọi người dùng truy cập website của Bên A mà không cần hiển thị thông báo hay lấy sự đồng ý của người dùng.</w:t>
      </w:r>
    </w:p>
    <w:p>
      <w:pPr>
        <w:pStyle w:val="Heading2"/>
      </w:pPr>
      <w:r>
        <w:t>Điều 3. Cam kết KPI và chế tài phạt vi phạm</w:t>
      </w:r>
    </w:p>
    <w:p>
      <w:r>
        <w:t>Bên B cam kết đạt tối thiểu 1.000 đơn hàng chuyển đổi/tháng. Nếu kết thúc quý tỉ lệ đạt dưới 70% chỉ tiêu KPI đã cam kết, Bên B phải chịu phạt vi phạm bằng 25% tổng phí dịch vụ của toàn quý đó.</w:t>
      </w:r>
    </w:p>
    <w:p>
      <w:pPr>
        <w:pStyle w:val="Heading2"/>
      </w:pPr>
      <w:r>
        <w:t>Điều 4. Miễn trừ trách nhiệm pháp lý về quảng cáo</w:t>
      </w:r>
    </w:p>
    <w:p>
      <w:r>
        <w:t>Bên B hoàn toàn được miễn trừ mọi trách nhiệm hành chính, dân sự hoặc hình sự nếu hình ảnh, video quảng cáo và thông điệp truyền thông do Bên B thiết kế bị cơ quan quản lý nhà nước xử phạt vi phạm thuần phong mỹ tục, vi phạm Luật Quảng cáo hoặc xâm phạm bản quyền sở hữu trí tuệ của bất kỳ bên thứ ba nào.</w:t>
      </w:r>
    </w:p>
    <w:p>
      <w:pPr>
        <w:pStyle w:val="Heading2"/>
      </w:pPr>
      <w:r>
        <w:t>Điều 5. Chi phí dịch vụ và thanh toán</w:t>
      </w:r>
    </w:p>
    <w:p>
      <w:r>
        <w:t>Tổng kinh phí dịch vụ là 80.000.000 VNĐ/tháng. Bên A thanh toán thành từng đợt vào đầu mỗi tháng.</w:t>
      </w:r>
    </w:p>
    <w:p>
      <w:pPr>
        <w:pStyle w:val="Heading2"/>
      </w:pPr>
      <w:r>
        <w:t>Điều 6. Điều khoản giải quyết tranh chấp</w:t>
      </w:r>
    </w:p>
    <w:p>
      <w:r>
        <w:t>Hợp đồng có hiệu lực 01 năm kể từ ngày ký. Mọi tranh chấp phát sinh được đưa ra Tòa án nhân dân TP. Hà Nội giải quyết.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