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917" w:rsidRPr="00BE0914" w:rsidRDefault="00EC5917" w:rsidP="00EC5917">
      <w:pPr>
        <w:rPr>
          <w:rFonts w:ascii="Calibri" w:hAnsi="Calibri" w:cs="Arial"/>
          <w:color w:val="365F91"/>
        </w:rPr>
      </w:pPr>
    </w:p>
    <w:p w:rsidR="00EC5917" w:rsidRDefault="00EC5917" w:rsidP="00EC5917">
      <w:pPr>
        <w:pStyle w:val="Ttulo1"/>
        <w:numPr>
          <w:ilvl w:val="0"/>
          <w:numId w:val="1"/>
        </w:numPr>
        <w:spacing w:before="0" w:after="240"/>
        <w:ind w:left="431" w:hanging="431"/>
        <w:rPr>
          <w:noProof/>
          <w:color w:val="000000"/>
          <w:lang w:val="es-CO"/>
        </w:rPr>
      </w:pPr>
      <w:bookmarkStart w:id="0" w:name="_Toc175389667"/>
      <w:r w:rsidRPr="0041078C">
        <w:rPr>
          <w:noProof/>
          <w:color w:val="000000"/>
          <w:lang w:val="es-CO"/>
        </w:rPr>
        <w:t>DEFINICIONES Y ACRONIMOS</w:t>
      </w:r>
      <w:bookmarkEnd w:id="0"/>
    </w:p>
    <w:p w:rsidR="00EC5917" w:rsidRPr="00E24339" w:rsidRDefault="00EC5917" w:rsidP="00EC5917">
      <w:pPr>
        <w:jc w:val="both"/>
        <w:rPr>
          <w:rFonts w:ascii="Calibri" w:hAnsi="Calibri" w:cs="Arial"/>
          <w:i/>
          <w:color w:val="365F91"/>
        </w:rPr>
      </w:pPr>
      <w:r>
        <w:rPr>
          <w:rFonts w:ascii="Calibri" w:hAnsi="Calibri" w:cs="Arial"/>
          <w:i/>
          <w:color w:val="365F91"/>
        </w:rPr>
        <w:t>En esta sección se pretende</w:t>
      </w:r>
      <w:r w:rsidRPr="00E24339">
        <w:rPr>
          <w:rFonts w:ascii="Calibri" w:hAnsi="Calibri" w:cs="Arial"/>
          <w:i/>
          <w:color w:val="365F91"/>
        </w:rPr>
        <w:t xml:space="preserve"> proveer definiciones de todos los términos y acrónimos requeridos para e</w:t>
      </w:r>
      <w:r>
        <w:rPr>
          <w:rFonts w:ascii="Calibri" w:hAnsi="Calibri" w:cs="Arial"/>
          <w:i/>
          <w:color w:val="365F91"/>
        </w:rPr>
        <w:t>l óptimo entendimiento del SPMP; incluyendo</w:t>
      </w:r>
      <w:r w:rsidRPr="00E24339">
        <w:rPr>
          <w:rFonts w:ascii="Calibri" w:hAnsi="Calibri" w:cs="Arial"/>
          <w:i/>
          <w:color w:val="365F91"/>
        </w:rPr>
        <w:t xml:space="preserve"> tanto técnicos como del ámbito del proyecto.</w:t>
      </w:r>
      <w:r>
        <w:rPr>
          <w:rFonts w:ascii="Calibri" w:hAnsi="Calibri" w:cs="Arial"/>
          <w:i/>
          <w:color w:val="365F91"/>
        </w:rPr>
        <w:t xml:space="preserve"> Es necesario agregar la</w:t>
      </w:r>
      <w:r w:rsidRPr="00E24339">
        <w:rPr>
          <w:rFonts w:ascii="Calibri" w:hAnsi="Calibri" w:cs="Arial"/>
          <w:i/>
          <w:color w:val="365F91"/>
        </w:rPr>
        <w:t xml:space="preserve"> definición de términos del negocio para que cualquier</w:t>
      </w:r>
      <w:r>
        <w:rPr>
          <w:rFonts w:ascii="Calibri" w:hAnsi="Calibri" w:cs="Arial"/>
          <w:i/>
          <w:color w:val="365F91"/>
        </w:rPr>
        <w:t>a de los stakeholders (cliente, desarrolladores, diseñadores y demás equipo de trabajo) pueda</w:t>
      </w:r>
      <w:r w:rsidRPr="00E24339">
        <w:rPr>
          <w:rFonts w:ascii="Calibri" w:hAnsi="Calibri" w:cs="Arial"/>
          <w:i/>
          <w:color w:val="365F91"/>
        </w:rPr>
        <w:t xml:space="preserve"> entender el SPMP y el proyecto que se va a realizar.</w:t>
      </w:r>
    </w:p>
    <w:p w:rsidR="00EC5917" w:rsidRPr="00E24339" w:rsidRDefault="00EC5917" w:rsidP="00EC5917">
      <w:pPr>
        <w:jc w:val="both"/>
        <w:rPr>
          <w:rFonts w:ascii="Calibri" w:hAnsi="Calibri" w:cs="Arial"/>
          <w:i/>
          <w:color w:val="365F91"/>
        </w:rPr>
      </w:pPr>
    </w:p>
    <w:p w:rsidR="00EC5917" w:rsidRDefault="00EC5917" w:rsidP="00EC5917">
      <w:pPr>
        <w:jc w:val="both"/>
        <w:rPr>
          <w:rFonts w:ascii="Calibri" w:hAnsi="Calibri" w:cs="Arial"/>
          <w:i/>
          <w:color w:val="365F91"/>
        </w:rPr>
      </w:pPr>
      <w:r>
        <w:rPr>
          <w:rFonts w:ascii="Calibri" w:hAnsi="Calibri" w:cs="Arial"/>
          <w:i/>
          <w:color w:val="365F91"/>
        </w:rPr>
        <w:t>Se d</w:t>
      </w:r>
      <w:r w:rsidRPr="00E24339">
        <w:rPr>
          <w:rFonts w:ascii="Calibri" w:hAnsi="Calibri" w:cs="Arial"/>
          <w:i/>
          <w:color w:val="365F91"/>
        </w:rPr>
        <w:t>ebe</w:t>
      </w:r>
      <w:r>
        <w:rPr>
          <w:rFonts w:ascii="Calibri" w:hAnsi="Calibri" w:cs="Arial"/>
          <w:i/>
          <w:color w:val="365F91"/>
        </w:rPr>
        <w:t>n</w:t>
      </w:r>
      <w:r w:rsidRPr="00E24339">
        <w:rPr>
          <w:rFonts w:ascii="Calibri" w:hAnsi="Calibri" w:cs="Arial"/>
          <w:i/>
          <w:color w:val="365F91"/>
        </w:rPr>
        <w:t xml:space="preserve"> referenciar todas las fuentes de las cuales </w:t>
      </w:r>
      <w:r>
        <w:rPr>
          <w:rFonts w:ascii="Calibri" w:hAnsi="Calibri" w:cs="Arial"/>
          <w:i/>
          <w:color w:val="365F91"/>
        </w:rPr>
        <w:t xml:space="preserve">se </w:t>
      </w:r>
      <w:r w:rsidRPr="00E24339">
        <w:rPr>
          <w:rFonts w:ascii="Calibri" w:hAnsi="Calibri" w:cs="Arial"/>
          <w:i/>
          <w:color w:val="365F91"/>
        </w:rPr>
        <w:t>haya obtenido las definiciones de los términos y acrónimos. Además  es recomendable ordenar alfabéticamente las definiciones para facilitar la búsqueda y el entendimiento.</w:t>
      </w:r>
    </w:p>
    <w:p w:rsidR="00EC5917" w:rsidRDefault="00EC5917" w:rsidP="00EC5917">
      <w:pPr>
        <w:jc w:val="both"/>
        <w:rPr>
          <w:rFonts w:ascii="Calibri" w:hAnsi="Calibri" w:cs="Arial"/>
          <w:i/>
          <w:color w:val="365F91"/>
        </w:rPr>
      </w:pPr>
    </w:p>
    <w:p w:rsidR="00EC5917" w:rsidRDefault="00EC5917" w:rsidP="00EC5917">
      <w:pPr>
        <w:jc w:val="both"/>
        <w:rPr>
          <w:rFonts w:ascii="Calibri" w:hAnsi="Calibri" w:cs="Arial"/>
          <w:i/>
          <w:color w:val="365F91"/>
        </w:rPr>
      </w:pPr>
      <w:r>
        <w:rPr>
          <w:rFonts w:ascii="Calibri" w:hAnsi="Calibri" w:cs="Arial"/>
          <w:i/>
          <w:color w:val="365F91"/>
        </w:rPr>
        <w:t>Por lo general entre los desarrolladores de software se genera un leguaje común como nickname, password entre otros, pero en contraste, estos términos no son comunes para los clientes o gerentes de proyecto; por lo tanto, es recomendable buscar su traducción que para este caso sería pseudónimo y contraseña, o de lo contrario introducir estos términos en esta sección.</w:t>
      </w:r>
    </w:p>
    <w:p w:rsidR="00EC5917" w:rsidRDefault="00EC5917" w:rsidP="00EC5917">
      <w:pPr>
        <w:jc w:val="both"/>
        <w:rPr>
          <w:rFonts w:ascii="Calibri" w:hAnsi="Calibri" w:cs="Arial"/>
          <w:i/>
          <w:color w:val="365F91"/>
        </w:rPr>
      </w:pPr>
    </w:p>
    <w:p w:rsidR="00EC5917" w:rsidRPr="00E24339" w:rsidRDefault="00EC5917" w:rsidP="00EC5917">
      <w:pPr>
        <w:jc w:val="both"/>
        <w:rPr>
          <w:rFonts w:ascii="Calibri" w:hAnsi="Calibri" w:cs="Arial"/>
          <w:i/>
          <w:color w:val="365F91"/>
        </w:rPr>
      </w:pPr>
      <w:r>
        <w:rPr>
          <w:rFonts w:ascii="Calibri" w:hAnsi="Calibri" w:cs="Arial"/>
          <w:i/>
          <w:color w:val="365F91"/>
        </w:rPr>
        <w:t>A continuación se presenta un repositorio de definiciones y acrónimos utilizados en la mayoría de documentos de desarrollo de software (En caso de no existir ninguna palabra que haga parte de un conjunto asociado a una letra es recomendable no especificarla en los acrónimos ya que se vería como una letra vacía):</w:t>
      </w:r>
    </w:p>
    <w:p w:rsidR="00EC5917" w:rsidRDefault="00EC5917" w:rsidP="00EC5917">
      <w:pPr>
        <w:jc w:val="both"/>
        <w:rPr>
          <w:rFonts w:ascii="Calibri" w:hAnsi="Calibri" w:cs="Arial"/>
          <w:color w:val="365F91"/>
        </w:rPr>
      </w:pPr>
    </w:p>
    <w:p w:rsidR="00EC5917" w:rsidRPr="009C72D6" w:rsidRDefault="00EC5917" w:rsidP="00EC5917">
      <w:pPr>
        <w:jc w:val="both"/>
        <w:rPr>
          <w:rFonts w:ascii="Calibri" w:hAnsi="Calibri" w:cs="Arial"/>
          <w:color w:val="365F91"/>
        </w:rPr>
      </w:pPr>
    </w:p>
    <w:tbl>
      <w:tblPr>
        <w:tblW w:w="4877" w:type="pct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/>
      </w:tblPr>
      <w:tblGrid>
        <w:gridCol w:w="8831"/>
      </w:tblGrid>
      <w:tr w:rsidR="00EC5917" w:rsidRPr="00E84C0D" w:rsidTr="00211966">
        <w:trPr>
          <w:trHeight w:val="670"/>
        </w:trPr>
        <w:tc>
          <w:tcPr>
            <w:tcW w:w="500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ind w:left="27"/>
              <w:jc w:val="both"/>
              <w:rPr>
                <w:rFonts w:ascii="Calibri" w:hAnsi="Calibri" w:cs="Arial"/>
                <w:b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802.11:</w:t>
            </w:r>
            <w:r w:rsidRPr="00E84C0D">
              <w:rPr>
                <w:rFonts w:ascii="Calibri" w:hAnsi="Calibri" w:cs="Arial"/>
                <w:i/>
                <w:color w:val="365F91"/>
              </w:rPr>
              <w:t xml:space="preserve"> El protocolo IEEE 802.11 o WI-FI es un estándar de protocolo de comunicaciones de la IEEE que especifica las normas de funcionamiento en una WLAN.</w:t>
            </w:r>
          </w:p>
        </w:tc>
      </w:tr>
      <w:tr w:rsidR="00EC5917" w:rsidRPr="00E84C0D" w:rsidTr="00211966">
        <w:trPr>
          <w:trHeight w:val="352"/>
        </w:trPr>
        <w:tc>
          <w:tcPr>
            <w:tcW w:w="5000" w:type="pct"/>
            <w:tcBorders>
              <w:left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ind w:left="27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D</w:t>
            </w:r>
          </w:p>
        </w:tc>
      </w:tr>
      <w:tr w:rsidR="00EC5917" w:rsidRPr="00E84C0D" w:rsidTr="00211966">
        <w:trPr>
          <w:trHeight w:val="1750"/>
        </w:trPr>
        <w:tc>
          <w:tcPr>
            <w:tcW w:w="500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DBMS (DATA BASE MANAGEMENT SYSTEM</w:t>
            </w:r>
            <w:r w:rsidRPr="00E84C0D">
              <w:rPr>
                <w:rFonts w:ascii="Calibri" w:hAnsi="Calibri" w:cs="Arial"/>
                <w:i/>
                <w:color w:val="365F91"/>
              </w:rPr>
              <w:t>): sistema dedicado a servir de interfaz entre las bases de datos y las aplicaciones que las utilizan.</w:t>
            </w:r>
          </w:p>
          <w:p w:rsidR="00EC5917" w:rsidRPr="00E84C0D" w:rsidRDefault="00EC5917" w:rsidP="00211966">
            <w:pPr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DET - Data Element Type:</w:t>
            </w:r>
            <w:r w:rsidRPr="00E84C0D">
              <w:rPr>
                <w:rFonts w:ascii="Calibri" w:hAnsi="Calibri" w:cs="Arial"/>
                <w:i/>
                <w:color w:val="365F91"/>
              </w:rPr>
              <w:t xml:space="preserve"> Tipo de dato único no recursivo en un ILF o EIF.</w:t>
            </w:r>
          </w:p>
          <w:p w:rsidR="00EC5917" w:rsidRPr="00E84C0D" w:rsidRDefault="00EC5917" w:rsidP="00211966">
            <w:pPr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Disconnect Protection – (Protección de desconexión):</w:t>
            </w:r>
            <w:r w:rsidRPr="00E84C0D">
              <w:rPr>
                <w:rFonts w:ascii="Calibri" w:hAnsi="Calibri" w:cs="Arial"/>
                <w:i/>
                <w:color w:val="365F91"/>
              </w:rPr>
              <w:t xml:space="preserve"> Situación o escenario en el cual un sistema garantiza que una pérdida de conexión no dejara ningún dato o información </w:t>
            </w:r>
            <w:r w:rsidRPr="00E84C0D">
              <w:rPr>
                <w:rFonts w:ascii="Calibri" w:hAnsi="Calibri" w:cs="Arial"/>
                <w:i/>
                <w:color w:val="365F91"/>
              </w:rPr>
              <w:lastRenderedPageBreak/>
              <w:t>inconsistente.</w:t>
            </w:r>
          </w:p>
        </w:tc>
      </w:tr>
      <w:tr w:rsidR="00EC5917" w:rsidRPr="00E84C0D" w:rsidTr="00211966">
        <w:trPr>
          <w:trHeight w:val="333"/>
        </w:trPr>
        <w:tc>
          <w:tcPr>
            <w:tcW w:w="5000" w:type="pct"/>
            <w:tcBorders>
              <w:left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ind w:left="27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lastRenderedPageBreak/>
              <w:t>E</w:t>
            </w:r>
          </w:p>
        </w:tc>
      </w:tr>
      <w:tr w:rsidR="00EC5917" w:rsidRPr="00E84C0D" w:rsidTr="00211966">
        <w:trPr>
          <w:trHeight w:val="2036"/>
        </w:trPr>
        <w:tc>
          <w:tcPr>
            <w:tcW w:w="500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autoSpaceDE w:val="0"/>
              <w:autoSpaceDN w:val="0"/>
              <w:adjustRightInd w:val="0"/>
              <w:ind w:left="27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EI - External Inputs:</w:t>
            </w:r>
            <w:r w:rsidRPr="00E84C0D">
              <w:rPr>
                <w:rFonts w:ascii="Calibri" w:hAnsi="Calibri" w:cs="Arial"/>
                <w:i/>
                <w:color w:val="365F91"/>
              </w:rPr>
              <w:t xml:space="preserve"> Es un proceso elemental en cuyo dato cruza la frontera de afuera hacia adentro.</w:t>
            </w:r>
          </w:p>
          <w:p w:rsidR="00EC5917" w:rsidRPr="00E84C0D" w:rsidRDefault="00EC5917" w:rsidP="00211966">
            <w:pPr>
              <w:autoSpaceDE w:val="0"/>
              <w:autoSpaceDN w:val="0"/>
              <w:adjustRightInd w:val="0"/>
              <w:ind w:left="27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EO - External Outputs:</w:t>
            </w:r>
            <w:r w:rsidRPr="00E84C0D">
              <w:rPr>
                <w:rFonts w:ascii="Calibri" w:hAnsi="Calibri" w:cs="Arial"/>
                <w:i/>
                <w:color w:val="365F91"/>
              </w:rPr>
              <w:t xml:space="preserve"> Un proceso elemental en cuyo dato derivado pasa atreves de la frontera de adentro hacia afuera.</w:t>
            </w:r>
          </w:p>
          <w:p w:rsidR="00EC5917" w:rsidRPr="00E84C0D" w:rsidRDefault="00EC5917" w:rsidP="00211966">
            <w:pPr>
              <w:autoSpaceDE w:val="0"/>
              <w:autoSpaceDN w:val="0"/>
              <w:adjustRightInd w:val="0"/>
              <w:ind w:left="27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EQ - External Inquiry:</w:t>
            </w:r>
            <w:r w:rsidRPr="00E84C0D">
              <w:rPr>
                <w:rFonts w:ascii="Calibri" w:hAnsi="Calibri" w:cs="Arial"/>
                <w:i/>
                <w:color w:val="365F91"/>
              </w:rPr>
              <w:t xml:space="preserve"> Un proceso elemental con ambos componentes de adentro y desafuera que resulta en recuperación de uno o más archivos de lógica interna y archivos de interfaz externa.</w:t>
            </w:r>
          </w:p>
        </w:tc>
      </w:tr>
      <w:tr w:rsidR="00EC5917" w:rsidRPr="00E84C0D" w:rsidTr="00211966">
        <w:trPr>
          <w:trHeight w:val="295"/>
        </w:trPr>
        <w:tc>
          <w:tcPr>
            <w:tcW w:w="5000" w:type="pct"/>
            <w:tcBorders>
              <w:left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ind w:left="27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F</w:t>
            </w:r>
          </w:p>
        </w:tc>
      </w:tr>
      <w:tr w:rsidR="00EC5917" w:rsidRPr="00E84C0D" w:rsidTr="00211966">
        <w:trPr>
          <w:trHeight w:val="683"/>
        </w:trPr>
        <w:tc>
          <w:tcPr>
            <w:tcW w:w="500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autoSpaceDE w:val="0"/>
              <w:autoSpaceDN w:val="0"/>
              <w:adjustRightInd w:val="0"/>
              <w:ind w:left="27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FTR - File Type Referenced:</w:t>
            </w:r>
            <w:r w:rsidRPr="00E84C0D">
              <w:rPr>
                <w:rFonts w:ascii="Calibri" w:hAnsi="Calibri" w:cs="Arial"/>
                <w:i/>
                <w:color w:val="365F91"/>
              </w:rPr>
              <w:t xml:space="preserve"> Es un tipo de archivo referenciado por una transacción. Un FTR debe además ser un archivo de lógica interna o archivos de interfaz externa.</w:t>
            </w:r>
          </w:p>
        </w:tc>
      </w:tr>
      <w:tr w:rsidR="00EC5917" w:rsidRPr="00E84C0D" w:rsidTr="00211966">
        <w:trPr>
          <w:trHeight w:val="335"/>
        </w:trPr>
        <w:tc>
          <w:tcPr>
            <w:tcW w:w="5000" w:type="pct"/>
            <w:tcBorders>
              <w:left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ind w:left="27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G</w:t>
            </w:r>
          </w:p>
        </w:tc>
      </w:tr>
      <w:tr w:rsidR="00EC5917" w:rsidRPr="00E84C0D" w:rsidTr="00211966">
        <w:trPr>
          <w:trHeight w:val="643"/>
        </w:trPr>
        <w:tc>
          <w:tcPr>
            <w:tcW w:w="500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GUI</w:t>
            </w:r>
            <w:r w:rsidRPr="00E84C0D">
              <w:rPr>
                <w:rFonts w:ascii="Calibri" w:hAnsi="Calibri" w:cs="Arial"/>
                <w:i/>
                <w:color w:val="365F91"/>
              </w:rPr>
              <w:t>: En el contexto del proceso de interacción persona-ordenador, la interfaz gráfica de usuario (IGU), provee una forma amigable de interacción con un sistema informático.</w:t>
            </w:r>
          </w:p>
        </w:tc>
      </w:tr>
      <w:tr w:rsidR="00EC5917" w:rsidRPr="00E84C0D" w:rsidTr="00211966">
        <w:trPr>
          <w:trHeight w:val="385"/>
        </w:trPr>
        <w:tc>
          <w:tcPr>
            <w:tcW w:w="5000" w:type="pct"/>
            <w:tcBorders>
              <w:left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autoSpaceDE w:val="0"/>
              <w:autoSpaceDN w:val="0"/>
              <w:adjustRightInd w:val="0"/>
              <w:ind w:left="27"/>
              <w:jc w:val="both"/>
              <w:rPr>
                <w:rFonts w:ascii="Calibri" w:hAnsi="Calibri" w:cs="Arial"/>
                <w:b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I</w:t>
            </w:r>
          </w:p>
        </w:tc>
      </w:tr>
      <w:tr w:rsidR="00EC5917" w:rsidRPr="00E84C0D" w:rsidTr="00211966">
        <w:trPr>
          <w:trHeight w:val="659"/>
        </w:trPr>
        <w:tc>
          <w:tcPr>
            <w:tcW w:w="500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autoSpaceDE w:val="0"/>
              <w:autoSpaceDN w:val="0"/>
              <w:adjustRightInd w:val="0"/>
              <w:ind w:left="27"/>
              <w:jc w:val="both"/>
              <w:rPr>
                <w:rFonts w:ascii="Calibri" w:hAnsi="Calibri" w:cs="Arial"/>
                <w:b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ILF - Internal Logical Files</w:t>
            </w:r>
            <w:r w:rsidRPr="00E84C0D">
              <w:rPr>
                <w:rFonts w:ascii="Calibri" w:hAnsi="Calibri" w:cs="Arial"/>
                <w:i/>
                <w:color w:val="365F91"/>
              </w:rPr>
              <w:t>: Un grupo de datos lógicamente relacionados que reside totalmente dentro de la frontera de la aplicación y es mantenido a través del EI.</w:t>
            </w:r>
          </w:p>
        </w:tc>
      </w:tr>
      <w:tr w:rsidR="00EC5917" w:rsidRPr="00E84C0D" w:rsidTr="00211966">
        <w:trPr>
          <w:trHeight w:val="300"/>
        </w:trPr>
        <w:tc>
          <w:tcPr>
            <w:tcW w:w="5000" w:type="pct"/>
            <w:tcBorders>
              <w:left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jc w:val="both"/>
              <w:rPr>
                <w:rFonts w:ascii="Calibri" w:hAnsi="Calibri" w:cs="Arial"/>
                <w:b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R</w:t>
            </w:r>
          </w:p>
        </w:tc>
      </w:tr>
      <w:tr w:rsidR="00EC5917" w:rsidRPr="00E84C0D" w:rsidTr="00211966">
        <w:trPr>
          <w:trHeight w:val="686"/>
        </w:trPr>
        <w:tc>
          <w:tcPr>
            <w:tcW w:w="500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ind w:left="27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RET - Record Element Type:</w:t>
            </w:r>
            <w:r w:rsidRPr="00E84C0D">
              <w:rPr>
                <w:rFonts w:ascii="Calibri" w:hAnsi="Calibri" w:cs="Arial"/>
                <w:i/>
                <w:color w:val="365F91"/>
              </w:rPr>
              <w:t xml:space="preserve"> Un subgrupo identificable de elementos de  datos dentro de un ILF o un EIF.</w:t>
            </w:r>
          </w:p>
        </w:tc>
      </w:tr>
      <w:tr w:rsidR="00EC5917" w:rsidRPr="00E84C0D" w:rsidTr="00211966">
        <w:trPr>
          <w:trHeight w:val="368"/>
        </w:trPr>
        <w:tc>
          <w:tcPr>
            <w:tcW w:w="5000" w:type="pct"/>
            <w:tcBorders>
              <w:left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ind w:left="27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S</w:t>
            </w:r>
          </w:p>
        </w:tc>
      </w:tr>
      <w:tr w:rsidR="00EC5917" w:rsidRPr="00E84C0D" w:rsidTr="00211966">
        <w:trPr>
          <w:trHeight w:val="2037"/>
        </w:trPr>
        <w:tc>
          <w:tcPr>
            <w:tcW w:w="500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tabs>
                <w:tab w:val="left" w:pos="720"/>
              </w:tabs>
              <w:autoSpaceDE w:val="0"/>
              <w:autoSpaceDN w:val="0"/>
              <w:adjustRightInd w:val="0"/>
              <w:ind w:left="27" w:right="18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lastRenderedPageBreak/>
              <w:t>SDD</w:t>
            </w:r>
            <w:r w:rsidRPr="00E84C0D">
              <w:rPr>
                <w:rFonts w:ascii="Calibri" w:hAnsi="Calibri" w:cs="Arial"/>
                <w:i/>
                <w:color w:val="365F91"/>
              </w:rPr>
              <w:t>: Documento que describe el  modelo de diseño del sistema</w:t>
            </w:r>
          </w:p>
          <w:p w:rsidR="00EC5917" w:rsidRPr="00E84C0D" w:rsidRDefault="00EC5917" w:rsidP="00211966">
            <w:pPr>
              <w:tabs>
                <w:tab w:val="left" w:pos="720"/>
              </w:tabs>
              <w:autoSpaceDE w:val="0"/>
              <w:autoSpaceDN w:val="0"/>
              <w:adjustRightInd w:val="0"/>
              <w:ind w:left="27" w:right="18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SPMP</w:t>
            </w:r>
            <w:r w:rsidRPr="00E84C0D">
              <w:rPr>
                <w:rFonts w:ascii="Calibri" w:hAnsi="Calibri" w:cs="Arial"/>
                <w:i/>
                <w:color w:val="365F91"/>
              </w:rPr>
              <w:t>: Documento que controla un proyecto de software. El SPMP define las actividades, productos de trabajo, indicadores de avance y recursos asignados al proyecto. En el SPMP también están definidos los procedimientos administrativos y convenciones aplicables al proyecto, como el reporte de estado, la administración del riesgo, y la administración de contingencias</w:t>
            </w:r>
          </w:p>
          <w:p w:rsidR="00EC5917" w:rsidRPr="00E84C0D" w:rsidRDefault="00EC5917" w:rsidP="00211966">
            <w:pPr>
              <w:tabs>
                <w:tab w:val="left" w:pos="720"/>
              </w:tabs>
              <w:autoSpaceDE w:val="0"/>
              <w:autoSpaceDN w:val="0"/>
              <w:adjustRightInd w:val="0"/>
              <w:ind w:left="27" w:right="18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SRS</w:t>
            </w:r>
            <w:r w:rsidRPr="00E84C0D">
              <w:rPr>
                <w:rFonts w:ascii="Calibri" w:hAnsi="Calibri" w:cs="Arial"/>
                <w:i/>
                <w:color w:val="365F91"/>
              </w:rPr>
              <w:t>: Documento que describe el sistema de requerimiento de software</w:t>
            </w:r>
          </w:p>
        </w:tc>
      </w:tr>
      <w:tr w:rsidR="00EC5917" w:rsidRPr="00E84C0D" w:rsidTr="00211966">
        <w:trPr>
          <w:trHeight w:val="435"/>
        </w:trPr>
        <w:tc>
          <w:tcPr>
            <w:tcW w:w="5000" w:type="pct"/>
            <w:tcBorders>
              <w:left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ind w:left="27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U</w:t>
            </w:r>
          </w:p>
        </w:tc>
      </w:tr>
      <w:tr w:rsidR="00EC5917" w:rsidRPr="00E84C0D" w:rsidTr="00211966">
        <w:trPr>
          <w:trHeight w:val="371"/>
        </w:trPr>
        <w:tc>
          <w:tcPr>
            <w:tcW w:w="500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ind w:left="27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UML- Unified Modelling Language:</w:t>
            </w:r>
            <w:r w:rsidRPr="00E84C0D">
              <w:rPr>
                <w:rFonts w:ascii="Calibri" w:hAnsi="Calibri" w:cs="Arial"/>
                <w:i/>
                <w:color w:val="365F91"/>
              </w:rPr>
              <w:t xml:space="preserve"> lenguaje de modelado de sistemas de software.</w:t>
            </w:r>
          </w:p>
        </w:tc>
      </w:tr>
      <w:tr w:rsidR="00EC5917" w:rsidRPr="00E84C0D" w:rsidTr="00211966">
        <w:trPr>
          <w:trHeight w:val="368"/>
        </w:trPr>
        <w:tc>
          <w:tcPr>
            <w:tcW w:w="5000" w:type="pct"/>
            <w:tcBorders>
              <w:left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ind w:left="27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V</w:t>
            </w:r>
          </w:p>
        </w:tc>
      </w:tr>
      <w:tr w:rsidR="00EC5917" w:rsidRPr="00E84C0D" w:rsidTr="00211966">
        <w:trPr>
          <w:trHeight w:val="4487"/>
        </w:trPr>
        <w:tc>
          <w:tcPr>
            <w:tcW w:w="500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autoSpaceDE w:val="0"/>
              <w:autoSpaceDN w:val="0"/>
              <w:adjustRightInd w:val="0"/>
              <w:jc w:val="both"/>
              <w:rPr>
                <w:rFonts w:ascii="Calibri" w:hAnsi="Calibri" w:cs="Arial"/>
                <w:i/>
                <w:color w:val="365F91"/>
              </w:rPr>
            </w:pPr>
            <w:r w:rsidRPr="00E84C0D">
              <w:rPr>
                <w:rFonts w:ascii="Calibri" w:hAnsi="Calibri" w:cs="Arial"/>
                <w:b/>
                <w:i/>
                <w:color w:val="365F91"/>
              </w:rPr>
              <w:t>VAF - Value Adjustment Factor:</w:t>
            </w:r>
            <w:r w:rsidRPr="00E84C0D">
              <w:rPr>
                <w:rFonts w:ascii="Calibri" w:hAnsi="Calibri" w:cs="Arial"/>
                <w:i/>
                <w:color w:val="365F91"/>
              </w:rPr>
              <w:t xml:space="preserve"> Está basado en las siguientes 14 Características Generales del Sistema.</w:t>
            </w:r>
          </w:p>
          <w:p w:rsidR="00EC5917" w:rsidRPr="00E84C0D" w:rsidRDefault="00EC5917" w:rsidP="00EC591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E84C0D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Comunicaciones de datos</w:t>
            </w:r>
          </w:p>
          <w:p w:rsidR="00EC5917" w:rsidRPr="00E84C0D" w:rsidRDefault="00EC5917" w:rsidP="00EC591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E84C0D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Procesamiento de datos distribuidos</w:t>
            </w:r>
          </w:p>
          <w:p w:rsidR="00EC5917" w:rsidRPr="00E84C0D" w:rsidRDefault="00EC5917" w:rsidP="00EC591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E84C0D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Desempeño</w:t>
            </w:r>
          </w:p>
          <w:p w:rsidR="00EC5917" w:rsidRPr="00E84C0D" w:rsidRDefault="00EC5917" w:rsidP="00EC591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E84C0D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Configuración pesada usada.</w:t>
            </w:r>
          </w:p>
          <w:p w:rsidR="00EC5917" w:rsidRPr="00E84C0D" w:rsidRDefault="00EC5917" w:rsidP="00EC591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E84C0D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Tasa de transacciones.</w:t>
            </w:r>
          </w:p>
          <w:p w:rsidR="00EC5917" w:rsidRPr="00E84C0D" w:rsidRDefault="00EC5917" w:rsidP="00EC591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E84C0D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Entrada de datos en línea.</w:t>
            </w:r>
          </w:p>
          <w:p w:rsidR="00EC5917" w:rsidRPr="00E84C0D" w:rsidRDefault="00EC5917" w:rsidP="00EC591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E84C0D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Eficiencia para el usuario final.</w:t>
            </w:r>
          </w:p>
          <w:p w:rsidR="00EC5917" w:rsidRPr="00E84C0D" w:rsidRDefault="00EC5917" w:rsidP="00EC591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E84C0D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Actualizaciones en línea.</w:t>
            </w:r>
          </w:p>
          <w:p w:rsidR="00EC5917" w:rsidRPr="00E84C0D" w:rsidRDefault="00EC5917" w:rsidP="00EC591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E84C0D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Procesamiento complejo.</w:t>
            </w:r>
          </w:p>
          <w:p w:rsidR="00EC5917" w:rsidRPr="00E84C0D" w:rsidRDefault="00EC5917" w:rsidP="00EC591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E84C0D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Reusabilidad.</w:t>
            </w:r>
          </w:p>
          <w:p w:rsidR="00EC5917" w:rsidRPr="00E84C0D" w:rsidRDefault="00EC5917" w:rsidP="00EC591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E84C0D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Facilidad de instalación.</w:t>
            </w:r>
          </w:p>
          <w:p w:rsidR="00EC5917" w:rsidRPr="00E84C0D" w:rsidRDefault="00EC5917" w:rsidP="00EC591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E84C0D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Facilidad de operación.</w:t>
            </w:r>
          </w:p>
          <w:p w:rsidR="00EC5917" w:rsidRPr="00E84C0D" w:rsidRDefault="00EC5917" w:rsidP="00EC591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E84C0D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Sitios múltiples.</w:t>
            </w:r>
          </w:p>
          <w:p w:rsidR="00EC5917" w:rsidRPr="00E84C0D" w:rsidRDefault="00EC5917" w:rsidP="00EC591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E84C0D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Facilidades de cambio.</w:t>
            </w:r>
          </w:p>
        </w:tc>
      </w:tr>
      <w:tr w:rsidR="00EC5917" w:rsidRPr="00E84C0D" w:rsidTr="00211966">
        <w:trPr>
          <w:trHeight w:val="362"/>
        </w:trPr>
        <w:tc>
          <w:tcPr>
            <w:tcW w:w="500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C5917" w:rsidRPr="00E84C0D" w:rsidRDefault="00EC5917" w:rsidP="00211966">
            <w:pPr>
              <w:autoSpaceDE w:val="0"/>
              <w:autoSpaceDN w:val="0"/>
              <w:adjustRightInd w:val="0"/>
              <w:jc w:val="both"/>
              <w:rPr>
                <w:rFonts w:ascii="Calibri" w:hAnsi="Calibri" w:cs="Arial"/>
                <w:b/>
                <w:i/>
                <w:color w:val="365F91"/>
              </w:rPr>
            </w:pPr>
            <w:r>
              <w:rPr>
                <w:rFonts w:ascii="Calibri" w:hAnsi="Calibri" w:cs="Arial"/>
                <w:b/>
                <w:i/>
                <w:color w:val="365F91"/>
              </w:rPr>
              <w:t>W</w:t>
            </w:r>
          </w:p>
        </w:tc>
      </w:tr>
      <w:tr w:rsidR="00EC5917" w:rsidRPr="00E84C0D" w:rsidTr="00211966">
        <w:trPr>
          <w:trHeight w:val="1813"/>
        </w:trPr>
        <w:tc>
          <w:tcPr>
            <w:tcW w:w="500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C5917" w:rsidRPr="00FA6D12" w:rsidRDefault="00EC5917" w:rsidP="00211966">
            <w:pPr>
              <w:jc w:val="both"/>
              <w:rPr>
                <w:rFonts w:ascii="Calibri" w:hAnsi="Calibri" w:cs="Arial"/>
                <w:i/>
                <w:color w:val="365F91"/>
              </w:rPr>
            </w:pPr>
            <w:r w:rsidRPr="00FA6D12">
              <w:rPr>
                <w:rFonts w:ascii="Calibri" w:hAnsi="Calibri" w:cs="Arial"/>
                <w:b/>
                <w:i/>
                <w:color w:val="365F91"/>
              </w:rPr>
              <w:t>Warnings</w:t>
            </w:r>
            <w:r w:rsidRPr="00FA6D12">
              <w:rPr>
                <w:rFonts w:ascii="Calibri" w:hAnsi="Calibri" w:cs="Arial"/>
                <w:i/>
                <w:color w:val="365F91"/>
              </w:rPr>
              <w:t>: Advertencias de un posible error en el código en el momento de compilar el mismo.</w:t>
            </w:r>
          </w:p>
          <w:p w:rsidR="00EC5917" w:rsidRPr="00E84C0D" w:rsidRDefault="00EC5917" w:rsidP="00211966">
            <w:pPr>
              <w:autoSpaceDE w:val="0"/>
              <w:autoSpaceDN w:val="0"/>
              <w:adjustRightInd w:val="0"/>
              <w:jc w:val="both"/>
              <w:rPr>
                <w:rFonts w:ascii="Calibri" w:hAnsi="Calibri" w:cs="Arial"/>
                <w:b/>
                <w:i/>
                <w:color w:val="365F91"/>
              </w:rPr>
            </w:pPr>
            <w:r w:rsidRPr="00FA6D12">
              <w:rPr>
                <w:rFonts w:ascii="Calibri" w:hAnsi="Calibri" w:cs="Arial"/>
                <w:b/>
                <w:i/>
                <w:color w:val="365F91"/>
              </w:rPr>
              <w:t>WLAN</w:t>
            </w:r>
            <w:r w:rsidRPr="00FA6D12">
              <w:rPr>
                <w:rFonts w:ascii="Calibri" w:hAnsi="Calibri" w:cs="Arial"/>
                <w:i/>
                <w:color w:val="365F91"/>
              </w:rPr>
              <w:t>: Es un sistema de comunicación de datos inalámbrico, utilizado como alternativa las redes de área local cableadas o como extensión de éstas. Utiliza tecnología de radiofrecuencia que permite mayor movilidad a los usuarios al minimizar las conexiones cableadas.</w:t>
            </w:r>
          </w:p>
        </w:tc>
      </w:tr>
    </w:tbl>
    <w:p w:rsidR="00EC5917" w:rsidRDefault="00EC5917" w:rsidP="00EC5917">
      <w:pPr>
        <w:pStyle w:val="Epgrafe"/>
        <w:framePr w:hSpace="141" w:wrap="around" w:vAnchor="text" w:hAnchor="page" w:x="4756" w:y="40"/>
      </w:pPr>
      <w:bookmarkStart w:id="1" w:name="_Toc175389748"/>
      <w:r>
        <w:t xml:space="preserve">Tabla </w:t>
      </w:r>
      <w:fldSimple w:instr=" SEQ Tabla \* ARABIC ">
        <w:r>
          <w:rPr>
            <w:noProof/>
          </w:rPr>
          <w:t>7</w:t>
        </w:r>
      </w:fldSimple>
      <w:r>
        <w:t>: Acrónimos</w:t>
      </w:r>
      <w:bookmarkEnd w:id="1"/>
    </w:p>
    <w:p w:rsidR="00EC5917" w:rsidRDefault="00EC5917" w:rsidP="00EC5917">
      <w:pPr>
        <w:rPr>
          <w:rFonts w:ascii="Calibri" w:hAnsi="Calibri" w:cs="Arial"/>
          <w:i/>
          <w:color w:val="365F91"/>
        </w:rPr>
      </w:pPr>
      <w:r>
        <w:rPr>
          <w:rFonts w:ascii="Calibri" w:hAnsi="Calibri" w:cs="Arial"/>
          <w:i/>
          <w:color w:val="365F91"/>
        </w:rPr>
        <w:br w:type="page"/>
      </w:r>
    </w:p>
    <w:p w:rsidR="00A31365" w:rsidRDefault="00A31365"/>
    <w:sectPr w:rsidR="00A31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D54AD"/>
    <w:multiLevelType w:val="multilevel"/>
    <w:tmpl w:val="9E0EF786"/>
    <w:lvl w:ilvl="0">
      <w:start w:val="1"/>
      <w:numFmt w:val="decimal"/>
      <w:lvlText w:val="%1."/>
      <w:lvlJc w:val="left"/>
      <w:pPr>
        <w:ind w:left="432" w:hanging="432"/>
      </w:pPr>
      <w:rPr>
        <w:rFonts w:ascii="Cambria" w:eastAsia="Times New Roman" w:hAnsi="Cambria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E8702A4"/>
    <w:multiLevelType w:val="hybridMultilevel"/>
    <w:tmpl w:val="DF46FD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C5917"/>
    <w:rsid w:val="00A31365"/>
    <w:rsid w:val="00EC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917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EC591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EC591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EC591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EC5917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EC5917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s-ES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EC5917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nhideWhenUsed/>
    <w:qFormat/>
    <w:rsid w:val="00EC5917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nhideWhenUsed/>
    <w:qFormat/>
    <w:rsid w:val="00EC5917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917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EC5917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EC5917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EC5917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EC5917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EC5917"/>
    <w:rPr>
      <w:rFonts w:ascii="Calibri" w:eastAsia="Times New Roman" w:hAnsi="Calibri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EC5917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EC5917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EC5917"/>
    <w:rPr>
      <w:rFonts w:ascii="Cambria" w:eastAsia="Times New Roman" w:hAnsi="Cambria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EC591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pgrafe">
    <w:name w:val="caption"/>
    <w:basedOn w:val="Normal"/>
    <w:next w:val="Normal"/>
    <w:unhideWhenUsed/>
    <w:qFormat/>
    <w:rsid w:val="00EC591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674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2</cp:revision>
  <dcterms:created xsi:type="dcterms:W3CDTF">2009-08-21T22:04:00Z</dcterms:created>
  <dcterms:modified xsi:type="dcterms:W3CDTF">2009-08-21T22:04:00Z</dcterms:modified>
</cp:coreProperties>
</file>