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各学院考核制度</w:t>
      </w:r>
    </w:p>
    <w:p>
      <w:pPr>
        <w:numPr>
          <w:ilvl w:val="0"/>
          <w:numId w:val="1"/>
        </w:numPr>
        <w:bidi w:val="0"/>
        <w:rPr>
          <w:rFonts w:hint="eastAsia"/>
          <w:lang w:val="en-US" w:eastAsia="zh-CN"/>
        </w:rPr>
      </w:pPr>
      <w:r>
        <w:rPr>
          <w:rFonts w:hint="eastAsia"/>
          <w:lang w:val="en-US" w:eastAsia="zh-CN"/>
        </w:rPr>
        <w:t>总则</w:t>
      </w:r>
    </w:p>
    <w:p>
      <w:pPr>
        <w:widowControl w:val="0"/>
        <w:numPr>
          <w:ilvl w:val="0"/>
          <w:numId w:val="0"/>
        </w:numPr>
        <w:bidi w:val="0"/>
        <w:jc w:val="both"/>
        <w:rPr>
          <w:rFonts w:hint="eastAsia"/>
          <w:lang w:val="en-US" w:eastAsia="zh-CN"/>
        </w:rPr>
      </w:pPr>
      <w:r>
        <w:rPr>
          <w:rFonts w:hint="eastAsia"/>
          <w:lang w:val="en-US" w:eastAsia="zh-CN"/>
        </w:rPr>
        <w:t>1.以积分制形式进行考核，每个学院部门起始分数为60分。</w:t>
      </w:r>
    </w:p>
    <w:p>
      <w:pPr>
        <w:widowControl w:val="0"/>
        <w:numPr>
          <w:ilvl w:val="0"/>
          <w:numId w:val="0"/>
        </w:numPr>
        <w:bidi w:val="0"/>
        <w:jc w:val="both"/>
        <w:rPr>
          <w:rFonts w:hint="eastAsia"/>
          <w:lang w:val="en-US" w:eastAsia="zh-CN"/>
        </w:rPr>
      </w:pPr>
      <w:r>
        <w:rPr>
          <w:rFonts w:hint="eastAsia"/>
          <w:lang w:val="en-US" w:eastAsia="zh-CN"/>
        </w:rPr>
        <w:t>2.学期末各学院部门之间进行进行评比排名，排名靠前的被评为优秀院级部门。</w:t>
      </w:r>
    </w:p>
    <w:p>
      <w:pPr>
        <w:widowControl w:val="0"/>
        <w:numPr>
          <w:ilvl w:val="0"/>
          <w:numId w:val="0"/>
        </w:numPr>
        <w:bidi w:val="0"/>
        <w:jc w:val="both"/>
        <w:rPr>
          <w:rFonts w:hint="eastAsia"/>
          <w:lang w:val="en-US" w:eastAsia="zh-CN"/>
        </w:rPr>
      </w:pPr>
      <w:r>
        <w:rPr>
          <w:rFonts w:hint="eastAsia"/>
          <w:lang w:val="en-US" w:eastAsia="zh-CN"/>
        </w:rPr>
        <w:t>3.分数可为负数。</w:t>
      </w:r>
    </w:p>
    <w:p>
      <w:pPr>
        <w:widowControl w:val="0"/>
        <w:numPr>
          <w:ilvl w:val="0"/>
          <w:numId w:val="0"/>
        </w:numPr>
        <w:bidi w:val="0"/>
        <w:jc w:val="both"/>
        <w:rPr>
          <w:rFonts w:hint="eastAsia"/>
          <w:lang w:val="en-US" w:eastAsia="zh-CN"/>
        </w:rPr>
      </w:pPr>
      <w:r>
        <w:rPr>
          <w:rFonts w:hint="eastAsia"/>
          <w:lang w:val="en-US" w:eastAsia="zh-CN"/>
        </w:rPr>
        <w:t>4.考核每周一次，期末进行汇总。</w:t>
      </w:r>
    </w:p>
    <w:p>
      <w:pPr>
        <w:widowControl w:val="0"/>
        <w:numPr>
          <w:ilvl w:val="0"/>
          <w:numId w:val="0"/>
        </w:numPr>
        <w:bidi w:val="0"/>
        <w:jc w:val="both"/>
        <w:rPr>
          <w:rFonts w:hint="eastAsia"/>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权益问题上交</w:t>
      </w:r>
    </w:p>
    <w:p>
      <w:pPr>
        <w:widowControl w:val="0"/>
        <w:numPr>
          <w:ilvl w:val="0"/>
          <w:numId w:val="0"/>
        </w:numPr>
        <w:bidi w:val="0"/>
        <w:jc w:val="both"/>
        <w:rPr>
          <w:rFonts w:hint="eastAsia"/>
          <w:lang w:val="en-US" w:eastAsia="zh-CN"/>
        </w:rPr>
      </w:pPr>
    </w:p>
    <w:p>
      <w:pPr>
        <w:widowControl w:val="0"/>
        <w:numPr>
          <w:ilvl w:val="0"/>
          <w:numId w:val="2"/>
        </w:numPr>
        <w:bidi w:val="0"/>
        <w:jc w:val="both"/>
        <w:rPr>
          <w:rFonts w:hint="eastAsia"/>
          <w:lang w:val="en-US" w:eastAsia="zh-CN"/>
        </w:rPr>
      </w:pPr>
      <w:r>
        <w:rPr>
          <w:rFonts w:hint="eastAsia"/>
          <w:lang w:val="en-US" w:eastAsia="zh-CN"/>
        </w:rPr>
        <w:t>各院级部门每周六晚上7.00前应及时上交有效问题汇总， 以表格形式上交，表格格式见附页1。</w:t>
      </w:r>
    </w:p>
    <w:p>
      <w:pPr>
        <w:widowControl w:val="0"/>
        <w:numPr>
          <w:ilvl w:val="0"/>
          <w:numId w:val="2"/>
        </w:numPr>
        <w:bidi w:val="0"/>
        <w:jc w:val="both"/>
        <w:rPr>
          <w:rFonts w:hint="default"/>
          <w:lang w:val="en-US" w:eastAsia="zh-CN"/>
        </w:rPr>
      </w:pPr>
      <w:r>
        <w:rPr>
          <w:rFonts w:hint="eastAsia"/>
          <w:lang w:val="en-US" w:eastAsia="zh-CN"/>
        </w:rPr>
        <w:t>每周至少提交一个问题。</w:t>
      </w:r>
    </w:p>
    <w:p>
      <w:pPr>
        <w:widowControl w:val="0"/>
        <w:numPr>
          <w:ilvl w:val="0"/>
          <w:numId w:val="2"/>
        </w:numPr>
        <w:bidi w:val="0"/>
        <w:jc w:val="both"/>
        <w:rPr>
          <w:rFonts w:hint="default"/>
          <w:lang w:val="en-US" w:eastAsia="zh-CN"/>
        </w:rPr>
      </w:pPr>
      <w:r>
        <w:rPr>
          <w:rFonts w:hint="eastAsia"/>
          <w:lang w:val="en-US" w:eastAsia="zh-CN"/>
        </w:rPr>
        <w:t>逾期不上交，校部门对应对接人将会进行提醒。超过一个小时扣5分，不满一个小时则按一个小时计算。扣满20分为止。</w:t>
      </w:r>
    </w:p>
    <w:p>
      <w:pPr>
        <w:widowControl w:val="0"/>
        <w:numPr>
          <w:ilvl w:val="0"/>
          <w:numId w:val="2"/>
        </w:numPr>
        <w:bidi w:val="0"/>
        <w:jc w:val="both"/>
        <w:rPr>
          <w:rFonts w:hint="default"/>
          <w:lang w:val="en-US" w:eastAsia="zh-CN"/>
        </w:rPr>
      </w:pPr>
      <w:r>
        <w:rPr>
          <w:rFonts w:hint="eastAsia"/>
          <w:lang w:val="en-US" w:eastAsia="zh-CN"/>
        </w:rPr>
        <w:t>根据上交的表格，校部门每周将会评选出三个解决问题优秀的院部门，每个院部门加5分。</w:t>
      </w:r>
    </w:p>
    <w:p>
      <w:pPr>
        <w:widowControl w:val="0"/>
        <w:numPr>
          <w:ilvl w:val="0"/>
          <w:numId w:val="2"/>
        </w:numPr>
        <w:bidi w:val="0"/>
        <w:jc w:val="both"/>
        <w:rPr>
          <w:rFonts w:hint="default"/>
          <w:lang w:val="en-US" w:eastAsia="zh-CN"/>
        </w:rPr>
      </w:pPr>
      <w:r>
        <w:rPr>
          <w:rFonts w:hint="eastAsia"/>
          <w:lang w:val="en-US" w:eastAsia="zh-CN"/>
        </w:rPr>
        <w:t>除特殊情况声明，每个问题不得拖延两个星期以上。拖至两星期以上扣10分。</w:t>
      </w:r>
    </w:p>
    <w:p>
      <w:pPr>
        <w:widowControl w:val="0"/>
        <w:numPr>
          <w:ilvl w:val="0"/>
          <w:numId w:val="2"/>
        </w:numPr>
        <w:bidi w:val="0"/>
        <w:jc w:val="both"/>
        <w:rPr>
          <w:rFonts w:hint="default"/>
          <w:lang w:val="en-US" w:eastAsia="zh-CN"/>
        </w:rPr>
      </w:pPr>
      <w:r>
        <w:rPr>
          <w:rFonts w:hint="eastAsia"/>
          <w:lang w:val="en-US" w:eastAsia="zh-CN"/>
        </w:rPr>
        <w:t>如果解决问题涉及的部门及人员不在相关部门办公地点表格上，应及时补齐相关信息，每次加5分。</w:t>
      </w:r>
      <w:bookmarkStart w:id="0" w:name="_GoBack"/>
      <w:bookmarkEnd w:id="0"/>
    </w:p>
    <w:p>
      <w:pPr>
        <w:widowControl w:val="0"/>
        <w:numPr>
          <w:ilvl w:val="0"/>
          <w:numId w:val="0"/>
        </w:numPr>
        <w:bidi w:val="0"/>
        <w:jc w:val="both"/>
        <w:rPr>
          <w:rFonts w:hint="eastAsia"/>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部门会议</w:t>
      </w:r>
    </w:p>
    <w:p>
      <w:pPr>
        <w:widowControl w:val="0"/>
        <w:numPr>
          <w:ilvl w:val="0"/>
          <w:numId w:val="0"/>
        </w:numPr>
        <w:bidi w:val="0"/>
        <w:jc w:val="both"/>
        <w:rPr>
          <w:rFonts w:hint="default"/>
          <w:lang w:val="en-US" w:eastAsia="zh-CN"/>
        </w:rPr>
      </w:pPr>
    </w:p>
    <w:p>
      <w:pPr>
        <w:widowControl w:val="0"/>
        <w:numPr>
          <w:ilvl w:val="0"/>
          <w:numId w:val="3"/>
        </w:numPr>
        <w:bidi w:val="0"/>
        <w:jc w:val="both"/>
        <w:rPr>
          <w:rFonts w:hint="eastAsia"/>
          <w:lang w:val="en-US" w:eastAsia="zh-CN"/>
        </w:rPr>
      </w:pPr>
      <w:r>
        <w:rPr>
          <w:rFonts w:hint="eastAsia"/>
          <w:lang w:val="en-US" w:eastAsia="zh-CN"/>
        </w:rPr>
        <w:t>两周召开一次的学院例会议应及时到场参加。无故参加扣5分。</w:t>
      </w:r>
    </w:p>
    <w:p>
      <w:pPr>
        <w:widowControl w:val="0"/>
        <w:numPr>
          <w:ilvl w:val="0"/>
          <w:numId w:val="3"/>
        </w:numPr>
        <w:bidi w:val="0"/>
        <w:jc w:val="both"/>
        <w:rPr>
          <w:rFonts w:hint="default"/>
          <w:lang w:val="en-US" w:eastAsia="zh-CN"/>
        </w:rPr>
      </w:pPr>
      <w:r>
        <w:rPr>
          <w:rFonts w:hint="eastAsia"/>
          <w:lang w:val="en-US" w:eastAsia="zh-CN"/>
        </w:rPr>
        <w:t>权益大会，每个学院应在大会上对过去的工作进行总结和对接下来的工作的进行计划，无故参加扣10分。</w:t>
      </w:r>
    </w:p>
    <w:p>
      <w:pPr>
        <w:widowControl w:val="0"/>
        <w:numPr>
          <w:ilvl w:val="0"/>
          <w:numId w:val="0"/>
        </w:numPr>
        <w:bidi w:val="0"/>
        <w:jc w:val="both"/>
        <w:rPr>
          <w:rFonts w:hint="eastAsia"/>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宣传工作</w:t>
      </w:r>
    </w:p>
    <w:p>
      <w:pPr>
        <w:widowControl w:val="0"/>
        <w:numPr>
          <w:ilvl w:val="0"/>
          <w:numId w:val="0"/>
        </w:numPr>
        <w:bidi w:val="0"/>
        <w:jc w:val="both"/>
        <w:rPr>
          <w:rFonts w:hint="default"/>
          <w:lang w:val="en-US" w:eastAsia="zh-CN"/>
        </w:rPr>
      </w:pPr>
    </w:p>
    <w:p>
      <w:pPr>
        <w:widowControl w:val="0"/>
        <w:numPr>
          <w:ilvl w:val="0"/>
          <w:numId w:val="4"/>
        </w:numPr>
        <w:bidi w:val="0"/>
        <w:jc w:val="both"/>
        <w:rPr>
          <w:rFonts w:hint="eastAsia"/>
          <w:lang w:val="en-US" w:eastAsia="zh-CN"/>
        </w:rPr>
      </w:pPr>
      <w:r>
        <w:rPr>
          <w:rFonts w:hint="eastAsia"/>
          <w:lang w:val="en-US" w:eastAsia="zh-CN"/>
        </w:rPr>
        <w:t>各院级部门成员应及时对有关我们部门的推文进行推广，并在要求的时间内提交相应截图给校部门的对接人。在规定时间内提交完成后，该部门加10分。</w:t>
      </w:r>
    </w:p>
    <w:p>
      <w:pPr>
        <w:widowControl w:val="0"/>
        <w:numPr>
          <w:ilvl w:val="0"/>
          <w:numId w:val="0"/>
        </w:numPr>
        <w:bidi w:val="0"/>
        <w:jc w:val="both"/>
        <w:rPr>
          <w:rFonts w:hint="default"/>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考核工作</w:t>
      </w:r>
    </w:p>
    <w:p>
      <w:pPr>
        <w:widowControl w:val="0"/>
        <w:numPr>
          <w:ilvl w:val="0"/>
          <w:numId w:val="0"/>
        </w:numPr>
        <w:bidi w:val="0"/>
        <w:jc w:val="both"/>
        <w:rPr>
          <w:rFonts w:hint="default"/>
          <w:lang w:val="en-US" w:eastAsia="zh-CN"/>
        </w:rPr>
      </w:pPr>
    </w:p>
    <w:p>
      <w:pPr>
        <w:widowControl w:val="0"/>
        <w:numPr>
          <w:ilvl w:val="0"/>
          <w:numId w:val="5"/>
        </w:numPr>
        <w:bidi w:val="0"/>
        <w:jc w:val="both"/>
        <w:rPr>
          <w:rFonts w:hint="eastAsia"/>
          <w:lang w:val="en-US" w:eastAsia="zh-CN"/>
        </w:rPr>
      </w:pPr>
      <w:r>
        <w:rPr>
          <w:rFonts w:hint="eastAsia"/>
          <w:lang w:val="en-US" w:eastAsia="zh-CN"/>
        </w:rPr>
        <w:t>校部门定期会发放相应考核问卷，各院级部员应及时参加，规定时间内未完成的，每有一位部员，扣5分。</w:t>
      </w:r>
    </w:p>
    <w:p>
      <w:pPr>
        <w:widowControl w:val="0"/>
        <w:numPr>
          <w:ilvl w:val="0"/>
          <w:numId w:val="5"/>
        </w:numPr>
        <w:bidi w:val="0"/>
        <w:jc w:val="both"/>
        <w:rPr>
          <w:rFonts w:hint="default"/>
          <w:lang w:val="en-US" w:eastAsia="zh-CN"/>
        </w:rPr>
      </w:pPr>
      <w:r>
        <w:rPr>
          <w:rFonts w:hint="eastAsia"/>
          <w:lang w:val="en-US" w:eastAsia="zh-CN"/>
        </w:rPr>
        <w:t>校部门将会根据大家上交的问卷进行评定，并给大家打分；优秀部门加15分，良好10分，及格5分，不及格0分。</w:t>
      </w:r>
    </w:p>
    <w:p>
      <w:pPr>
        <w:widowControl w:val="0"/>
        <w:numPr>
          <w:ilvl w:val="0"/>
          <w:numId w:val="5"/>
        </w:numPr>
        <w:bidi w:val="0"/>
        <w:jc w:val="both"/>
        <w:rPr>
          <w:rFonts w:hint="default"/>
          <w:lang w:val="en-US" w:eastAsia="zh-CN"/>
        </w:rPr>
      </w:pPr>
      <w:r>
        <w:rPr>
          <w:rFonts w:hint="eastAsia"/>
          <w:lang w:val="en-US" w:eastAsia="zh-CN"/>
        </w:rPr>
        <w:t>学期末校部门将要求各位写一份活动策划案，主题由校部门决定。逾期未提交者，每有一位扣5分。</w:t>
      </w:r>
    </w:p>
    <w:p>
      <w:pPr>
        <w:widowControl w:val="0"/>
        <w:numPr>
          <w:ilvl w:val="0"/>
          <w:numId w:val="5"/>
        </w:numPr>
        <w:bidi w:val="0"/>
        <w:jc w:val="both"/>
        <w:rPr>
          <w:rFonts w:hint="default"/>
          <w:lang w:val="en-US" w:eastAsia="zh-CN"/>
        </w:rPr>
      </w:pPr>
      <w:r>
        <w:rPr>
          <w:rFonts w:hint="eastAsia"/>
          <w:lang w:val="en-US" w:eastAsia="zh-CN"/>
        </w:rPr>
        <w:t>根据大家所写的策划案，校部门将会给大家评分，优秀部门加15分，良好10分，及格5分，不及格0分。</w:t>
      </w:r>
    </w:p>
    <w:p>
      <w:pPr>
        <w:widowControl w:val="0"/>
        <w:numPr>
          <w:ilvl w:val="0"/>
          <w:numId w:val="0"/>
        </w:numPr>
        <w:bidi w:val="0"/>
        <w:jc w:val="both"/>
        <w:rPr>
          <w:rFonts w:hint="eastAsia"/>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期末评比</w:t>
      </w:r>
    </w:p>
    <w:p>
      <w:pPr>
        <w:widowControl w:val="0"/>
        <w:numPr>
          <w:ilvl w:val="0"/>
          <w:numId w:val="6"/>
        </w:numPr>
        <w:bidi w:val="0"/>
        <w:jc w:val="both"/>
        <w:rPr>
          <w:rFonts w:hint="eastAsia"/>
          <w:lang w:val="en-US" w:eastAsia="zh-CN"/>
        </w:rPr>
      </w:pPr>
      <w:r>
        <w:rPr>
          <w:rFonts w:hint="eastAsia"/>
          <w:lang w:val="en-US" w:eastAsia="zh-CN"/>
        </w:rPr>
        <w:t>学期末将会根据大家的评分进行排名，前三名院部门将获得优秀院级部门称号，并加综合素质分。</w:t>
      </w:r>
    </w:p>
    <w:p>
      <w:pPr>
        <w:widowControl w:val="0"/>
        <w:numPr>
          <w:ilvl w:val="0"/>
          <w:numId w:val="0"/>
        </w:numPr>
        <w:bidi w:val="0"/>
        <w:jc w:val="both"/>
        <w:rPr>
          <w:rFonts w:hint="default"/>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其他</w:t>
      </w:r>
    </w:p>
    <w:p>
      <w:pPr>
        <w:widowControl w:val="0"/>
        <w:numPr>
          <w:ilvl w:val="0"/>
          <w:numId w:val="7"/>
        </w:numPr>
        <w:bidi w:val="0"/>
        <w:jc w:val="both"/>
        <w:rPr>
          <w:rFonts w:hint="eastAsia"/>
          <w:lang w:val="en-US" w:eastAsia="zh-CN"/>
        </w:rPr>
      </w:pPr>
      <w:r>
        <w:rPr>
          <w:rFonts w:hint="eastAsia"/>
          <w:lang w:val="en-US" w:eastAsia="zh-CN"/>
        </w:rPr>
        <w:t>在举办活动方面，提出建设性意见及建议，该部门加10分。</w:t>
      </w:r>
    </w:p>
    <w:p>
      <w:pPr>
        <w:widowControl w:val="0"/>
        <w:numPr>
          <w:ilvl w:val="0"/>
          <w:numId w:val="7"/>
        </w:numPr>
        <w:bidi w:val="0"/>
        <w:jc w:val="both"/>
        <w:rPr>
          <w:rFonts w:hint="default"/>
          <w:lang w:val="en-US" w:eastAsia="zh-CN"/>
        </w:rPr>
      </w:pPr>
      <w:r>
        <w:rPr>
          <w:rFonts w:hint="eastAsia"/>
          <w:lang w:val="en-US" w:eastAsia="zh-CN"/>
        </w:rPr>
        <w:t>对权益服务部提出有意义的建议并被采纳的部门加10分。</w:t>
      </w:r>
    </w:p>
    <w:p>
      <w:pPr>
        <w:widowControl w:val="0"/>
        <w:numPr>
          <w:numId w:val="0"/>
        </w:numPr>
        <w:tabs>
          <w:tab w:val="left" w:pos="312"/>
        </w:tabs>
        <w:bidi w:val="0"/>
        <w:jc w:val="both"/>
        <w:rPr>
          <w:rFonts w:hint="eastAsia"/>
          <w:lang w:val="en-US" w:eastAsia="zh-CN"/>
        </w:rPr>
      </w:pPr>
    </w:p>
    <w:p>
      <w:pPr>
        <w:widowControl w:val="0"/>
        <w:numPr>
          <w:numId w:val="0"/>
        </w:numPr>
        <w:tabs>
          <w:tab w:val="left" w:pos="312"/>
        </w:tabs>
        <w:bidi w:val="0"/>
        <w:jc w:val="both"/>
        <w:rPr>
          <w:rFonts w:hint="eastAsia"/>
          <w:lang w:val="en-US" w:eastAsia="zh-CN"/>
        </w:rPr>
      </w:pPr>
    </w:p>
    <w:p>
      <w:pPr>
        <w:widowControl w:val="0"/>
        <w:numPr>
          <w:numId w:val="0"/>
        </w:numPr>
        <w:tabs>
          <w:tab w:val="left" w:pos="312"/>
        </w:tabs>
        <w:bidi w:val="0"/>
        <w:jc w:val="both"/>
        <w:rPr>
          <w:rFonts w:hint="eastAsia"/>
          <w:lang w:val="en-US" w:eastAsia="zh-CN"/>
        </w:rPr>
      </w:pPr>
    </w:p>
    <w:p>
      <w:pPr>
        <w:widowControl w:val="0"/>
        <w:numPr>
          <w:numId w:val="0"/>
        </w:numPr>
        <w:tabs>
          <w:tab w:val="left" w:pos="312"/>
        </w:tabs>
        <w:bidi w:val="0"/>
        <w:jc w:val="both"/>
        <w:rPr>
          <w:rFonts w:hint="eastAsia"/>
          <w:lang w:val="en-US" w:eastAsia="zh-CN"/>
        </w:rPr>
      </w:pPr>
    </w:p>
    <w:p>
      <w:pPr>
        <w:widowControl w:val="0"/>
        <w:numPr>
          <w:numId w:val="0"/>
        </w:numPr>
        <w:tabs>
          <w:tab w:val="left" w:pos="312"/>
        </w:tabs>
        <w:bidi w:val="0"/>
        <w:jc w:val="both"/>
        <w:rPr>
          <w:rFonts w:hint="eastAsia"/>
          <w:lang w:val="en-US" w:eastAsia="zh-CN"/>
        </w:rPr>
      </w:pPr>
    </w:p>
    <w:p>
      <w:pPr>
        <w:widowControl w:val="0"/>
        <w:numPr>
          <w:numId w:val="0"/>
        </w:numPr>
        <w:tabs>
          <w:tab w:val="left" w:pos="312"/>
        </w:tabs>
        <w:bidi w:val="0"/>
        <w:jc w:val="both"/>
        <w:rPr>
          <w:rFonts w:hint="eastAsia"/>
          <w:lang w:val="en-US" w:eastAsia="zh-CN"/>
        </w:rPr>
      </w:pPr>
    </w:p>
    <w:p>
      <w:pPr>
        <w:widowControl w:val="0"/>
        <w:numPr>
          <w:numId w:val="0"/>
        </w:numPr>
        <w:tabs>
          <w:tab w:val="left" w:pos="312"/>
        </w:tabs>
        <w:bidi w:val="0"/>
        <w:jc w:val="both"/>
        <w:rPr>
          <w:rFonts w:hint="eastAsia"/>
          <w:lang w:val="en-US" w:eastAsia="zh-CN"/>
        </w:rPr>
      </w:pPr>
      <w:r>
        <w:rPr>
          <w:rFonts w:hint="eastAsia"/>
          <w:lang w:val="en-US" w:eastAsia="zh-CN"/>
        </w:rPr>
        <w:t>附页1</w:t>
      </w:r>
    </w:p>
    <w:p>
      <w:pPr>
        <w:widowControl w:val="0"/>
        <w:numPr>
          <w:numId w:val="0"/>
        </w:numPr>
        <w:tabs>
          <w:tab w:val="left" w:pos="312"/>
        </w:tabs>
        <w:bidi w:val="0"/>
        <w:jc w:val="both"/>
        <w:rPr>
          <w:rFonts w:hint="eastAsia"/>
          <w:lang w:val="en-US" w:eastAsia="zh-CN"/>
        </w:rPr>
      </w:pPr>
    </w:p>
    <w:tbl>
      <w:tblPr>
        <w:tblStyle w:val="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1"/>
        <w:gridCol w:w="852"/>
        <w:gridCol w:w="852"/>
        <w:gridCol w:w="852"/>
        <w:gridCol w:w="852"/>
        <w:gridCol w:w="852"/>
        <w:gridCol w:w="852"/>
        <w:gridCol w:w="852"/>
        <w:gridCol w:w="852"/>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64" w:hRule="atLeast"/>
        </w:trPr>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权益问题简述</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提出者</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提出者联系方式</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受理者</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受理者联系方式</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涉及相关部门</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涉及相关人员</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涉及相关人员联系方式</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是否解决</w:t>
            </w:r>
          </w:p>
        </w:tc>
        <w:tc>
          <w:tcPr>
            <w:tcW w:w="500" w:type="pct"/>
            <w:textDirection w:val="tbRlV"/>
          </w:tcPr>
          <w:p>
            <w:pPr>
              <w:widowControl w:val="0"/>
              <w:numPr>
                <w:numId w:val="0"/>
              </w:numPr>
              <w:tabs>
                <w:tab w:val="left" w:pos="312"/>
              </w:tabs>
              <w:bidi w:val="0"/>
              <w:ind w:left="113" w:right="113" w:firstLine="0"/>
              <w:jc w:val="both"/>
              <w:rPr>
                <w:rFonts w:hint="default"/>
                <w:vertAlign w:val="baseline"/>
                <w:lang w:val="en-US" w:eastAsia="zh-CN"/>
              </w:rPr>
            </w:pPr>
            <w:r>
              <w:rPr>
                <w:rFonts w:hint="eastAsia"/>
                <w:vertAlign w:val="baseline"/>
                <w:lang w:val="en-US" w:eastAsia="zh-CN"/>
              </w:rPr>
              <w:t>提出者是否满意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7" w:hRule="atLeast"/>
        </w:trPr>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7" w:hRule="atLeast"/>
        </w:trPr>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c>
          <w:tcPr>
            <w:tcW w:w="500" w:type="pct"/>
          </w:tcPr>
          <w:p>
            <w:pPr>
              <w:widowControl w:val="0"/>
              <w:numPr>
                <w:numId w:val="0"/>
              </w:numPr>
              <w:tabs>
                <w:tab w:val="left" w:pos="312"/>
              </w:tabs>
              <w:bidi w:val="0"/>
              <w:jc w:val="both"/>
              <w:rPr>
                <w:rFonts w:hint="default"/>
                <w:vertAlign w:val="baseline"/>
                <w:lang w:val="en-US" w:eastAsia="zh-CN"/>
              </w:rPr>
            </w:pPr>
          </w:p>
        </w:tc>
      </w:tr>
    </w:tbl>
    <w:p>
      <w:pPr>
        <w:widowControl w:val="0"/>
        <w:numPr>
          <w:numId w:val="0"/>
        </w:numPr>
        <w:tabs>
          <w:tab w:val="left" w:pos="312"/>
        </w:tabs>
        <w:bidi w:val="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97DCC"/>
    <w:multiLevelType w:val="singleLevel"/>
    <w:tmpl w:val="A4997DCC"/>
    <w:lvl w:ilvl="0" w:tentative="0">
      <w:start w:val="1"/>
      <w:numFmt w:val="chineseCounting"/>
      <w:lvlText w:val="%1."/>
      <w:lvlJc w:val="left"/>
      <w:pPr>
        <w:tabs>
          <w:tab w:val="left" w:pos="312"/>
        </w:tabs>
      </w:pPr>
      <w:rPr>
        <w:rFonts w:hint="eastAsia"/>
      </w:rPr>
    </w:lvl>
  </w:abstractNum>
  <w:abstractNum w:abstractNumId="1">
    <w:nsid w:val="D1A6CF99"/>
    <w:multiLevelType w:val="singleLevel"/>
    <w:tmpl w:val="D1A6CF99"/>
    <w:lvl w:ilvl="0" w:tentative="0">
      <w:start w:val="1"/>
      <w:numFmt w:val="decimal"/>
      <w:lvlText w:val="%1."/>
      <w:lvlJc w:val="left"/>
      <w:pPr>
        <w:tabs>
          <w:tab w:val="left" w:pos="312"/>
        </w:tabs>
      </w:pPr>
    </w:lvl>
  </w:abstractNum>
  <w:abstractNum w:abstractNumId="2">
    <w:nsid w:val="F5DB5E1A"/>
    <w:multiLevelType w:val="singleLevel"/>
    <w:tmpl w:val="F5DB5E1A"/>
    <w:lvl w:ilvl="0" w:tentative="0">
      <w:start w:val="1"/>
      <w:numFmt w:val="decimal"/>
      <w:lvlText w:val="%1."/>
      <w:lvlJc w:val="left"/>
      <w:pPr>
        <w:tabs>
          <w:tab w:val="left" w:pos="312"/>
        </w:tabs>
      </w:pPr>
    </w:lvl>
  </w:abstractNum>
  <w:abstractNum w:abstractNumId="3">
    <w:nsid w:val="039E5525"/>
    <w:multiLevelType w:val="singleLevel"/>
    <w:tmpl w:val="039E5525"/>
    <w:lvl w:ilvl="0" w:tentative="0">
      <w:start w:val="1"/>
      <w:numFmt w:val="decimal"/>
      <w:lvlText w:val="%1."/>
      <w:lvlJc w:val="left"/>
      <w:pPr>
        <w:tabs>
          <w:tab w:val="left" w:pos="312"/>
        </w:tabs>
      </w:pPr>
    </w:lvl>
  </w:abstractNum>
  <w:abstractNum w:abstractNumId="4">
    <w:nsid w:val="130B7909"/>
    <w:multiLevelType w:val="singleLevel"/>
    <w:tmpl w:val="130B7909"/>
    <w:lvl w:ilvl="0" w:tentative="0">
      <w:start w:val="1"/>
      <w:numFmt w:val="decimal"/>
      <w:lvlText w:val="%1."/>
      <w:lvlJc w:val="left"/>
      <w:pPr>
        <w:tabs>
          <w:tab w:val="left" w:pos="312"/>
        </w:tabs>
      </w:pPr>
    </w:lvl>
  </w:abstractNum>
  <w:abstractNum w:abstractNumId="5">
    <w:nsid w:val="4E415A7F"/>
    <w:multiLevelType w:val="singleLevel"/>
    <w:tmpl w:val="4E415A7F"/>
    <w:lvl w:ilvl="0" w:tentative="0">
      <w:start w:val="1"/>
      <w:numFmt w:val="decimal"/>
      <w:lvlText w:val="%1."/>
      <w:lvlJc w:val="left"/>
      <w:pPr>
        <w:tabs>
          <w:tab w:val="left" w:pos="312"/>
        </w:tabs>
      </w:pPr>
    </w:lvl>
  </w:abstractNum>
  <w:abstractNum w:abstractNumId="6">
    <w:nsid w:val="5BE5B39B"/>
    <w:multiLevelType w:val="singleLevel"/>
    <w:tmpl w:val="5BE5B39B"/>
    <w:lvl w:ilvl="0" w:tentative="0">
      <w:start w:val="1"/>
      <w:numFmt w:val="decimal"/>
      <w:lvlText w:val="%1."/>
      <w:lvlJc w:val="left"/>
      <w:pPr>
        <w:tabs>
          <w:tab w:val="left" w:pos="312"/>
        </w:tabs>
      </w:p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6043F"/>
    <w:rsid w:val="2D103E2A"/>
    <w:rsid w:val="5446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2020-10-11T04:54:00Z</dcterms:created>
  <dc:creator>平平无奇王麒舒</dc:creator>
  <cp:lastModifiedBy>平平无奇王麒舒</cp:lastModifiedBy>
  <dcterms:modified xsi:type="dcterms:W3CDTF">2020-10-11T05:46:35Z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